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AB853" w14:textId="360F99B4" w:rsidR="00B47558" w:rsidRDefault="008C1F32">
      <w:r>
        <w:t>Chapter 22: Golden SAML &amp; Federation Token-Signing Key Theft</w:t>
      </w:r>
    </w:p>
    <w:p w14:paraId="7C4D710C" w14:textId="66E0D090" w:rsidR="008C1F32" w:rsidRDefault="008C1F32">
      <w:r>
        <w:t xml:space="preserve">Part II – Offense </w:t>
      </w:r>
      <w:r w:rsidRPr="008C1F32">
        <w:t>·</w:t>
      </w:r>
      <w:r>
        <w:t xml:space="preserve"> Control Plane Forgery Cluster</w:t>
      </w:r>
    </w:p>
    <w:tbl>
      <w:tblPr>
        <w:tblStyle w:val="TableGrid"/>
        <w:tblW w:w="0" w:type="auto"/>
        <w:tblLook w:val="04A0" w:firstRow="1" w:lastRow="0" w:firstColumn="1" w:lastColumn="0" w:noHBand="0" w:noVBand="1"/>
      </w:tblPr>
      <w:tblGrid>
        <w:gridCol w:w="4924"/>
        <w:gridCol w:w="4426"/>
      </w:tblGrid>
      <w:tr w:rsidR="008C1F32" w14:paraId="7718CF0C" w14:textId="4EE9894A" w:rsidTr="008C1F32">
        <w:tc>
          <w:tcPr>
            <w:tcW w:w="4924" w:type="dxa"/>
          </w:tcPr>
          <w:p w14:paraId="4A9FFF7A" w14:textId="4E2F52C9" w:rsidR="008C1F32" w:rsidRPr="008C1F32" w:rsidRDefault="008C1F32">
            <w:pPr>
              <w:rPr>
                <w:b/>
                <w:bCs/>
              </w:rPr>
            </w:pPr>
            <w:r>
              <w:rPr>
                <w:b/>
                <w:bCs/>
              </w:rPr>
              <w:t>Attacker Persona</w:t>
            </w:r>
          </w:p>
        </w:tc>
        <w:tc>
          <w:tcPr>
            <w:tcW w:w="4426" w:type="dxa"/>
          </w:tcPr>
          <w:p w14:paraId="7044B08D" w14:textId="451C697C" w:rsidR="008C1F32" w:rsidRPr="008C1F32" w:rsidRDefault="008C1F32">
            <w:r>
              <w:t>The Ghost</w:t>
            </w:r>
          </w:p>
        </w:tc>
      </w:tr>
    </w:tbl>
    <w:p w14:paraId="04A27CD5" w14:textId="77777777" w:rsidR="008C1F32" w:rsidRDefault="008C1F32"/>
    <w:p w14:paraId="35C0E61E" w14:textId="049B4F0A" w:rsidR="008C1F32" w:rsidRDefault="008C1F32">
      <w:pPr>
        <w:rPr>
          <w:b/>
          <w:bCs/>
        </w:rPr>
      </w:pPr>
      <w:r>
        <w:rPr>
          <w:b/>
          <w:bCs/>
        </w:rPr>
        <w:t>The Ghost</w:t>
      </w:r>
    </w:p>
    <w:p w14:paraId="4323B0F0" w14:textId="6F44C33E" w:rsidR="008C1F32" w:rsidRDefault="008C1F32">
      <w:pPr>
        <w:rPr>
          <w:i/>
          <w:iCs/>
        </w:rPr>
      </w:pPr>
      <w:r>
        <w:rPr>
          <w:i/>
          <w:iCs/>
        </w:rPr>
        <w:t>Ninety-one days. That is how long I was inside before I touched the key. People think the skill is forgery. It is not. The forgery takes minutes. The skill is the ninety-one days of not being interesting.</w:t>
      </w:r>
    </w:p>
    <w:p w14:paraId="5E03DBF8" w14:textId="024D8255" w:rsidR="008C1F32" w:rsidRDefault="008C1F32">
      <w:pPr>
        <w:rPr>
          <w:i/>
          <w:iCs/>
        </w:rPr>
      </w:pPr>
      <w:r>
        <w:rPr>
          <w:i/>
          <w:iCs/>
        </w:rPr>
        <w:t xml:space="preserve">I found the AD FS service account in the second month after pulling some lengthy reconnaissance on my target. I sprayed one password, once, against the login endpoint – not the whole list, one password, the one their last breach taught them they favor. It worked. I did nothing </w:t>
      </w:r>
      <w:proofErr w:type="gramStart"/>
      <w:r>
        <w:rPr>
          <w:i/>
          <w:iCs/>
        </w:rPr>
        <w:t>with</w:t>
      </w:r>
      <w:proofErr w:type="gramEnd"/>
      <w:r>
        <w:rPr>
          <w:i/>
          <w:iCs/>
        </w:rPr>
        <w:t xml:space="preserve"> it for a month.</w:t>
      </w:r>
    </w:p>
    <w:p w14:paraId="3F7FB139" w14:textId="082DDE35" w:rsidR="008C1F32" w:rsidRDefault="008C1F32">
      <w:pPr>
        <w:rPr>
          <w:i/>
          <w:iCs/>
        </w:rPr>
      </w:pPr>
      <w:r>
        <w:rPr>
          <w:i/>
          <w:iCs/>
        </w:rPr>
        <w:t xml:space="preserve">When I moved, I moved once. To the federation server, at two in the </w:t>
      </w:r>
      <w:proofErr w:type="gramStart"/>
      <w:r>
        <w:rPr>
          <w:i/>
          <w:iCs/>
        </w:rPr>
        <w:t>morning their time</w:t>
      </w:r>
      <w:proofErr w:type="gramEnd"/>
      <w:r>
        <w:rPr>
          <w:i/>
          <w:iCs/>
        </w:rPr>
        <w:t xml:space="preserve">, inside a maintenance window I had read about in a change ticket I had no business reading. I pulled the key </w:t>
      </w:r>
      <w:proofErr w:type="gramStart"/>
      <w:r>
        <w:rPr>
          <w:i/>
          <w:iCs/>
        </w:rPr>
        <w:t>that decrypt</w:t>
      </w:r>
      <w:proofErr w:type="gramEnd"/>
      <w:r>
        <w:rPr>
          <w:i/>
          <w:iCs/>
        </w:rPr>
        <w:t xml:space="preserve"> their configuration. I pulled the signing ticket and left.</w:t>
      </w:r>
    </w:p>
    <w:p w14:paraId="6D8AB25C" w14:textId="41BE0BF3" w:rsidR="008C1F32" w:rsidRDefault="008C1F32">
      <w:pPr>
        <w:rPr>
          <w:i/>
          <w:iCs/>
        </w:rPr>
      </w:pPr>
      <w:r>
        <w:rPr>
          <w:i/>
          <w:iCs/>
        </w:rPr>
        <w:t>Now I do not need their network. That is the part they never feel coming. I can sign an assertion for anyone – the CISO, a domain administrator, the auditor who will eventually investigate me – from my own machine, and their relying parties will believe it, because I am holding the pen they trust. MFA does not see me. Conditional Access does not see me. There is</w:t>
      </w:r>
      <w:r w:rsidR="00BA342F">
        <w:rPr>
          <w:i/>
          <w:iCs/>
        </w:rPr>
        <w:t xml:space="preserve"> no login to challenge, because I am not authenticating. I am vouching for myself with their signature.</w:t>
      </w:r>
    </w:p>
    <w:p w14:paraId="6ECED746" w14:textId="7E68AC34" w:rsidR="00BA342F" w:rsidRDefault="00BA342F">
      <w:pPr>
        <w:rPr>
          <w:i/>
          <w:iCs/>
        </w:rPr>
      </w:pPr>
      <w:r>
        <w:rPr>
          <w:i/>
          <w:iCs/>
        </w:rPr>
        <w:t>They will rotate the certificate eventually. Once. I will still be signing while they write the all-clear.</w:t>
      </w:r>
    </w:p>
    <w:p w14:paraId="62BD45EB" w14:textId="599A1347" w:rsidR="00BA342F" w:rsidRDefault="00BA342F">
      <w:pPr>
        <w:rPr>
          <w:b/>
          <w:bCs/>
        </w:rPr>
      </w:pPr>
      <w:r>
        <w:rPr>
          <w:b/>
          <w:bCs/>
        </w:rPr>
        <w:t>What This Attack Actually Is</w:t>
      </w:r>
    </w:p>
    <w:p w14:paraId="3715E2B2" w14:textId="18B5C8ED" w:rsidR="00BA342F" w:rsidRDefault="00BA342F">
      <w:r>
        <w:t>Golden SAML is the theft of a federation’s token-signing private key and its use to forge SAML assertions that any relying party in the federation will accept as genuine. It is the SAML-world analogue of the Golden Ticket, and it is worse, for one reason: a Golden Ticket lives inside the Kerberos realm you compromised, but a forged SAML assertion travels wherever the identity provider’s trust travels – into cloud tenants, into partner systems, and in a federal context, potentially into other agencies.</w:t>
      </w:r>
    </w:p>
    <w:p w14:paraId="62D37192" w14:textId="310D8708" w:rsidR="0032608A" w:rsidRDefault="0032608A">
      <w:r>
        <w:t xml:space="preserve">To see why the key is catastrophic to lose, follow what a token-signing certificate actually does. When a user authenticates to Active Directory Federation Services (AD FS) and requests access to a relying party – a SaaS application, a cloud tenant, an internal service </w:t>
      </w:r>
      <w:r>
        <w:lastRenderedPageBreak/>
        <w:t xml:space="preserve">behind federation – AD FS issues a </w:t>
      </w:r>
      <w:r>
        <w:rPr>
          <w:b/>
          <w:bCs/>
        </w:rPr>
        <w:t>SAML assertion:</w:t>
      </w:r>
      <w:r>
        <w:t xml:space="preserve"> a signed statement that </w:t>
      </w:r>
      <w:proofErr w:type="gramStart"/>
      <w:r>
        <w:t>says</w:t>
      </w:r>
      <w:proofErr w:type="gramEnd"/>
      <w:r>
        <w:t xml:space="preserve"> “this is use X, with these claims and these group memberships, and I, the trusted identity provider, vouch for it.” The relying party does not re-verify the claimant. It verifies the </w:t>
      </w:r>
      <w:r>
        <w:rPr>
          <w:b/>
          <w:bCs/>
        </w:rPr>
        <w:t>signature</w:t>
      </w:r>
      <w:r>
        <w:t xml:space="preserve"> against the identity provider’s published certificate. If the signature is valid, the assertion is trusted, because the entire point of federation is that the relying party has agreed to believe whatever the IdP signs.</w:t>
      </w:r>
    </w:p>
    <w:p w14:paraId="3AE5D7A9" w14:textId="365CAC49" w:rsidR="0032608A" w:rsidRPr="0078233E" w:rsidRDefault="0032608A">
      <w:r>
        <w:t xml:space="preserve">Steal the private key behind that signature and you can sign your own assertions. You choose the subject – any user. You choose the claims – any roles, any group memberships, any assurance level. You sign it with the real key. The relying party validates the signature, finds it genuine, and grants access, because from its perspective nothing is wrong: the identity provider it trusts has vouched for this identity, exactly as designed. This is why Golden SAML </w:t>
      </w:r>
      <w:r>
        <w:rPr>
          <w:b/>
          <w:bCs/>
        </w:rPr>
        <w:t>bypasses multi-factor authentication and Conditional Access entirely</w:t>
      </w:r>
      <w:r w:rsidR="0078233E">
        <w:t xml:space="preserve"> – those controls sit on the </w:t>
      </w:r>
      <w:r w:rsidR="0078233E">
        <w:rPr>
          <w:i/>
          <w:iCs/>
        </w:rPr>
        <w:t xml:space="preserve">authentication </w:t>
      </w:r>
      <w:r w:rsidR="0078233E">
        <w:t>path, and the forgery does not authenticate. It skips the login and injects a valid, signed result directly. There is no second factor to challenge because there is no first factor being presented.</w:t>
      </w:r>
    </w:p>
    <w:sectPr w:rsidR="0032608A" w:rsidRPr="00782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F32"/>
    <w:rsid w:val="0032608A"/>
    <w:rsid w:val="0078233E"/>
    <w:rsid w:val="008C1F32"/>
    <w:rsid w:val="00941DF8"/>
    <w:rsid w:val="00A435E7"/>
    <w:rsid w:val="00B47558"/>
    <w:rsid w:val="00BA342F"/>
    <w:rsid w:val="00CB5AF7"/>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C16C8"/>
  <w15:chartTrackingRefBased/>
  <w15:docId w15:val="{9A73C998-EDA4-45BE-9DCF-74A38D44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F32"/>
    <w:rPr>
      <w:rFonts w:eastAsiaTheme="majorEastAsia" w:cstheme="majorBidi"/>
      <w:color w:val="272727" w:themeColor="text1" w:themeTint="D8"/>
    </w:rPr>
  </w:style>
  <w:style w:type="paragraph" w:styleId="Title">
    <w:name w:val="Title"/>
    <w:basedOn w:val="Normal"/>
    <w:next w:val="Normal"/>
    <w:link w:val="TitleChar"/>
    <w:uiPriority w:val="10"/>
    <w:qFormat/>
    <w:rsid w:val="008C1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F32"/>
    <w:pPr>
      <w:spacing w:before="160"/>
      <w:jc w:val="center"/>
    </w:pPr>
    <w:rPr>
      <w:i/>
      <w:iCs/>
      <w:color w:val="404040" w:themeColor="text1" w:themeTint="BF"/>
    </w:rPr>
  </w:style>
  <w:style w:type="character" w:customStyle="1" w:styleId="QuoteChar">
    <w:name w:val="Quote Char"/>
    <w:basedOn w:val="DefaultParagraphFont"/>
    <w:link w:val="Quote"/>
    <w:uiPriority w:val="29"/>
    <w:rsid w:val="008C1F32"/>
    <w:rPr>
      <w:i/>
      <w:iCs/>
      <w:color w:val="404040" w:themeColor="text1" w:themeTint="BF"/>
    </w:rPr>
  </w:style>
  <w:style w:type="paragraph" w:styleId="ListParagraph">
    <w:name w:val="List Paragraph"/>
    <w:basedOn w:val="Normal"/>
    <w:uiPriority w:val="34"/>
    <w:qFormat/>
    <w:rsid w:val="008C1F32"/>
    <w:pPr>
      <w:ind w:left="720"/>
      <w:contextualSpacing/>
    </w:pPr>
  </w:style>
  <w:style w:type="character" w:styleId="IntenseEmphasis">
    <w:name w:val="Intense Emphasis"/>
    <w:basedOn w:val="DefaultParagraphFont"/>
    <w:uiPriority w:val="21"/>
    <w:qFormat/>
    <w:rsid w:val="008C1F32"/>
    <w:rPr>
      <w:i/>
      <w:iCs/>
      <w:color w:val="0F4761" w:themeColor="accent1" w:themeShade="BF"/>
    </w:rPr>
  </w:style>
  <w:style w:type="paragraph" w:styleId="IntenseQuote">
    <w:name w:val="Intense Quote"/>
    <w:basedOn w:val="Normal"/>
    <w:next w:val="Normal"/>
    <w:link w:val="IntenseQuoteChar"/>
    <w:uiPriority w:val="30"/>
    <w:qFormat/>
    <w:rsid w:val="008C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F32"/>
    <w:rPr>
      <w:i/>
      <w:iCs/>
      <w:color w:val="0F4761" w:themeColor="accent1" w:themeShade="BF"/>
    </w:rPr>
  </w:style>
  <w:style w:type="character" w:styleId="IntenseReference">
    <w:name w:val="Intense Reference"/>
    <w:basedOn w:val="DefaultParagraphFont"/>
    <w:uiPriority w:val="32"/>
    <w:qFormat/>
    <w:rsid w:val="008C1F32"/>
    <w:rPr>
      <w:b/>
      <w:bCs/>
      <w:smallCaps/>
      <w:color w:val="0F4761" w:themeColor="accent1" w:themeShade="BF"/>
      <w:spacing w:val="5"/>
    </w:rPr>
  </w:style>
  <w:style w:type="table" w:styleId="TableGrid">
    <w:name w:val="Table Grid"/>
    <w:basedOn w:val="TableNormal"/>
    <w:uiPriority w:val="39"/>
    <w:rsid w:val="008C1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2</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2026-07-14T06:10:00Z</dcterms:created>
  <dcterms:modified xsi:type="dcterms:W3CDTF">2026-07-14T10:45:00Z</dcterms:modified>
</cp:coreProperties>
</file>