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B089D1">
      <w:pPr>
        <w:keepNext w:val="0"/>
        <w:keepLines w:val="0"/>
        <w:bidi w:val="0"/>
        <w:snapToGrid/>
        <w:spacing w:line="240" w:lineRule="auto"/>
        <w:ind w:firstLine="0" w:firstLineChars="0"/>
        <w:rPr>
          <w:rFonts w:ascii="Times New Roman" w:hAnsi="Times New Roman" w:cs="Times New Roman"/>
          <w:color w:val="auto"/>
          <w:kern w:val="2"/>
          <w:sz w:val="21"/>
          <w:szCs w:val="24"/>
          <w:lang w:val="en-US" w:eastAsia="zh-CN" w:bidi="ar-SA"/>
        </w:rPr>
      </w:pPr>
      <w:r>
        <w:rPr>
          <w:rFonts w:ascii="Calibri" w:hAnsi="Calibri"/>
          <w:color w:val="auto"/>
          <w:kern w:val="2"/>
          <w:sz w:val="21"/>
          <w:szCs w:val="22"/>
          <w:lang w:val="en-US" w:eastAsia="zh-CN" w:bidi="ar-SA"/>
        </w:rPr>
        <w:drawing>
          <wp:anchor distT="0" distB="0" distL="0" distR="0" simplePos="0" relativeHeight="251660288" behindDoc="0" locked="0" layoutInCell="1" allowOverlap="1">
            <wp:simplePos x="0" y="0"/>
            <wp:positionH relativeFrom="column">
              <wp:posOffset>804545</wp:posOffset>
            </wp:positionH>
            <wp:positionV relativeFrom="paragraph">
              <wp:posOffset>516890</wp:posOffset>
            </wp:positionV>
            <wp:extent cx="4165600" cy="1083945"/>
            <wp:effectExtent l="0" t="0" r="0" b="825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165600" cy="1083945"/>
                    </a:xfrm>
                    <a:prstGeom prst="rect">
                      <a:avLst/>
                    </a:prstGeom>
                    <a:noFill/>
                    <a:ln>
                      <a:noFill/>
                    </a:ln>
                  </pic:spPr>
                </pic:pic>
              </a:graphicData>
            </a:graphic>
          </wp:anchor>
        </w:drawing>
      </w:r>
      <w:r>
        <w:rPr>
          <w:rFonts w:hint="eastAsia" w:ascii="新宋体" w:hAnsi="新宋体" w:eastAsia="新宋体" w:cs="仿宋"/>
          <w:b/>
          <w:color w:val="auto"/>
          <w:kern w:val="2"/>
          <w:sz w:val="32"/>
          <w:szCs w:val="32"/>
          <w:lang w:val="en-US" w:eastAsia="zh-CN" w:bidi="ar-SA"/>
        </w:rPr>
        <w:t xml:space="preserve">  </w:t>
      </w:r>
    </w:p>
    <w:p w14:paraId="0C0AB3C1">
      <w:pPr>
        <w:keepNext w:val="0"/>
        <w:keepLines w:val="0"/>
        <w:bidi w:val="0"/>
        <w:snapToGrid/>
        <w:spacing w:line="240" w:lineRule="auto"/>
        <w:ind w:firstLine="0" w:firstLineChars="0"/>
        <w:jc w:val="center"/>
        <w:rPr>
          <w:rFonts w:ascii="黑体" w:hAnsi="黑体" w:eastAsia="黑体"/>
          <w:b/>
          <w:color w:val="auto"/>
          <w:kern w:val="2"/>
          <w:sz w:val="52"/>
          <w:szCs w:val="52"/>
          <w:lang w:val="en-US" w:eastAsia="zh-CN" w:bidi="ar-SA"/>
        </w:rPr>
      </w:pPr>
      <w:r>
        <w:rPr>
          <w:rFonts w:hint="eastAsia" w:ascii="黑体" w:hAnsi="黑体" w:eastAsia="黑体"/>
          <w:b/>
          <w:color w:val="auto"/>
          <w:kern w:val="2"/>
          <w:sz w:val="52"/>
          <w:szCs w:val="52"/>
          <w:lang w:val="en-US" w:eastAsia="zh-CN" w:bidi="ar-SA"/>
        </w:rPr>
        <w:t>高等学历继续教育毕业论文(设计)</w:t>
      </w:r>
    </w:p>
    <w:p w14:paraId="30B7615F">
      <w:pPr>
        <w:keepNext w:val="0"/>
        <w:keepLines w:val="0"/>
        <w:bidi w:val="0"/>
        <w:snapToGrid/>
        <w:spacing w:line="240" w:lineRule="auto"/>
        <w:ind w:firstLine="0" w:firstLineChars="0"/>
        <w:jc w:val="center"/>
        <w:rPr>
          <w:rFonts w:ascii="黑体" w:hAnsi="黑体" w:eastAsia="黑体"/>
          <w:b/>
          <w:color w:val="auto"/>
          <w:kern w:val="2"/>
          <w:sz w:val="44"/>
          <w:szCs w:val="44"/>
          <w:lang w:val="en-US" w:eastAsia="zh-CN" w:bidi="ar-SA"/>
        </w:rPr>
      </w:pPr>
    </w:p>
    <w:p w14:paraId="318C2B70">
      <w:pPr>
        <w:keepNext w:val="0"/>
        <w:keepLines w:val="0"/>
        <w:bidi w:val="0"/>
        <w:snapToGrid/>
        <w:spacing w:line="720" w:lineRule="auto"/>
        <w:ind w:left="720" w:leftChars="300" w:firstLine="0" w:firstLineChars="0"/>
        <w:jc w:val="left"/>
        <w:rPr>
          <w:rFonts w:ascii="宋体" w:hAnsi="宋体"/>
          <w:color w:val="auto"/>
          <w:kern w:val="2"/>
          <w:sz w:val="36"/>
          <w:szCs w:val="36"/>
          <w:lang w:val="en-US" w:eastAsia="zh-CN" w:bidi="ar-SA"/>
        </w:rPr>
      </w:pPr>
      <w:r>
        <w:rPr>
          <w:rFonts w:hint="eastAsia" w:ascii="黑体" w:hAnsi="黑体" w:eastAsia="黑体"/>
          <w:b/>
          <w:color w:val="auto"/>
          <w:kern w:val="2"/>
          <w:sz w:val="36"/>
          <w:szCs w:val="36"/>
          <w:lang w:val="en-US" w:eastAsia="zh-CN" w:bidi="ar-SA"/>
        </w:rPr>
        <w:t>题目：“双碳”背景下天原股份ESG信息披露存在的问题及对策研究</w:t>
      </w:r>
    </w:p>
    <w:p w14:paraId="40E26E8D">
      <w:pPr>
        <w:keepNext w:val="0"/>
        <w:keepLines w:val="0"/>
        <w:bidi w:val="0"/>
        <w:snapToGrid w:val="0"/>
        <w:spacing w:line="480" w:lineRule="auto"/>
        <w:ind w:firstLine="1626" w:firstLineChars="450"/>
        <w:rPr>
          <w:rFonts w:ascii="宋体" w:hAnsi="宋体"/>
          <w:b/>
          <w:color w:val="auto"/>
          <w:kern w:val="2"/>
          <w:sz w:val="36"/>
          <w:szCs w:val="36"/>
          <w:lang w:val="en-US" w:eastAsia="zh-CN" w:bidi="ar-SA"/>
        </w:rPr>
      </w:pPr>
      <w:r>
        <w:rPr>
          <w:rFonts w:hint="eastAsia" w:ascii="宋体" w:hAnsi="宋体"/>
          <w:b/>
          <w:color w:val="auto"/>
          <w:kern w:val="2"/>
          <w:sz w:val="36"/>
          <w:szCs w:val="36"/>
          <w:lang w:val="en-US" w:eastAsia="zh-CN" w:bidi="ar-SA"/>
        </w:rPr>
        <w:t xml:space="preserve">学历类型: </w:t>
      </w:r>
      <w:r>
        <w:rPr>
          <w:rFonts w:ascii="宋体" w:hAnsi="宋体"/>
          <w:b/>
          <w:color w:val="auto"/>
          <w:kern w:val="2"/>
          <w:sz w:val="36"/>
          <w:szCs w:val="36"/>
          <w:lang w:val="en-US" w:eastAsia="zh-CN" w:bidi="ar-SA"/>
        </w:rPr>
        <w:sym w:font="Wingdings 2" w:char="00A3"/>
      </w:r>
      <w:r>
        <w:rPr>
          <w:rFonts w:hint="eastAsia" w:ascii="宋体" w:hAnsi="宋体"/>
          <w:b/>
          <w:color w:val="auto"/>
          <w:kern w:val="2"/>
          <w:sz w:val="36"/>
          <w:szCs w:val="36"/>
          <w:lang w:val="en-US" w:eastAsia="zh-CN" w:bidi="ar-SA"/>
        </w:rPr>
        <w:t xml:space="preserve">成人教育   </w:t>
      </w:r>
      <w:r>
        <w:rPr>
          <w:rFonts w:ascii="宋体" w:hAnsi="宋体"/>
          <w:b/>
          <w:color w:val="auto"/>
          <w:kern w:val="2"/>
          <w:sz w:val="36"/>
          <w:szCs w:val="36"/>
          <w:lang w:val="en-US" w:eastAsia="zh-CN" w:bidi="ar-SA"/>
        </w:rPr>
        <w:sym w:font="Wingdings 2" w:char="0052"/>
      </w:r>
      <w:r>
        <w:rPr>
          <w:rFonts w:hint="eastAsia" w:ascii="宋体" w:hAnsi="宋体"/>
          <w:b/>
          <w:color w:val="auto"/>
          <w:kern w:val="2"/>
          <w:sz w:val="36"/>
          <w:szCs w:val="36"/>
          <w:lang w:val="en-US" w:eastAsia="zh-CN" w:bidi="ar-SA"/>
        </w:rPr>
        <w:t>自学考试</w:t>
      </w:r>
    </w:p>
    <w:p w14:paraId="5BAC9C68">
      <w:pPr>
        <w:keepNext w:val="0"/>
        <w:keepLines w:val="0"/>
        <w:bidi w:val="0"/>
        <w:snapToGrid w:val="0"/>
        <w:spacing w:line="480" w:lineRule="auto"/>
        <w:ind w:firstLine="1626" w:firstLineChars="450"/>
        <w:rPr>
          <w:rFonts w:ascii="宋体" w:hAnsi="宋体"/>
          <w:b/>
          <w:color w:val="auto"/>
          <w:kern w:val="2"/>
          <w:sz w:val="36"/>
          <w:szCs w:val="36"/>
          <w:lang w:val="en-US" w:eastAsia="zh-CN" w:bidi="ar-SA"/>
        </w:rPr>
      </w:pPr>
      <w:r>
        <w:rPr>
          <w:rFonts w:hint="eastAsia" w:ascii="宋体" w:hAnsi="宋体"/>
          <w:b/>
          <w:color w:val="auto"/>
          <w:kern w:val="2"/>
          <w:sz w:val="36"/>
          <w:szCs w:val="36"/>
          <w:lang w:val="en-US" w:eastAsia="zh-CN" w:bidi="ar-SA"/>
        </w:rPr>
        <w:t xml:space="preserve">层    次: </w:t>
      </w:r>
      <w:r>
        <w:rPr>
          <w:rFonts w:ascii="宋体" w:hAnsi="宋体"/>
          <w:b/>
          <w:color w:val="auto"/>
          <w:kern w:val="2"/>
          <w:sz w:val="36"/>
          <w:szCs w:val="36"/>
          <w:lang w:val="en-US" w:eastAsia="zh-CN" w:bidi="ar-SA"/>
        </w:rPr>
        <w:sym w:font="Wingdings 2" w:char="0052"/>
      </w:r>
      <w:r>
        <w:rPr>
          <w:rFonts w:hint="eastAsia" w:ascii="宋体" w:hAnsi="宋体"/>
          <w:b/>
          <w:color w:val="auto"/>
          <w:kern w:val="2"/>
          <w:sz w:val="36"/>
          <w:szCs w:val="36"/>
          <w:lang w:val="en-US" w:eastAsia="zh-CN" w:bidi="ar-SA"/>
        </w:rPr>
        <w:t xml:space="preserve">专升本     </w:t>
      </w:r>
      <w:r>
        <w:rPr>
          <w:rFonts w:ascii="宋体" w:hAnsi="宋体"/>
          <w:b/>
          <w:color w:val="auto"/>
          <w:kern w:val="2"/>
          <w:sz w:val="36"/>
          <w:szCs w:val="36"/>
          <w:lang w:val="en-US" w:eastAsia="zh-CN" w:bidi="ar-SA"/>
        </w:rPr>
        <w:sym w:font="Wingdings 2" w:char="00A3"/>
      </w:r>
      <w:r>
        <w:rPr>
          <w:rFonts w:hint="eastAsia" w:ascii="宋体" w:hAnsi="宋体"/>
          <w:b/>
          <w:color w:val="auto"/>
          <w:kern w:val="2"/>
          <w:sz w:val="36"/>
          <w:szCs w:val="36"/>
          <w:lang w:val="en-US" w:eastAsia="zh-CN" w:bidi="ar-SA"/>
        </w:rPr>
        <w:t>高起本</w:t>
      </w:r>
    </w:p>
    <w:p w14:paraId="6451AD5C">
      <w:pPr>
        <w:keepNext w:val="0"/>
        <w:keepLines w:val="0"/>
        <w:bidi w:val="0"/>
        <w:snapToGrid w:val="0"/>
        <w:spacing w:line="480" w:lineRule="auto"/>
        <w:ind w:firstLine="1626" w:firstLineChars="450"/>
        <w:rPr>
          <w:rFonts w:hint="default" w:ascii="宋体" w:hAnsi="宋体"/>
          <w:b/>
          <w:color w:val="auto"/>
          <w:kern w:val="2"/>
          <w:sz w:val="36"/>
          <w:szCs w:val="36"/>
          <w:lang w:val="en-US" w:eastAsia="zh-CN" w:bidi="ar-SA"/>
        </w:rPr>
      </w:pPr>
      <w:r>
        <w:rPr>
          <w:rFonts w:hint="eastAsia" w:ascii="宋体" w:hAnsi="宋体"/>
          <w:b/>
          <w:color w:val="auto"/>
          <w:kern w:val="2"/>
          <w:sz w:val="36"/>
          <w:szCs w:val="36"/>
          <w:lang w:val="en-US" w:eastAsia="zh-CN" w:bidi="ar-SA"/>
        </w:rPr>
        <w:t xml:space="preserve">专业名称:  </w:t>
      </w:r>
      <w:r>
        <w:rPr>
          <w:rFonts w:hint="eastAsia"/>
          <w:b/>
          <w:color w:val="auto"/>
          <w:kern w:val="2"/>
          <w:sz w:val="36"/>
          <w:szCs w:val="36"/>
          <w:lang w:val="en-US" w:eastAsia="zh-CN" w:bidi="ar-SA"/>
        </w:rPr>
        <w:t>会计学</w:t>
      </w:r>
    </w:p>
    <w:p w14:paraId="6BEA3200">
      <w:pPr>
        <w:keepNext w:val="0"/>
        <w:keepLines w:val="0"/>
        <w:bidi w:val="0"/>
        <w:snapToGrid w:val="0"/>
        <w:spacing w:line="480" w:lineRule="auto"/>
        <w:ind w:firstLine="1626" w:firstLineChars="450"/>
        <w:rPr>
          <w:rFonts w:hint="default" w:ascii="宋体" w:hAnsi="宋体"/>
          <w:b/>
          <w:color w:val="auto"/>
          <w:kern w:val="2"/>
          <w:sz w:val="36"/>
          <w:szCs w:val="36"/>
          <w:lang w:val="en-US" w:eastAsia="zh-CN" w:bidi="ar-SA"/>
        </w:rPr>
      </w:pPr>
      <w:r>
        <w:rPr>
          <w:rFonts w:hint="eastAsia" w:ascii="宋体" w:hAnsi="宋体"/>
          <w:b/>
          <w:color w:val="auto"/>
          <w:kern w:val="2"/>
          <w:sz w:val="36"/>
          <w:szCs w:val="36"/>
          <w:lang w:val="en-US" w:eastAsia="zh-CN" w:bidi="ar-SA"/>
        </w:rPr>
        <w:t xml:space="preserve">学生姓名:  </w:t>
      </w:r>
      <w:r>
        <w:rPr>
          <w:rFonts w:hint="eastAsia"/>
          <w:b/>
          <w:color w:val="auto"/>
          <w:kern w:val="2"/>
          <w:sz w:val="36"/>
          <w:szCs w:val="36"/>
          <w:lang w:val="en-US" w:eastAsia="zh-CN" w:bidi="ar-SA"/>
        </w:rPr>
        <w:t>XX</w:t>
      </w:r>
    </w:p>
    <w:p w14:paraId="5C6B0473">
      <w:pPr>
        <w:keepNext w:val="0"/>
        <w:keepLines w:val="0"/>
        <w:bidi w:val="0"/>
        <w:snapToGrid w:val="0"/>
        <w:spacing w:line="480" w:lineRule="auto"/>
        <w:ind w:firstLine="723" w:firstLineChars="200"/>
        <w:rPr>
          <w:rFonts w:ascii="宋体" w:hAnsi="宋体"/>
          <w:b/>
          <w:color w:val="auto"/>
          <w:kern w:val="2"/>
          <w:sz w:val="36"/>
          <w:szCs w:val="36"/>
          <w:lang w:val="en-US" w:eastAsia="zh-CN" w:bidi="ar-SA"/>
        </w:rPr>
      </w:pPr>
      <w:r>
        <w:rPr>
          <w:rFonts w:hint="eastAsia" w:ascii="宋体" w:hAnsi="宋体"/>
          <w:b/>
          <w:color w:val="auto"/>
          <w:kern w:val="2"/>
          <w:sz w:val="36"/>
          <w:szCs w:val="36"/>
          <w:lang w:val="en-US" w:eastAsia="zh-CN" w:bidi="ar-SA"/>
        </w:rPr>
        <w:t>学号/准考证号:  1</w:t>
      </w:r>
      <w:r>
        <w:rPr>
          <w:rFonts w:hint="eastAsia"/>
          <w:b/>
          <w:color w:val="auto"/>
          <w:kern w:val="2"/>
          <w:sz w:val="36"/>
          <w:szCs w:val="36"/>
          <w:lang w:val="en-US" w:eastAsia="zh-CN" w:bidi="ar-SA"/>
        </w:rPr>
        <w:t>XX</w:t>
      </w:r>
      <w:r>
        <w:rPr>
          <w:rFonts w:hint="eastAsia" w:ascii="宋体" w:hAnsi="宋体"/>
          <w:b/>
          <w:color w:val="auto"/>
          <w:kern w:val="2"/>
          <w:sz w:val="36"/>
          <w:szCs w:val="36"/>
          <w:lang w:val="en-US" w:eastAsia="zh-CN" w:bidi="ar-SA"/>
        </w:rPr>
        <w:t>22</w:t>
      </w:r>
    </w:p>
    <w:p w14:paraId="3CF05872">
      <w:pPr>
        <w:keepNext w:val="0"/>
        <w:keepLines w:val="0"/>
        <w:bidi w:val="0"/>
        <w:snapToGrid w:val="0"/>
        <w:spacing w:line="480" w:lineRule="auto"/>
        <w:ind w:firstLine="723" w:firstLineChars="200"/>
        <w:rPr>
          <w:rFonts w:hint="default" w:ascii="宋体" w:hAnsi="宋体"/>
          <w:b/>
          <w:color w:val="auto"/>
          <w:kern w:val="2"/>
          <w:sz w:val="36"/>
          <w:szCs w:val="36"/>
          <w:lang w:val="en-US" w:eastAsia="zh-CN" w:bidi="ar-SA"/>
        </w:rPr>
      </w:pPr>
      <w:r>
        <w:rPr>
          <w:rFonts w:hint="eastAsia" w:ascii="宋体" w:hAnsi="宋体"/>
          <w:b/>
          <w:color w:val="auto"/>
          <w:kern w:val="2"/>
          <w:sz w:val="36"/>
          <w:szCs w:val="36"/>
          <w:lang w:val="en-US" w:eastAsia="zh-CN" w:bidi="ar-SA"/>
        </w:rPr>
        <w:t xml:space="preserve">年级/毕业考次:  </w:t>
      </w:r>
      <w:r>
        <w:rPr>
          <w:rFonts w:hint="eastAsia"/>
          <w:b/>
          <w:color w:val="auto"/>
          <w:kern w:val="2"/>
          <w:sz w:val="36"/>
          <w:szCs w:val="36"/>
          <w:lang w:val="en-US" w:eastAsia="zh-CN" w:bidi="ar-SA"/>
        </w:rPr>
        <w:t>XX</w:t>
      </w:r>
    </w:p>
    <w:p w14:paraId="565021A4">
      <w:pPr>
        <w:keepNext w:val="0"/>
        <w:keepLines w:val="0"/>
        <w:bidi w:val="0"/>
        <w:snapToGrid w:val="0"/>
        <w:spacing w:line="480" w:lineRule="auto"/>
        <w:ind w:firstLine="1626" w:firstLineChars="450"/>
        <w:rPr>
          <w:rFonts w:hint="default" w:ascii="宋体" w:hAnsi="宋体"/>
          <w:b/>
          <w:color w:val="auto"/>
          <w:kern w:val="2"/>
          <w:sz w:val="36"/>
          <w:szCs w:val="36"/>
          <w:lang w:val="en-US" w:eastAsia="zh-CN" w:bidi="ar-SA"/>
        </w:rPr>
      </w:pPr>
      <w:r>
        <w:rPr>
          <w:rFonts w:hint="eastAsia" w:ascii="宋体" w:hAnsi="宋体"/>
          <w:b/>
          <w:color w:val="auto"/>
          <w:kern w:val="2"/>
          <w:sz w:val="36"/>
          <w:szCs w:val="36"/>
          <w:lang w:val="en-US" w:eastAsia="zh-CN" w:bidi="ar-SA"/>
        </w:rPr>
        <w:t xml:space="preserve">指导教师:  </w:t>
      </w:r>
      <w:r>
        <w:rPr>
          <w:rFonts w:hint="eastAsia"/>
          <w:b/>
          <w:color w:val="auto"/>
          <w:kern w:val="2"/>
          <w:sz w:val="36"/>
          <w:szCs w:val="36"/>
          <w:lang w:val="en-US" w:eastAsia="zh-CN" w:bidi="ar-SA"/>
        </w:rPr>
        <w:t>XX</w:t>
      </w:r>
    </w:p>
    <w:p w14:paraId="1DAAEBED">
      <w:pPr>
        <w:keepNext w:val="0"/>
        <w:keepLines w:val="0"/>
        <w:bidi w:val="0"/>
        <w:snapToGrid w:val="0"/>
        <w:spacing w:line="480" w:lineRule="auto"/>
        <w:ind w:firstLine="1626" w:firstLineChars="450"/>
        <w:rPr>
          <w:rFonts w:ascii="Times New Roman" w:hAnsi="Times New Roman" w:cs="Times New Roman"/>
          <w:color w:val="auto"/>
          <w:kern w:val="2"/>
          <w:sz w:val="21"/>
          <w:szCs w:val="24"/>
          <w:lang w:val="en-US" w:eastAsia="zh-CN" w:bidi="ar-SA"/>
        </w:rPr>
      </w:pPr>
      <w:r>
        <w:rPr>
          <w:rFonts w:hint="eastAsia" w:ascii="宋体" w:hAnsi="宋体"/>
          <w:b/>
          <w:color w:val="auto"/>
          <w:kern w:val="2"/>
          <w:sz w:val="36"/>
          <w:szCs w:val="36"/>
          <w:lang w:val="en-US" w:eastAsia="zh-CN" w:bidi="ar-SA"/>
        </w:rPr>
        <w:t xml:space="preserve">教学单位:  </w:t>
      </w:r>
      <w:r>
        <w:rPr>
          <w:rFonts w:hint="eastAsia"/>
          <w:b/>
          <w:color w:val="auto"/>
          <w:kern w:val="2"/>
          <w:sz w:val="36"/>
          <w:szCs w:val="36"/>
          <w:lang w:val="en-US" w:eastAsia="zh-CN" w:bidi="ar-SA"/>
        </w:rPr>
        <w:t>继续教育学院</w:t>
      </w:r>
    </w:p>
    <w:p w14:paraId="4E668A8D">
      <w:pPr>
        <w:rPr>
          <w:rFonts w:hint="eastAsia"/>
          <w:color w:val="auto"/>
          <w:lang w:val="en-US" w:eastAsia="zh-CN"/>
        </w:rPr>
      </w:pPr>
      <w:r>
        <w:rPr>
          <w:rFonts w:hint="eastAsia"/>
          <w:color w:val="auto"/>
          <w:lang w:val="en-US" w:eastAsia="zh-CN"/>
        </w:rPr>
        <w:br w:type="page"/>
      </w:r>
    </w:p>
    <w:p w14:paraId="766C3DDB">
      <w:pPr>
        <w:ind w:left="0" w:leftChars="0" w:firstLine="0" w:firstLineChars="0"/>
        <w:jc w:val="center"/>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目  录</w:t>
      </w:r>
    </w:p>
    <w:p w14:paraId="450CE3CA">
      <w:pPr>
        <w:pStyle w:val="16"/>
        <w:keepNext w:val="0"/>
        <w:keepLines w:val="0"/>
        <w:pageBreakBefore w:val="0"/>
        <w:widowControl w:val="0"/>
        <w:tabs>
          <w:tab w:val="right" w:leader="dot" w:pos="9355"/>
        </w:tabs>
        <w:kinsoku/>
        <w:wordWrap/>
        <w:overflowPunct/>
        <w:topLinePunct w:val="0"/>
        <w:autoSpaceDE/>
        <w:autoSpaceDN/>
        <w:bidi w:val="0"/>
        <w:adjustRightInd/>
        <w:snapToGrid w:val="0"/>
        <w:ind w:left="0" w:leftChars="0"/>
        <w:textAlignment w:val="auto"/>
      </w:pPr>
      <w:r>
        <w:rPr>
          <w:rFonts w:hint="eastAsia" w:ascii="宋体" w:hAnsi="宋体" w:eastAsia="宋体" w:cs="宋体"/>
          <w:color w:val="auto"/>
          <w:lang w:val="en-US" w:eastAsia="zh-CN"/>
        </w:rPr>
        <w:fldChar w:fldCharType="begin"/>
      </w:r>
      <w:r>
        <w:rPr>
          <w:rFonts w:hint="eastAsia" w:ascii="宋体" w:hAnsi="宋体" w:eastAsia="宋体" w:cs="宋体"/>
          <w:color w:val="auto"/>
          <w:lang w:val="en-US" w:eastAsia="zh-CN"/>
        </w:rPr>
        <w:instrText xml:space="preserve">TOC \o "1-4" \h \u </w:instrText>
      </w:r>
      <w:r>
        <w:rPr>
          <w:rFonts w:hint="eastAsia" w:ascii="宋体" w:hAnsi="宋体" w:eastAsia="宋体" w:cs="宋体"/>
          <w:color w:val="auto"/>
          <w:lang w:val="en-US" w:eastAsia="zh-CN"/>
        </w:rPr>
        <w:fldChar w:fldCharType="separate"/>
      </w: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_Toc20468 </w:instrText>
      </w:r>
      <w:r>
        <w:rPr>
          <w:rFonts w:hint="eastAsia" w:ascii="宋体" w:hAnsi="宋体" w:eastAsia="宋体" w:cs="宋体"/>
          <w:lang w:val="en-US" w:eastAsia="zh-CN"/>
        </w:rPr>
        <w:fldChar w:fldCharType="separate"/>
      </w:r>
      <w:r>
        <w:rPr>
          <w:rFonts w:hint="eastAsia" w:ascii="宋体" w:hAnsi="宋体" w:eastAsia="宋体" w:cs="宋体"/>
          <w:lang w:eastAsia="zh-CN"/>
        </w:rPr>
        <w:t>【摘要】</w:t>
      </w:r>
      <w:r>
        <w:tab/>
      </w:r>
      <w:r>
        <w:fldChar w:fldCharType="begin"/>
      </w:r>
      <w:r>
        <w:instrText xml:space="preserve"> PAGEREF _Toc20468 \h </w:instrText>
      </w:r>
      <w:r>
        <w:fldChar w:fldCharType="separate"/>
      </w:r>
      <w:r>
        <w:t>1</w:t>
      </w:r>
      <w:r>
        <w:fldChar w:fldCharType="end"/>
      </w:r>
      <w:r>
        <w:rPr>
          <w:rFonts w:hint="eastAsia" w:ascii="宋体" w:hAnsi="宋体" w:eastAsia="宋体" w:cs="宋体"/>
          <w:color w:val="auto"/>
          <w:lang w:val="en-US" w:eastAsia="zh-CN"/>
        </w:rPr>
        <w:fldChar w:fldCharType="end"/>
      </w:r>
    </w:p>
    <w:p w14:paraId="4AFE9375">
      <w:pPr>
        <w:pStyle w:val="16"/>
        <w:keepNext w:val="0"/>
        <w:keepLines w:val="0"/>
        <w:pageBreakBefore w:val="0"/>
        <w:widowControl w:val="0"/>
        <w:tabs>
          <w:tab w:val="right" w:leader="dot" w:pos="9355"/>
        </w:tabs>
        <w:kinsoku/>
        <w:wordWrap/>
        <w:overflowPunct/>
        <w:topLinePunct w:val="0"/>
        <w:autoSpaceDE/>
        <w:autoSpaceDN/>
        <w:bidi w:val="0"/>
        <w:adjustRightInd/>
        <w:snapToGrid w:val="0"/>
        <w:ind w:left="0" w:leftChars="0"/>
        <w:textAlignment w:val="auto"/>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_Toc25679 </w:instrText>
      </w:r>
      <w:r>
        <w:rPr>
          <w:rFonts w:hint="eastAsia" w:ascii="宋体" w:hAnsi="宋体" w:eastAsia="宋体" w:cs="宋体"/>
          <w:lang w:val="en-US" w:eastAsia="zh-CN"/>
        </w:rPr>
        <w:fldChar w:fldCharType="separate"/>
      </w:r>
      <w:r>
        <w:rPr>
          <w:rFonts w:hint="eastAsia" w:ascii="宋体" w:hAnsi="宋体" w:eastAsia="宋体" w:cs="宋体"/>
          <w:lang w:eastAsia="zh-CN"/>
        </w:rPr>
        <w:t>【</w:t>
      </w:r>
      <w:r>
        <w:rPr>
          <w:rFonts w:hint="eastAsia" w:ascii="宋体" w:hAnsi="宋体" w:eastAsia="宋体" w:cs="宋体"/>
        </w:rPr>
        <w:t>关键词</w:t>
      </w:r>
      <w:r>
        <w:rPr>
          <w:rFonts w:hint="eastAsia" w:ascii="宋体" w:hAnsi="宋体" w:eastAsia="宋体" w:cs="宋体"/>
          <w:lang w:eastAsia="zh-CN"/>
        </w:rPr>
        <w:t>】</w:t>
      </w:r>
      <w:r>
        <w:tab/>
      </w:r>
      <w:r>
        <w:fldChar w:fldCharType="begin"/>
      </w:r>
      <w:r>
        <w:instrText xml:space="preserve"> PAGEREF _Toc25679 \h </w:instrText>
      </w:r>
      <w:r>
        <w:fldChar w:fldCharType="separate"/>
      </w:r>
      <w:r>
        <w:t>1</w:t>
      </w:r>
      <w:r>
        <w:fldChar w:fldCharType="end"/>
      </w:r>
      <w:r>
        <w:rPr>
          <w:rFonts w:hint="eastAsia" w:ascii="宋体" w:hAnsi="宋体" w:eastAsia="宋体" w:cs="宋体"/>
          <w:color w:val="auto"/>
          <w:lang w:val="en-US" w:eastAsia="zh-CN"/>
        </w:rPr>
        <w:fldChar w:fldCharType="end"/>
      </w:r>
    </w:p>
    <w:p w14:paraId="77E7EB2F">
      <w:pPr>
        <w:pStyle w:val="16"/>
        <w:keepNext w:val="0"/>
        <w:keepLines w:val="0"/>
        <w:pageBreakBefore w:val="0"/>
        <w:widowControl w:val="0"/>
        <w:tabs>
          <w:tab w:val="right" w:leader="dot" w:pos="9355"/>
        </w:tabs>
        <w:kinsoku/>
        <w:wordWrap/>
        <w:overflowPunct/>
        <w:topLinePunct w:val="0"/>
        <w:autoSpaceDE/>
        <w:autoSpaceDN/>
        <w:bidi w:val="0"/>
        <w:adjustRightInd/>
        <w:snapToGrid w:val="0"/>
        <w:ind w:left="0" w:leftChars="0"/>
        <w:textAlignment w:val="auto"/>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_Toc22185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引言</w:t>
      </w:r>
      <w:r>
        <w:tab/>
      </w:r>
      <w:r>
        <w:fldChar w:fldCharType="begin"/>
      </w:r>
      <w:r>
        <w:instrText xml:space="preserve"> PAGEREF _Toc22185 \h </w:instrText>
      </w:r>
      <w:r>
        <w:fldChar w:fldCharType="separate"/>
      </w:r>
      <w:r>
        <w:t>2</w:t>
      </w:r>
      <w:r>
        <w:fldChar w:fldCharType="end"/>
      </w:r>
      <w:r>
        <w:rPr>
          <w:rFonts w:hint="eastAsia" w:ascii="宋体" w:hAnsi="宋体" w:eastAsia="宋体" w:cs="宋体"/>
          <w:color w:val="auto"/>
          <w:lang w:val="en-US" w:eastAsia="zh-CN"/>
        </w:rPr>
        <w:fldChar w:fldCharType="end"/>
      </w:r>
    </w:p>
    <w:p w14:paraId="65E992BC">
      <w:pPr>
        <w:pStyle w:val="15"/>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_Toc24622 </w:instrText>
      </w:r>
      <w:r>
        <w:rPr>
          <w:rFonts w:hint="eastAsia" w:ascii="宋体" w:hAnsi="宋体" w:eastAsia="宋体" w:cs="宋体"/>
          <w:lang w:val="en-US" w:eastAsia="zh-CN"/>
        </w:rPr>
        <w:fldChar w:fldCharType="separate"/>
      </w:r>
      <w:r>
        <w:rPr>
          <w:rFonts w:hint="eastAsia"/>
          <w:lang w:val="en-US" w:eastAsia="zh-CN"/>
        </w:rPr>
        <w:t>一、 文献综述</w:t>
      </w:r>
      <w:r>
        <w:tab/>
      </w:r>
      <w:r>
        <w:fldChar w:fldCharType="begin"/>
      </w:r>
      <w:r>
        <w:instrText xml:space="preserve"> PAGEREF _Toc24622 \h </w:instrText>
      </w:r>
      <w:r>
        <w:fldChar w:fldCharType="separate"/>
      </w:r>
      <w:r>
        <w:t>2</w:t>
      </w:r>
      <w:r>
        <w:fldChar w:fldCharType="end"/>
      </w:r>
      <w:r>
        <w:rPr>
          <w:rFonts w:hint="eastAsia" w:ascii="宋体" w:hAnsi="宋体" w:eastAsia="宋体" w:cs="宋体"/>
          <w:color w:val="auto"/>
          <w:lang w:val="en-US" w:eastAsia="zh-CN"/>
        </w:rPr>
        <w:fldChar w:fldCharType="end"/>
      </w:r>
    </w:p>
    <w:p w14:paraId="73605FFB">
      <w:pPr>
        <w:pStyle w:val="17"/>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_Toc15087 </w:instrText>
      </w:r>
      <w:r>
        <w:rPr>
          <w:rFonts w:hint="eastAsia" w:ascii="宋体" w:hAnsi="宋体" w:eastAsia="宋体" w:cs="宋体"/>
          <w:lang w:val="en-US" w:eastAsia="zh-CN"/>
        </w:rPr>
        <w:fldChar w:fldCharType="separate"/>
      </w:r>
      <w:r>
        <w:rPr>
          <w:rFonts w:hint="eastAsia"/>
          <w:lang w:val="en-US" w:eastAsia="zh-CN"/>
        </w:rPr>
        <w:t>（一） ESG信息披露的经济后果研究</w:t>
      </w:r>
      <w:r>
        <w:tab/>
      </w:r>
      <w:r>
        <w:fldChar w:fldCharType="begin"/>
      </w:r>
      <w:r>
        <w:instrText xml:space="preserve"> PAGEREF _Toc15087 \h </w:instrText>
      </w:r>
      <w:r>
        <w:fldChar w:fldCharType="separate"/>
      </w:r>
      <w:r>
        <w:t>2</w:t>
      </w:r>
      <w:r>
        <w:fldChar w:fldCharType="end"/>
      </w:r>
      <w:r>
        <w:rPr>
          <w:rFonts w:hint="eastAsia" w:ascii="宋体" w:hAnsi="宋体" w:eastAsia="宋体" w:cs="宋体"/>
          <w:color w:val="auto"/>
          <w:lang w:val="en-US" w:eastAsia="zh-CN"/>
        </w:rPr>
        <w:fldChar w:fldCharType="end"/>
      </w:r>
    </w:p>
    <w:p w14:paraId="3601DAA7">
      <w:pPr>
        <w:pStyle w:val="17"/>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_Toc19246 </w:instrText>
      </w:r>
      <w:r>
        <w:rPr>
          <w:rFonts w:hint="eastAsia" w:ascii="宋体" w:hAnsi="宋体" w:eastAsia="宋体" w:cs="宋体"/>
          <w:lang w:val="en-US" w:eastAsia="zh-CN"/>
        </w:rPr>
        <w:fldChar w:fldCharType="separate"/>
      </w:r>
      <w:r>
        <w:rPr>
          <w:rFonts w:hint="eastAsia"/>
          <w:lang w:val="en-US" w:eastAsia="zh-CN"/>
        </w:rPr>
        <w:t>（二） ESG信息披露质量与第三方鉴证研究</w:t>
      </w:r>
      <w:r>
        <w:tab/>
      </w:r>
      <w:r>
        <w:fldChar w:fldCharType="begin"/>
      </w:r>
      <w:r>
        <w:instrText xml:space="preserve"> PAGEREF _Toc19246 \h </w:instrText>
      </w:r>
      <w:r>
        <w:fldChar w:fldCharType="separate"/>
      </w:r>
      <w:r>
        <w:t>3</w:t>
      </w:r>
      <w:r>
        <w:fldChar w:fldCharType="end"/>
      </w:r>
      <w:r>
        <w:rPr>
          <w:rFonts w:hint="eastAsia" w:ascii="宋体" w:hAnsi="宋体" w:eastAsia="宋体" w:cs="宋体"/>
          <w:color w:val="auto"/>
          <w:lang w:val="en-US" w:eastAsia="zh-CN"/>
        </w:rPr>
        <w:fldChar w:fldCharType="end"/>
      </w:r>
    </w:p>
    <w:p w14:paraId="6C3A6FAF">
      <w:pPr>
        <w:pStyle w:val="17"/>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_Toc26008 </w:instrText>
      </w:r>
      <w:r>
        <w:rPr>
          <w:rFonts w:hint="eastAsia" w:ascii="宋体" w:hAnsi="宋体" w:eastAsia="宋体" w:cs="宋体"/>
          <w:lang w:val="en-US" w:eastAsia="zh-CN"/>
        </w:rPr>
        <w:fldChar w:fldCharType="separate"/>
      </w:r>
      <w:r>
        <w:rPr>
          <w:rFonts w:hint="eastAsia"/>
          <w:lang w:val="en-US" w:eastAsia="zh-CN"/>
        </w:rPr>
        <w:t>（三） “双碳”背景下化工企业气候信息披露研究</w:t>
      </w:r>
      <w:r>
        <w:tab/>
      </w:r>
      <w:r>
        <w:fldChar w:fldCharType="begin"/>
      </w:r>
      <w:r>
        <w:instrText xml:space="preserve"> PAGEREF _Toc26008 \h </w:instrText>
      </w:r>
      <w:r>
        <w:fldChar w:fldCharType="separate"/>
      </w:r>
      <w:r>
        <w:t>3</w:t>
      </w:r>
      <w:r>
        <w:fldChar w:fldCharType="end"/>
      </w:r>
      <w:r>
        <w:rPr>
          <w:rFonts w:hint="eastAsia" w:ascii="宋体" w:hAnsi="宋体" w:eastAsia="宋体" w:cs="宋体"/>
          <w:color w:val="auto"/>
          <w:lang w:val="en-US" w:eastAsia="zh-CN"/>
        </w:rPr>
        <w:fldChar w:fldCharType="end"/>
      </w:r>
    </w:p>
    <w:p w14:paraId="0E57625F">
      <w:pPr>
        <w:pStyle w:val="17"/>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_Toc28378 </w:instrText>
      </w:r>
      <w:r>
        <w:rPr>
          <w:rFonts w:hint="eastAsia" w:ascii="宋体" w:hAnsi="宋体" w:eastAsia="宋体" w:cs="宋体"/>
          <w:lang w:val="en-US" w:eastAsia="zh-CN"/>
        </w:rPr>
        <w:fldChar w:fldCharType="separate"/>
      </w:r>
      <w:r>
        <w:rPr>
          <w:rFonts w:hint="eastAsia"/>
          <w:lang w:val="en-US" w:eastAsia="zh-CN"/>
        </w:rPr>
        <w:t>（四） 文献评述</w:t>
      </w:r>
      <w:r>
        <w:tab/>
      </w:r>
      <w:r>
        <w:fldChar w:fldCharType="begin"/>
      </w:r>
      <w:r>
        <w:instrText xml:space="preserve"> PAGEREF _Toc28378 \h </w:instrText>
      </w:r>
      <w:r>
        <w:fldChar w:fldCharType="separate"/>
      </w:r>
      <w:r>
        <w:t>4</w:t>
      </w:r>
      <w:r>
        <w:fldChar w:fldCharType="end"/>
      </w:r>
      <w:r>
        <w:rPr>
          <w:rFonts w:hint="eastAsia" w:ascii="宋体" w:hAnsi="宋体" w:eastAsia="宋体" w:cs="宋体"/>
          <w:color w:val="auto"/>
          <w:lang w:val="en-US" w:eastAsia="zh-CN"/>
        </w:rPr>
        <w:fldChar w:fldCharType="end"/>
      </w:r>
    </w:p>
    <w:p w14:paraId="0A2D7E8B">
      <w:pPr>
        <w:pStyle w:val="15"/>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_Toc23495 </w:instrText>
      </w:r>
      <w:r>
        <w:rPr>
          <w:rFonts w:hint="eastAsia" w:ascii="宋体" w:hAnsi="宋体" w:eastAsia="宋体" w:cs="宋体"/>
          <w:lang w:val="en-US" w:eastAsia="zh-CN"/>
        </w:rPr>
        <w:fldChar w:fldCharType="separate"/>
      </w:r>
      <w:r>
        <w:rPr>
          <w:rFonts w:hint="eastAsia" w:ascii="宋体" w:hAnsi="宋体" w:eastAsia="宋体" w:cs="宋体"/>
        </w:rPr>
        <w:t>二、 核心概念与理论基础</w:t>
      </w:r>
      <w:r>
        <w:tab/>
      </w:r>
      <w:r>
        <w:fldChar w:fldCharType="begin"/>
      </w:r>
      <w:r>
        <w:instrText xml:space="preserve"> PAGEREF _Toc23495 \h </w:instrText>
      </w:r>
      <w:r>
        <w:fldChar w:fldCharType="separate"/>
      </w:r>
      <w:r>
        <w:t>4</w:t>
      </w:r>
      <w:r>
        <w:fldChar w:fldCharType="end"/>
      </w:r>
      <w:r>
        <w:rPr>
          <w:rFonts w:hint="eastAsia" w:ascii="宋体" w:hAnsi="宋体" w:eastAsia="宋体" w:cs="宋体"/>
          <w:color w:val="auto"/>
          <w:lang w:val="en-US" w:eastAsia="zh-CN"/>
        </w:rPr>
        <w:fldChar w:fldCharType="end"/>
      </w:r>
    </w:p>
    <w:p w14:paraId="17BE80EA">
      <w:pPr>
        <w:pStyle w:val="17"/>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_Toc1108 </w:instrText>
      </w:r>
      <w:r>
        <w:rPr>
          <w:rFonts w:hint="eastAsia" w:ascii="宋体" w:hAnsi="宋体" w:eastAsia="宋体" w:cs="宋体"/>
          <w:lang w:val="en-US" w:eastAsia="zh-CN"/>
        </w:rPr>
        <w:fldChar w:fldCharType="separate"/>
      </w:r>
      <w:r>
        <w:rPr>
          <w:rFonts w:hint="eastAsia" w:ascii="宋体" w:hAnsi="宋体" w:eastAsia="宋体" w:cs="宋体"/>
        </w:rPr>
        <w:t>（一） 核心概念界定</w:t>
      </w:r>
      <w:r>
        <w:tab/>
      </w:r>
      <w:r>
        <w:fldChar w:fldCharType="begin"/>
      </w:r>
      <w:r>
        <w:instrText xml:space="preserve"> PAGEREF _Toc1108 \h </w:instrText>
      </w:r>
      <w:r>
        <w:fldChar w:fldCharType="separate"/>
      </w:r>
      <w:r>
        <w:t>4</w:t>
      </w:r>
      <w:r>
        <w:fldChar w:fldCharType="end"/>
      </w:r>
      <w:r>
        <w:rPr>
          <w:rFonts w:hint="eastAsia" w:ascii="宋体" w:hAnsi="宋体" w:eastAsia="宋体" w:cs="宋体"/>
          <w:color w:val="auto"/>
          <w:lang w:val="en-US" w:eastAsia="zh-CN"/>
        </w:rPr>
        <w:fldChar w:fldCharType="end"/>
      </w:r>
    </w:p>
    <w:p w14:paraId="1DB3DB6D">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_Toc24671 </w:instrText>
      </w:r>
      <w:r>
        <w:rPr>
          <w:rFonts w:hint="eastAsia" w:ascii="宋体" w:hAnsi="宋体" w:eastAsia="宋体" w:cs="宋体"/>
          <w:lang w:val="en-US" w:eastAsia="zh-CN"/>
        </w:rPr>
        <w:fldChar w:fldCharType="separate"/>
      </w:r>
      <w:r>
        <w:rPr>
          <w:rFonts w:hint="eastAsia" w:ascii="宋体" w:hAnsi="宋体" w:eastAsia="宋体" w:cs="宋体"/>
        </w:rPr>
        <w:t xml:space="preserve">1. </w:t>
      </w:r>
      <w:r>
        <w:rPr>
          <w:rFonts w:hint="eastAsia" w:ascii="宋体" w:hAnsi="宋体" w:eastAsia="宋体" w:cs="宋体"/>
          <w:lang w:eastAsia="zh-CN"/>
        </w:rPr>
        <w:t>“</w:t>
      </w:r>
      <w:r>
        <w:rPr>
          <w:rFonts w:hint="eastAsia" w:ascii="宋体" w:hAnsi="宋体" w:eastAsia="宋体" w:cs="宋体"/>
        </w:rPr>
        <w:t>双碳</w:t>
      </w:r>
      <w:r>
        <w:rPr>
          <w:rFonts w:hint="eastAsia" w:ascii="宋体" w:hAnsi="宋体" w:eastAsia="宋体" w:cs="宋体"/>
          <w:lang w:eastAsia="zh-CN"/>
        </w:rPr>
        <w:t>”</w:t>
      </w:r>
      <w:r>
        <w:rPr>
          <w:rFonts w:hint="eastAsia" w:ascii="宋体" w:hAnsi="宋体" w:eastAsia="宋体" w:cs="宋体"/>
        </w:rPr>
        <w:t>目标与企业碳账户</w:t>
      </w:r>
      <w:r>
        <w:tab/>
      </w:r>
      <w:r>
        <w:fldChar w:fldCharType="begin"/>
      </w:r>
      <w:r>
        <w:instrText xml:space="preserve"> PAGEREF _Toc24671 \h </w:instrText>
      </w:r>
      <w:r>
        <w:fldChar w:fldCharType="separate"/>
      </w:r>
      <w:r>
        <w:t>4</w:t>
      </w:r>
      <w:r>
        <w:fldChar w:fldCharType="end"/>
      </w:r>
      <w:r>
        <w:rPr>
          <w:rFonts w:hint="eastAsia" w:ascii="宋体" w:hAnsi="宋体" w:eastAsia="宋体" w:cs="宋体"/>
          <w:color w:val="auto"/>
          <w:lang w:val="en-US" w:eastAsia="zh-CN"/>
        </w:rPr>
        <w:fldChar w:fldCharType="end"/>
      </w:r>
    </w:p>
    <w:p w14:paraId="59798D11">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_Toc8219 </w:instrText>
      </w:r>
      <w:r>
        <w:rPr>
          <w:rFonts w:hint="eastAsia" w:ascii="宋体" w:hAnsi="宋体" w:eastAsia="宋体" w:cs="宋体"/>
          <w:lang w:val="en-US" w:eastAsia="zh-CN"/>
        </w:rPr>
        <w:fldChar w:fldCharType="separate"/>
      </w:r>
      <w:r>
        <w:rPr>
          <w:rFonts w:hint="eastAsia" w:ascii="宋体" w:hAnsi="宋体" w:eastAsia="宋体" w:cs="宋体"/>
        </w:rPr>
        <w:t>2. ESG信息披露的内涵与边界</w:t>
      </w:r>
      <w:r>
        <w:tab/>
      </w:r>
      <w:r>
        <w:fldChar w:fldCharType="begin"/>
      </w:r>
      <w:r>
        <w:instrText xml:space="preserve"> PAGEREF _Toc8219 \h </w:instrText>
      </w:r>
      <w:r>
        <w:fldChar w:fldCharType="separate"/>
      </w:r>
      <w:r>
        <w:t>4</w:t>
      </w:r>
      <w:r>
        <w:fldChar w:fldCharType="end"/>
      </w:r>
      <w:r>
        <w:rPr>
          <w:rFonts w:hint="eastAsia" w:ascii="宋体" w:hAnsi="宋体" w:eastAsia="宋体" w:cs="宋体"/>
          <w:color w:val="auto"/>
          <w:lang w:val="en-US" w:eastAsia="zh-CN"/>
        </w:rPr>
        <w:fldChar w:fldCharType="end"/>
      </w:r>
    </w:p>
    <w:p w14:paraId="3EB2A10E">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_Toc9851 </w:instrText>
      </w:r>
      <w:r>
        <w:rPr>
          <w:rFonts w:hint="eastAsia" w:ascii="宋体" w:hAnsi="宋体" w:eastAsia="宋体" w:cs="宋体"/>
          <w:lang w:val="en-US" w:eastAsia="zh-CN"/>
        </w:rPr>
        <w:fldChar w:fldCharType="separate"/>
      </w:r>
      <w:r>
        <w:rPr>
          <w:rFonts w:hint="eastAsia" w:ascii="宋体" w:hAnsi="宋体" w:eastAsia="宋体" w:cs="宋体"/>
        </w:rPr>
        <w:t>3. 化工行业ESG披露的特殊性</w:t>
      </w:r>
      <w:r>
        <w:tab/>
      </w:r>
      <w:r>
        <w:fldChar w:fldCharType="begin"/>
      </w:r>
      <w:r>
        <w:instrText xml:space="preserve"> PAGEREF _Toc9851 \h </w:instrText>
      </w:r>
      <w:r>
        <w:fldChar w:fldCharType="separate"/>
      </w:r>
      <w:r>
        <w:t>5</w:t>
      </w:r>
      <w:r>
        <w:fldChar w:fldCharType="end"/>
      </w:r>
      <w:r>
        <w:rPr>
          <w:rFonts w:hint="eastAsia" w:ascii="宋体" w:hAnsi="宋体" w:eastAsia="宋体" w:cs="宋体"/>
          <w:color w:val="auto"/>
          <w:lang w:val="en-US" w:eastAsia="zh-CN"/>
        </w:rPr>
        <w:fldChar w:fldCharType="end"/>
      </w:r>
    </w:p>
    <w:p w14:paraId="1E7F8185">
      <w:pPr>
        <w:pStyle w:val="17"/>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_Toc16143 </w:instrText>
      </w:r>
      <w:r>
        <w:rPr>
          <w:rFonts w:hint="eastAsia" w:ascii="宋体" w:hAnsi="宋体" w:eastAsia="宋体" w:cs="宋体"/>
          <w:lang w:val="en-US" w:eastAsia="zh-CN"/>
        </w:rPr>
        <w:fldChar w:fldCharType="separate"/>
      </w:r>
      <w:r>
        <w:rPr>
          <w:rFonts w:hint="eastAsia" w:ascii="宋体" w:hAnsi="宋体" w:eastAsia="宋体" w:cs="宋体"/>
        </w:rPr>
        <w:t xml:space="preserve">（二） </w:t>
      </w:r>
      <w:r>
        <w:rPr>
          <w:rFonts w:hint="eastAsia" w:ascii="宋体" w:hAnsi="宋体" w:eastAsia="宋体" w:cs="宋体"/>
          <w:highlight w:val="none"/>
        </w:rPr>
        <w:t>理论基础</w:t>
      </w:r>
      <w:r>
        <w:tab/>
      </w:r>
      <w:r>
        <w:fldChar w:fldCharType="begin"/>
      </w:r>
      <w:r>
        <w:instrText xml:space="preserve"> PAGEREF _Toc16143 \h </w:instrText>
      </w:r>
      <w:r>
        <w:fldChar w:fldCharType="separate"/>
      </w:r>
      <w:r>
        <w:t>5</w:t>
      </w:r>
      <w:r>
        <w:fldChar w:fldCharType="end"/>
      </w:r>
      <w:r>
        <w:rPr>
          <w:rFonts w:hint="eastAsia" w:ascii="宋体" w:hAnsi="宋体" w:eastAsia="宋体" w:cs="宋体"/>
          <w:color w:val="auto"/>
          <w:lang w:val="en-US" w:eastAsia="zh-CN"/>
        </w:rPr>
        <w:fldChar w:fldCharType="end"/>
      </w:r>
    </w:p>
    <w:p w14:paraId="0347767C">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_Toc15594 </w:instrText>
      </w:r>
      <w:r>
        <w:rPr>
          <w:rFonts w:hint="eastAsia" w:ascii="宋体" w:hAnsi="宋体" w:eastAsia="宋体" w:cs="宋体"/>
          <w:lang w:val="en-US" w:eastAsia="zh-CN"/>
        </w:rPr>
        <w:fldChar w:fldCharType="separate"/>
      </w:r>
      <w:r>
        <w:rPr>
          <w:rFonts w:hint="eastAsia" w:ascii="宋体" w:hAnsi="宋体" w:eastAsia="宋体" w:cs="宋体"/>
        </w:rPr>
        <w:t xml:space="preserve">1. </w:t>
      </w:r>
      <w:r>
        <w:rPr>
          <w:rFonts w:hint="eastAsia" w:ascii="宋体" w:hAnsi="宋体" w:eastAsia="宋体" w:cs="宋体"/>
          <w:highlight w:val="none"/>
        </w:rPr>
        <w:t>利益相关者理论</w:t>
      </w:r>
      <w:r>
        <w:tab/>
      </w:r>
      <w:r>
        <w:fldChar w:fldCharType="begin"/>
      </w:r>
      <w:r>
        <w:instrText xml:space="preserve"> PAGEREF _Toc15594 \h </w:instrText>
      </w:r>
      <w:r>
        <w:fldChar w:fldCharType="separate"/>
      </w:r>
      <w:r>
        <w:t>5</w:t>
      </w:r>
      <w:r>
        <w:fldChar w:fldCharType="end"/>
      </w:r>
      <w:r>
        <w:rPr>
          <w:rFonts w:hint="eastAsia" w:ascii="宋体" w:hAnsi="宋体" w:eastAsia="宋体" w:cs="宋体"/>
          <w:color w:val="auto"/>
          <w:lang w:val="en-US" w:eastAsia="zh-CN"/>
        </w:rPr>
        <w:fldChar w:fldCharType="end"/>
      </w:r>
    </w:p>
    <w:p w14:paraId="1D783A14">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_Toc19588 </w:instrText>
      </w:r>
      <w:r>
        <w:rPr>
          <w:rFonts w:hint="eastAsia" w:ascii="宋体" w:hAnsi="宋体" w:eastAsia="宋体" w:cs="宋体"/>
          <w:lang w:val="en-US" w:eastAsia="zh-CN"/>
        </w:rPr>
        <w:fldChar w:fldCharType="separate"/>
      </w:r>
      <w:r>
        <w:rPr>
          <w:rFonts w:hint="eastAsia" w:ascii="宋体" w:hAnsi="宋体" w:eastAsia="宋体" w:cs="宋体"/>
        </w:rPr>
        <w:t xml:space="preserve">2. </w:t>
      </w:r>
      <w:r>
        <w:rPr>
          <w:rFonts w:hint="eastAsia" w:ascii="宋体" w:hAnsi="宋体" w:eastAsia="宋体" w:cs="宋体"/>
          <w:highlight w:val="none"/>
        </w:rPr>
        <w:t>可持续发展理论</w:t>
      </w:r>
      <w:r>
        <w:tab/>
      </w:r>
      <w:r>
        <w:fldChar w:fldCharType="begin"/>
      </w:r>
      <w:r>
        <w:instrText xml:space="preserve"> PAGEREF _Toc19588 \h </w:instrText>
      </w:r>
      <w:r>
        <w:fldChar w:fldCharType="separate"/>
      </w:r>
      <w:r>
        <w:t>5</w:t>
      </w:r>
      <w:r>
        <w:fldChar w:fldCharType="end"/>
      </w:r>
      <w:r>
        <w:rPr>
          <w:rFonts w:hint="eastAsia" w:ascii="宋体" w:hAnsi="宋体" w:eastAsia="宋体" w:cs="宋体"/>
          <w:color w:val="auto"/>
          <w:lang w:val="en-US" w:eastAsia="zh-CN"/>
        </w:rPr>
        <w:fldChar w:fldCharType="end"/>
      </w:r>
    </w:p>
    <w:p w14:paraId="64C74631">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_Toc8807 </w:instrText>
      </w:r>
      <w:r>
        <w:rPr>
          <w:rFonts w:hint="eastAsia" w:ascii="宋体" w:hAnsi="宋体" w:eastAsia="宋体" w:cs="宋体"/>
          <w:lang w:val="en-US" w:eastAsia="zh-CN"/>
        </w:rPr>
        <w:fldChar w:fldCharType="separate"/>
      </w:r>
      <w:r>
        <w:rPr>
          <w:rFonts w:hint="eastAsia" w:ascii="宋体" w:hAnsi="宋体" w:eastAsia="宋体" w:cs="宋体"/>
        </w:rPr>
        <w:t xml:space="preserve">3. </w:t>
      </w:r>
      <w:r>
        <w:rPr>
          <w:rFonts w:hint="eastAsia" w:ascii="宋体" w:hAnsi="宋体" w:eastAsia="宋体" w:cs="宋体"/>
          <w:highlight w:val="none"/>
        </w:rPr>
        <w:t>信号传递理论</w:t>
      </w:r>
      <w:r>
        <w:tab/>
      </w:r>
      <w:r>
        <w:fldChar w:fldCharType="begin"/>
      </w:r>
      <w:r>
        <w:instrText xml:space="preserve"> PAGEREF _Toc8807 \h </w:instrText>
      </w:r>
      <w:r>
        <w:fldChar w:fldCharType="separate"/>
      </w:r>
      <w:r>
        <w:t>6</w:t>
      </w:r>
      <w:r>
        <w:fldChar w:fldCharType="end"/>
      </w:r>
      <w:r>
        <w:rPr>
          <w:rFonts w:hint="eastAsia" w:ascii="宋体" w:hAnsi="宋体" w:eastAsia="宋体" w:cs="宋体"/>
          <w:color w:val="auto"/>
          <w:lang w:val="en-US" w:eastAsia="zh-CN"/>
        </w:rPr>
        <w:fldChar w:fldCharType="end"/>
      </w:r>
    </w:p>
    <w:p w14:paraId="682124AE">
      <w:pPr>
        <w:pStyle w:val="15"/>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_Toc29210 </w:instrText>
      </w:r>
      <w:r>
        <w:rPr>
          <w:rFonts w:hint="eastAsia" w:ascii="宋体" w:hAnsi="宋体" w:eastAsia="宋体" w:cs="宋体"/>
          <w:lang w:val="en-US" w:eastAsia="zh-CN"/>
        </w:rPr>
        <w:fldChar w:fldCharType="separate"/>
      </w:r>
      <w:r>
        <w:rPr>
          <w:rFonts w:hint="eastAsia" w:ascii="宋体" w:hAnsi="宋体" w:eastAsia="宋体" w:cs="宋体"/>
        </w:rPr>
        <w:t>三、 天原股份ESG信息披露现状分析</w:t>
      </w:r>
      <w:r>
        <w:tab/>
      </w:r>
      <w:r>
        <w:fldChar w:fldCharType="begin"/>
      </w:r>
      <w:r>
        <w:instrText xml:space="preserve"> PAGEREF _Toc29210 \h </w:instrText>
      </w:r>
      <w:r>
        <w:fldChar w:fldCharType="separate"/>
      </w:r>
      <w:r>
        <w:t>6</w:t>
      </w:r>
      <w:r>
        <w:fldChar w:fldCharType="end"/>
      </w:r>
      <w:r>
        <w:rPr>
          <w:rFonts w:hint="eastAsia" w:ascii="宋体" w:hAnsi="宋体" w:eastAsia="宋体" w:cs="宋体"/>
          <w:color w:val="auto"/>
          <w:lang w:val="en-US" w:eastAsia="zh-CN"/>
        </w:rPr>
        <w:fldChar w:fldCharType="end"/>
      </w:r>
    </w:p>
    <w:p w14:paraId="7A369731">
      <w:pPr>
        <w:pStyle w:val="17"/>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_Toc12445 </w:instrText>
      </w:r>
      <w:r>
        <w:rPr>
          <w:rFonts w:hint="eastAsia" w:ascii="宋体" w:hAnsi="宋体" w:eastAsia="宋体" w:cs="宋体"/>
          <w:lang w:val="en-US" w:eastAsia="zh-CN"/>
        </w:rPr>
        <w:fldChar w:fldCharType="separate"/>
      </w:r>
      <w:r>
        <w:rPr>
          <w:rFonts w:hint="eastAsia" w:ascii="宋体" w:hAnsi="宋体" w:eastAsia="宋体" w:cs="宋体"/>
        </w:rPr>
        <w:t>（一） 天原股份概况与ESG管理架构</w:t>
      </w:r>
      <w:r>
        <w:tab/>
      </w:r>
      <w:r>
        <w:fldChar w:fldCharType="begin"/>
      </w:r>
      <w:r>
        <w:instrText xml:space="preserve"> PAGEREF _Toc12445 \h </w:instrText>
      </w:r>
      <w:r>
        <w:fldChar w:fldCharType="separate"/>
      </w:r>
      <w:r>
        <w:t>6</w:t>
      </w:r>
      <w:r>
        <w:fldChar w:fldCharType="end"/>
      </w:r>
      <w:r>
        <w:rPr>
          <w:rFonts w:hint="eastAsia" w:ascii="宋体" w:hAnsi="宋体" w:eastAsia="宋体" w:cs="宋体"/>
          <w:color w:val="auto"/>
          <w:lang w:val="en-US" w:eastAsia="zh-CN"/>
        </w:rPr>
        <w:fldChar w:fldCharType="end"/>
      </w:r>
    </w:p>
    <w:p w14:paraId="2C6553CC">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_Toc18229 </w:instrText>
      </w:r>
      <w:r>
        <w:rPr>
          <w:rFonts w:hint="eastAsia" w:ascii="宋体" w:hAnsi="宋体" w:eastAsia="宋体" w:cs="宋体"/>
          <w:lang w:val="en-US" w:eastAsia="zh-CN"/>
        </w:rPr>
        <w:fldChar w:fldCharType="separate"/>
      </w:r>
      <w:r>
        <w:rPr>
          <w:rFonts w:hint="eastAsia" w:ascii="宋体" w:hAnsi="宋体" w:eastAsia="宋体" w:cs="宋体"/>
          <w:lang w:eastAsia="zh-CN"/>
        </w:rPr>
        <w:t xml:space="preserve">1. </w:t>
      </w:r>
      <w:r>
        <w:rPr>
          <w:rFonts w:hint="eastAsia" w:ascii="宋体" w:hAnsi="宋体" w:eastAsia="宋体" w:cs="宋体"/>
        </w:rPr>
        <w:t>公司简介及主要业务布局</w:t>
      </w:r>
      <w:r>
        <w:tab/>
      </w:r>
      <w:r>
        <w:fldChar w:fldCharType="begin"/>
      </w:r>
      <w:r>
        <w:instrText xml:space="preserve"> PAGEREF _Toc18229 \h </w:instrText>
      </w:r>
      <w:r>
        <w:fldChar w:fldCharType="separate"/>
      </w:r>
      <w:r>
        <w:t>6</w:t>
      </w:r>
      <w:r>
        <w:fldChar w:fldCharType="end"/>
      </w:r>
      <w:r>
        <w:rPr>
          <w:rFonts w:hint="eastAsia" w:ascii="宋体" w:hAnsi="宋体" w:eastAsia="宋体" w:cs="宋体"/>
          <w:color w:val="auto"/>
          <w:lang w:val="en-US" w:eastAsia="zh-CN"/>
        </w:rPr>
        <w:fldChar w:fldCharType="end"/>
      </w:r>
    </w:p>
    <w:p w14:paraId="56CCBA07">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_Toc15413 </w:instrText>
      </w:r>
      <w:r>
        <w:rPr>
          <w:rFonts w:hint="eastAsia" w:ascii="宋体" w:hAnsi="宋体" w:eastAsia="宋体" w:cs="宋体"/>
          <w:lang w:val="en-US" w:eastAsia="zh-CN"/>
        </w:rPr>
        <w:fldChar w:fldCharType="separate"/>
      </w:r>
      <w:r>
        <w:rPr>
          <w:rFonts w:hint="eastAsia" w:ascii="宋体" w:hAnsi="宋体" w:eastAsia="宋体" w:cs="宋体"/>
          <w:lang w:eastAsia="zh-CN"/>
        </w:rPr>
        <w:t xml:space="preserve">2. </w:t>
      </w:r>
      <w:r>
        <w:rPr>
          <w:rFonts w:hint="eastAsia" w:ascii="宋体" w:hAnsi="宋体" w:eastAsia="宋体" w:cs="宋体"/>
        </w:rPr>
        <w:t>公司ESG管治结构</w:t>
      </w:r>
      <w:r>
        <w:tab/>
      </w:r>
      <w:r>
        <w:fldChar w:fldCharType="begin"/>
      </w:r>
      <w:r>
        <w:instrText xml:space="preserve"> PAGEREF _Toc15413 \h </w:instrText>
      </w:r>
      <w:r>
        <w:fldChar w:fldCharType="separate"/>
      </w:r>
      <w:r>
        <w:t>6</w:t>
      </w:r>
      <w:r>
        <w:fldChar w:fldCharType="end"/>
      </w:r>
      <w:r>
        <w:rPr>
          <w:rFonts w:hint="eastAsia" w:ascii="宋体" w:hAnsi="宋体" w:eastAsia="宋体" w:cs="宋体"/>
          <w:color w:val="auto"/>
          <w:lang w:val="en-US" w:eastAsia="zh-CN"/>
        </w:rPr>
        <w:fldChar w:fldCharType="end"/>
      </w:r>
    </w:p>
    <w:p w14:paraId="3612EAD7">
      <w:pPr>
        <w:pStyle w:val="16"/>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_Toc25927 </w:instrText>
      </w:r>
      <w:r>
        <w:rPr>
          <w:rFonts w:hint="eastAsia" w:ascii="宋体" w:hAnsi="宋体" w:eastAsia="宋体" w:cs="宋体"/>
          <w:lang w:val="en-US" w:eastAsia="zh-CN"/>
        </w:rPr>
        <w:fldChar w:fldCharType="separate"/>
      </w:r>
      <w:r>
        <w:rPr>
          <w:rFonts w:hint="eastAsia" w:ascii="宋体" w:hAnsi="宋体" w:eastAsia="宋体" w:cs="宋体"/>
        </w:rPr>
        <w:t>（1） 监督层</w:t>
      </w:r>
      <w:r>
        <w:tab/>
      </w:r>
      <w:r>
        <w:fldChar w:fldCharType="begin"/>
      </w:r>
      <w:r>
        <w:instrText xml:space="preserve"> PAGEREF _Toc25927 \h </w:instrText>
      </w:r>
      <w:r>
        <w:fldChar w:fldCharType="separate"/>
      </w:r>
      <w:r>
        <w:t>6</w:t>
      </w:r>
      <w:r>
        <w:fldChar w:fldCharType="end"/>
      </w:r>
      <w:r>
        <w:rPr>
          <w:rFonts w:hint="eastAsia" w:ascii="宋体" w:hAnsi="宋体" w:eastAsia="宋体" w:cs="宋体"/>
          <w:color w:val="auto"/>
          <w:lang w:val="en-US" w:eastAsia="zh-CN"/>
        </w:rPr>
        <w:fldChar w:fldCharType="end"/>
      </w:r>
    </w:p>
    <w:p w14:paraId="664699F6">
      <w:pPr>
        <w:pStyle w:val="16"/>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_Toc31370 </w:instrText>
      </w:r>
      <w:r>
        <w:rPr>
          <w:rFonts w:hint="eastAsia" w:ascii="宋体" w:hAnsi="宋体" w:eastAsia="宋体" w:cs="宋体"/>
          <w:lang w:val="en-US" w:eastAsia="zh-CN"/>
        </w:rPr>
        <w:fldChar w:fldCharType="separate"/>
      </w:r>
      <w:r>
        <w:rPr>
          <w:rFonts w:hint="eastAsia" w:ascii="宋体" w:hAnsi="宋体" w:eastAsia="宋体" w:cs="宋体"/>
        </w:rPr>
        <w:t>（2） 管理层</w:t>
      </w:r>
      <w:r>
        <w:tab/>
      </w:r>
      <w:r>
        <w:fldChar w:fldCharType="begin"/>
      </w:r>
      <w:r>
        <w:instrText xml:space="preserve"> PAGEREF _Toc31370 \h </w:instrText>
      </w:r>
      <w:r>
        <w:fldChar w:fldCharType="separate"/>
      </w:r>
      <w:r>
        <w:t>7</w:t>
      </w:r>
      <w:r>
        <w:fldChar w:fldCharType="end"/>
      </w:r>
      <w:r>
        <w:rPr>
          <w:rFonts w:hint="eastAsia" w:ascii="宋体" w:hAnsi="宋体" w:eastAsia="宋体" w:cs="宋体"/>
          <w:color w:val="auto"/>
          <w:lang w:val="en-US" w:eastAsia="zh-CN"/>
        </w:rPr>
        <w:fldChar w:fldCharType="end"/>
      </w:r>
    </w:p>
    <w:p w14:paraId="6CC57DCE">
      <w:pPr>
        <w:pStyle w:val="16"/>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_Toc20295 </w:instrText>
      </w:r>
      <w:r>
        <w:rPr>
          <w:rFonts w:hint="eastAsia" w:ascii="宋体" w:hAnsi="宋体" w:eastAsia="宋体" w:cs="宋体"/>
          <w:lang w:val="en-US" w:eastAsia="zh-CN"/>
        </w:rPr>
        <w:fldChar w:fldCharType="separate"/>
      </w:r>
      <w:r>
        <w:rPr>
          <w:rFonts w:hint="eastAsia" w:ascii="宋体" w:hAnsi="宋体" w:eastAsia="宋体" w:cs="宋体"/>
        </w:rPr>
        <w:t>（3） 执行层</w:t>
      </w:r>
      <w:r>
        <w:tab/>
      </w:r>
      <w:r>
        <w:fldChar w:fldCharType="begin"/>
      </w:r>
      <w:r>
        <w:instrText xml:space="preserve"> PAGEREF _Toc20295 \h </w:instrText>
      </w:r>
      <w:r>
        <w:fldChar w:fldCharType="separate"/>
      </w:r>
      <w:r>
        <w:t>7</w:t>
      </w:r>
      <w:r>
        <w:fldChar w:fldCharType="end"/>
      </w:r>
      <w:r>
        <w:rPr>
          <w:rFonts w:hint="eastAsia" w:ascii="宋体" w:hAnsi="宋体" w:eastAsia="宋体" w:cs="宋体"/>
          <w:color w:val="auto"/>
          <w:lang w:val="en-US" w:eastAsia="zh-CN"/>
        </w:rPr>
        <w:fldChar w:fldCharType="end"/>
      </w:r>
    </w:p>
    <w:p w14:paraId="38E2533E">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_Toc431 </w:instrText>
      </w:r>
      <w:r>
        <w:rPr>
          <w:rFonts w:hint="eastAsia" w:ascii="宋体" w:hAnsi="宋体" w:eastAsia="宋体" w:cs="宋体"/>
          <w:lang w:val="en-US" w:eastAsia="zh-CN"/>
        </w:rPr>
        <w:fldChar w:fldCharType="separate"/>
      </w:r>
      <w:r>
        <w:rPr>
          <w:rFonts w:hint="eastAsia" w:ascii="宋体" w:hAnsi="宋体" w:eastAsia="宋体" w:cs="宋体"/>
        </w:rPr>
        <w:t>3. 现有ESG管治架构特征</w:t>
      </w:r>
      <w:r>
        <w:tab/>
      </w:r>
      <w:r>
        <w:fldChar w:fldCharType="begin"/>
      </w:r>
      <w:r>
        <w:instrText xml:space="preserve"> PAGEREF _Toc431 \h </w:instrText>
      </w:r>
      <w:r>
        <w:fldChar w:fldCharType="separate"/>
      </w:r>
      <w:r>
        <w:t>7</w:t>
      </w:r>
      <w:r>
        <w:fldChar w:fldCharType="end"/>
      </w:r>
      <w:r>
        <w:rPr>
          <w:rFonts w:hint="eastAsia" w:ascii="宋体" w:hAnsi="宋体" w:eastAsia="宋体" w:cs="宋体"/>
          <w:color w:val="auto"/>
          <w:lang w:val="en-US" w:eastAsia="zh-CN"/>
        </w:rPr>
        <w:fldChar w:fldCharType="end"/>
      </w:r>
    </w:p>
    <w:p w14:paraId="6A813D47">
      <w:pPr>
        <w:pStyle w:val="17"/>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_Toc19980 </w:instrText>
      </w:r>
      <w:r>
        <w:rPr>
          <w:rFonts w:hint="eastAsia" w:ascii="宋体" w:hAnsi="宋体" w:eastAsia="宋体" w:cs="宋体"/>
          <w:lang w:val="en-US" w:eastAsia="zh-CN"/>
        </w:rPr>
        <w:fldChar w:fldCharType="separate"/>
      </w:r>
      <w:r>
        <w:rPr>
          <w:rFonts w:hint="eastAsia" w:ascii="宋体" w:hAnsi="宋体" w:eastAsia="宋体" w:cs="宋体"/>
        </w:rPr>
        <w:t>（二） ESG信息披露的渠道与载体</w:t>
      </w:r>
      <w:r>
        <w:tab/>
      </w:r>
      <w:r>
        <w:fldChar w:fldCharType="begin"/>
      </w:r>
      <w:r>
        <w:instrText xml:space="preserve"> PAGEREF _Toc19980 \h </w:instrText>
      </w:r>
      <w:r>
        <w:fldChar w:fldCharType="separate"/>
      </w:r>
      <w:r>
        <w:t>7</w:t>
      </w:r>
      <w:r>
        <w:fldChar w:fldCharType="end"/>
      </w:r>
      <w:r>
        <w:rPr>
          <w:rFonts w:hint="eastAsia" w:ascii="宋体" w:hAnsi="宋体" w:eastAsia="宋体" w:cs="宋体"/>
          <w:color w:val="auto"/>
          <w:lang w:val="en-US" w:eastAsia="zh-CN"/>
        </w:rPr>
        <w:fldChar w:fldCharType="end"/>
      </w:r>
    </w:p>
    <w:p w14:paraId="2023E720">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_Toc7656 </w:instrText>
      </w:r>
      <w:r>
        <w:rPr>
          <w:rFonts w:hint="eastAsia" w:ascii="宋体" w:hAnsi="宋体" w:eastAsia="宋体" w:cs="宋体"/>
          <w:lang w:val="en-US" w:eastAsia="zh-CN"/>
        </w:rPr>
        <w:fldChar w:fldCharType="separate"/>
      </w:r>
      <w:r>
        <w:rPr>
          <w:rFonts w:hint="eastAsia" w:ascii="宋体" w:hAnsi="宋体" w:eastAsia="宋体" w:cs="宋体"/>
        </w:rPr>
        <w:t>1. 披露载体的演进</w:t>
      </w:r>
      <w:r>
        <w:tab/>
      </w:r>
      <w:r>
        <w:fldChar w:fldCharType="begin"/>
      </w:r>
      <w:r>
        <w:instrText xml:space="preserve"> PAGEREF _Toc7656 \h </w:instrText>
      </w:r>
      <w:r>
        <w:fldChar w:fldCharType="separate"/>
      </w:r>
      <w:r>
        <w:t>7</w:t>
      </w:r>
      <w:r>
        <w:fldChar w:fldCharType="end"/>
      </w:r>
      <w:r>
        <w:rPr>
          <w:rFonts w:hint="eastAsia" w:ascii="宋体" w:hAnsi="宋体" w:eastAsia="宋体" w:cs="宋体"/>
          <w:color w:val="auto"/>
          <w:lang w:val="en-US" w:eastAsia="zh-CN"/>
        </w:rPr>
        <w:fldChar w:fldCharType="end"/>
      </w:r>
    </w:p>
    <w:p w14:paraId="44223002">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_Toc12395 </w:instrText>
      </w:r>
      <w:r>
        <w:rPr>
          <w:rFonts w:hint="eastAsia" w:ascii="宋体" w:hAnsi="宋体" w:eastAsia="宋体" w:cs="宋体"/>
          <w:lang w:val="en-US" w:eastAsia="zh-CN"/>
        </w:rPr>
        <w:fldChar w:fldCharType="separate"/>
      </w:r>
      <w:r>
        <w:rPr>
          <w:rFonts w:hint="eastAsia" w:ascii="宋体" w:hAnsi="宋体" w:eastAsia="宋体" w:cs="宋体"/>
        </w:rPr>
        <w:t>2. 披露渠道的规范性与时效性</w:t>
      </w:r>
      <w:r>
        <w:tab/>
      </w:r>
      <w:r>
        <w:fldChar w:fldCharType="begin"/>
      </w:r>
      <w:r>
        <w:instrText xml:space="preserve"> PAGEREF _Toc12395 \h </w:instrText>
      </w:r>
      <w:r>
        <w:fldChar w:fldCharType="separate"/>
      </w:r>
      <w:r>
        <w:t>8</w:t>
      </w:r>
      <w:r>
        <w:fldChar w:fldCharType="end"/>
      </w:r>
      <w:r>
        <w:rPr>
          <w:rFonts w:hint="eastAsia" w:ascii="宋体" w:hAnsi="宋体" w:eastAsia="宋体" w:cs="宋体"/>
          <w:color w:val="auto"/>
          <w:lang w:val="en-US" w:eastAsia="zh-CN"/>
        </w:rPr>
        <w:fldChar w:fldCharType="end"/>
      </w:r>
    </w:p>
    <w:p w14:paraId="1197B692">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_Toc20433 </w:instrText>
      </w:r>
      <w:r>
        <w:rPr>
          <w:rFonts w:hint="eastAsia" w:ascii="宋体" w:hAnsi="宋体" w:eastAsia="宋体" w:cs="宋体"/>
          <w:lang w:val="en-US" w:eastAsia="zh-CN"/>
        </w:rPr>
        <w:fldChar w:fldCharType="separate"/>
      </w:r>
      <w:r>
        <w:rPr>
          <w:rFonts w:hint="eastAsia" w:ascii="宋体" w:hAnsi="宋体" w:eastAsia="宋体" w:cs="宋体"/>
        </w:rPr>
        <w:t>3. 披露载体的外部验证情况</w:t>
      </w:r>
      <w:r>
        <w:tab/>
      </w:r>
      <w:r>
        <w:fldChar w:fldCharType="begin"/>
      </w:r>
      <w:r>
        <w:instrText xml:space="preserve"> PAGEREF _Toc20433 \h </w:instrText>
      </w:r>
      <w:r>
        <w:fldChar w:fldCharType="separate"/>
      </w:r>
      <w:r>
        <w:t>8</w:t>
      </w:r>
      <w:r>
        <w:fldChar w:fldCharType="end"/>
      </w:r>
      <w:r>
        <w:rPr>
          <w:rFonts w:hint="eastAsia" w:ascii="宋体" w:hAnsi="宋体" w:eastAsia="宋体" w:cs="宋体"/>
          <w:color w:val="auto"/>
          <w:lang w:val="en-US" w:eastAsia="zh-CN"/>
        </w:rPr>
        <w:fldChar w:fldCharType="end"/>
      </w:r>
    </w:p>
    <w:p w14:paraId="0BA79587">
      <w:pPr>
        <w:pStyle w:val="17"/>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_Toc5439 </w:instrText>
      </w:r>
      <w:r>
        <w:rPr>
          <w:rFonts w:hint="eastAsia" w:ascii="宋体" w:hAnsi="宋体" w:eastAsia="宋体" w:cs="宋体"/>
          <w:lang w:val="en-US" w:eastAsia="zh-CN"/>
        </w:rPr>
        <w:fldChar w:fldCharType="separate"/>
      </w:r>
      <w:r>
        <w:rPr>
          <w:rFonts w:hint="eastAsia" w:ascii="宋体" w:hAnsi="宋体" w:eastAsia="宋体" w:cs="宋体"/>
        </w:rPr>
        <w:t xml:space="preserve">（三） </w:t>
      </w:r>
      <w:r>
        <w:rPr>
          <w:rFonts w:hint="eastAsia" w:ascii="宋体" w:hAnsi="宋体" w:eastAsia="宋体" w:cs="宋体"/>
          <w:highlight w:val="none"/>
        </w:rPr>
        <w:t>ESG信息披露的具体内容分析</w:t>
      </w:r>
      <w:r>
        <w:tab/>
      </w:r>
      <w:r>
        <w:fldChar w:fldCharType="begin"/>
      </w:r>
      <w:r>
        <w:instrText xml:space="preserve"> PAGEREF _Toc5439 \h </w:instrText>
      </w:r>
      <w:r>
        <w:fldChar w:fldCharType="separate"/>
      </w:r>
      <w:r>
        <w:t>8</w:t>
      </w:r>
      <w:r>
        <w:fldChar w:fldCharType="end"/>
      </w:r>
      <w:r>
        <w:rPr>
          <w:rFonts w:hint="eastAsia" w:ascii="宋体" w:hAnsi="宋体" w:eastAsia="宋体" w:cs="宋体"/>
          <w:color w:val="auto"/>
          <w:lang w:val="en-US" w:eastAsia="zh-CN"/>
        </w:rPr>
        <w:fldChar w:fldCharType="end"/>
      </w:r>
    </w:p>
    <w:p w14:paraId="45EE95C2">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_Toc8384 </w:instrText>
      </w:r>
      <w:r>
        <w:rPr>
          <w:rFonts w:hint="eastAsia" w:ascii="宋体" w:hAnsi="宋体" w:eastAsia="宋体" w:cs="宋体"/>
          <w:lang w:val="en-US" w:eastAsia="zh-CN"/>
        </w:rPr>
        <w:fldChar w:fldCharType="separate"/>
      </w:r>
      <w:r>
        <w:rPr>
          <w:rFonts w:hint="eastAsia" w:ascii="宋体" w:hAnsi="宋体" w:eastAsia="宋体" w:cs="宋体"/>
        </w:rPr>
        <w:t>1. 环境（E）维度：绿色转型相关信息披露</w:t>
      </w:r>
      <w:r>
        <w:tab/>
      </w:r>
      <w:r>
        <w:fldChar w:fldCharType="begin"/>
      </w:r>
      <w:r>
        <w:instrText xml:space="preserve"> PAGEREF _Toc8384 \h </w:instrText>
      </w:r>
      <w:r>
        <w:fldChar w:fldCharType="separate"/>
      </w:r>
      <w:r>
        <w:t>8</w:t>
      </w:r>
      <w:r>
        <w:fldChar w:fldCharType="end"/>
      </w:r>
      <w:r>
        <w:rPr>
          <w:rFonts w:hint="eastAsia" w:ascii="宋体" w:hAnsi="宋体" w:eastAsia="宋体" w:cs="宋体"/>
          <w:color w:val="auto"/>
          <w:lang w:val="en-US" w:eastAsia="zh-CN"/>
        </w:rPr>
        <w:fldChar w:fldCharType="end"/>
      </w:r>
    </w:p>
    <w:p w14:paraId="5067EC69">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_Toc22221 </w:instrText>
      </w:r>
      <w:r>
        <w:rPr>
          <w:rFonts w:hint="eastAsia" w:ascii="宋体" w:hAnsi="宋体" w:eastAsia="宋体" w:cs="宋体"/>
          <w:lang w:val="en-US" w:eastAsia="zh-CN"/>
        </w:rPr>
        <w:fldChar w:fldCharType="separate"/>
      </w:r>
      <w:r>
        <w:rPr>
          <w:rFonts w:hint="eastAsia" w:ascii="宋体" w:hAnsi="宋体" w:eastAsia="宋体" w:cs="宋体"/>
        </w:rPr>
        <w:t>2. 社会（S）维度：安全生产与社会责任披露</w:t>
      </w:r>
      <w:r>
        <w:tab/>
      </w:r>
      <w:r>
        <w:fldChar w:fldCharType="begin"/>
      </w:r>
      <w:r>
        <w:instrText xml:space="preserve"> PAGEREF _Toc22221 \h </w:instrText>
      </w:r>
      <w:r>
        <w:fldChar w:fldCharType="separate"/>
      </w:r>
      <w:r>
        <w:t>8</w:t>
      </w:r>
      <w:r>
        <w:fldChar w:fldCharType="end"/>
      </w:r>
      <w:r>
        <w:rPr>
          <w:rFonts w:hint="eastAsia" w:ascii="宋体" w:hAnsi="宋体" w:eastAsia="宋体" w:cs="宋体"/>
          <w:color w:val="auto"/>
          <w:lang w:val="en-US" w:eastAsia="zh-CN"/>
        </w:rPr>
        <w:fldChar w:fldCharType="end"/>
      </w:r>
    </w:p>
    <w:p w14:paraId="1FC3A4E9">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_Toc10019 </w:instrText>
      </w:r>
      <w:r>
        <w:rPr>
          <w:rFonts w:hint="eastAsia" w:ascii="宋体" w:hAnsi="宋体" w:eastAsia="宋体" w:cs="宋体"/>
          <w:lang w:val="en-US" w:eastAsia="zh-CN"/>
        </w:rPr>
        <w:fldChar w:fldCharType="separate"/>
      </w:r>
      <w:r>
        <w:rPr>
          <w:rFonts w:hint="eastAsia" w:ascii="宋体" w:hAnsi="宋体" w:eastAsia="宋体" w:cs="宋体"/>
        </w:rPr>
        <w:t>3. 治理（G）维度：党建引领与合规内控披露</w:t>
      </w:r>
      <w:r>
        <w:tab/>
      </w:r>
      <w:r>
        <w:fldChar w:fldCharType="begin"/>
      </w:r>
      <w:r>
        <w:instrText xml:space="preserve"> PAGEREF _Toc10019 \h </w:instrText>
      </w:r>
      <w:r>
        <w:fldChar w:fldCharType="separate"/>
      </w:r>
      <w:r>
        <w:t>9</w:t>
      </w:r>
      <w:r>
        <w:fldChar w:fldCharType="end"/>
      </w:r>
      <w:r>
        <w:rPr>
          <w:rFonts w:hint="eastAsia" w:ascii="宋体" w:hAnsi="宋体" w:eastAsia="宋体" w:cs="宋体"/>
          <w:color w:val="auto"/>
          <w:lang w:val="en-US" w:eastAsia="zh-CN"/>
        </w:rPr>
        <w:fldChar w:fldCharType="end"/>
      </w:r>
    </w:p>
    <w:p w14:paraId="46324AFA">
      <w:pPr>
        <w:pStyle w:val="17"/>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_Toc10782 </w:instrText>
      </w:r>
      <w:r>
        <w:rPr>
          <w:rFonts w:hint="eastAsia" w:ascii="宋体" w:hAnsi="宋体" w:eastAsia="宋体" w:cs="宋体"/>
          <w:lang w:val="en-US" w:eastAsia="zh-CN"/>
        </w:rPr>
        <w:fldChar w:fldCharType="separate"/>
      </w:r>
      <w:r>
        <w:rPr>
          <w:rFonts w:hint="eastAsia"/>
        </w:rPr>
        <w:t>（四） 关键ESG指标的跨期变化分析</w:t>
      </w:r>
      <w:r>
        <w:tab/>
      </w:r>
      <w:r>
        <w:fldChar w:fldCharType="begin"/>
      </w:r>
      <w:r>
        <w:instrText xml:space="preserve"> PAGEREF _Toc10782 \h </w:instrText>
      </w:r>
      <w:r>
        <w:fldChar w:fldCharType="separate"/>
      </w:r>
      <w:r>
        <w:t>9</w:t>
      </w:r>
      <w:r>
        <w:fldChar w:fldCharType="end"/>
      </w:r>
      <w:r>
        <w:rPr>
          <w:rFonts w:hint="eastAsia" w:ascii="宋体" w:hAnsi="宋体" w:eastAsia="宋体" w:cs="宋体"/>
          <w:color w:val="auto"/>
          <w:lang w:val="en-US" w:eastAsia="zh-CN"/>
        </w:rPr>
        <w:fldChar w:fldCharType="end"/>
      </w:r>
    </w:p>
    <w:p w14:paraId="290E115D">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_Toc8938 </w:instrText>
      </w:r>
      <w:r>
        <w:rPr>
          <w:rFonts w:hint="eastAsia" w:ascii="宋体" w:hAnsi="宋体" w:eastAsia="宋体" w:cs="宋体"/>
          <w:lang w:val="en-US" w:eastAsia="zh-CN"/>
        </w:rPr>
        <w:fldChar w:fldCharType="separate"/>
      </w:r>
      <w:r>
        <w:rPr>
          <w:rFonts w:hint="eastAsia"/>
        </w:rPr>
        <w:t>1. 环保投入及其财务比率变化</w:t>
      </w:r>
      <w:r>
        <w:tab/>
      </w:r>
      <w:r>
        <w:fldChar w:fldCharType="begin"/>
      </w:r>
      <w:r>
        <w:instrText xml:space="preserve"> PAGEREF _Toc8938 \h </w:instrText>
      </w:r>
      <w:r>
        <w:fldChar w:fldCharType="separate"/>
      </w:r>
      <w:r>
        <w:t>9</w:t>
      </w:r>
      <w:r>
        <w:fldChar w:fldCharType="end"/>
      </w:r>
      <w:r>
        <w:rPr>
          <w:rFonts w:hint="eastAsia" w:ascii="宋体" w:hAnsi="宋体" w:eastAsia="宋体" w:cs="宋体"/>
          <w:color w:val="auto"/>
          <w:lang w:val="en-US" w:eastAsia="zh-CN"/>
        </w:rPr>
        <w:fldChar w:fldCharType="end"/>
      </w:r>
    </w:p>
    <w:p w14:paraId="3997CC88">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_Toc23103 </w:instrText>
      </w:r>
      <w:r>
        <w:rPr>
          <w:rFonts w:hint="eastAsia" w:ascii="宋体" w:hAnsi="宋体" w:eastAsia="宋体" w:cs="宋体"/>
          <w:lang w:val="en-US" w:eastAsia="zh-CN"/>
        </w:rPr>
        <w:fldChar w:fldCharType="separate"/>
      </w:r>
      <w:r>
        <w:rPr>
          <w:rFonts w:hint="eastAsia"/>
        </w:rPr>
        <w:t>2. 碳排放与能源消耗指标变化</w:t>
      </w:r>
      <w:r>
        <w:tab/>
      </w:r>
      <w:r>
        <w:fldChar w:fldCharType="begin"/>
      </w:r>
      <w:r>
        <w:instrText xml:space="preserve"> PAGEREF _Toc23103 \h </w:instrText>
      </w:r>
      <w:r>
        <w:fldChar w:fldCharType="separate"/>
      </w:r>
      <w:r>
        <w:t>10</w:t>
      </w:r>
      <w:r>
        <w:fldChar w:fldCharType="end"/>
      </w:r>
      <w:r>
        <w:rPr>
          <w:rFonts w:hint="eastAsia" w:ascii="宋体" w:hAnsi="宋体" w:eastAsia="宋体" w:cs="宋体"/>
          <w:color w:val="auto"/>
          <w:lang w:val="en-US" w:eastAsia="zh-CN"/>
        </w:rPr>
        <w:fldChar w:fldCharType="end"/>
      </w:r>
    </w:p>
    <w:p w14:paraId="490F51B2">
      <w:pPr>
        <w:pStyle w:val="15"/>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_Toc6726 </w:instrText>
      </w:r>
      <w:r>
        <w:rPr>
          <w:rFonts w:hint="eastAsia" w:ascii="宋体" w:hAnsi="宋体" w:eastAsia="宋体" w:cs="宋体"/>
          <w:lang w:val="en-US" w:eastAsia="zh-CN"/>
        </w:rPr>
        <w:fldChar w:fldCharType="separate"/>
      </w:r>
      <w:r>
        <w:rPr>
          <w:rFonts w:hint="eastAsia" w:ascii="宋体" w:hAnsi="宋体" w:eastAsia="宋体" w:cs="宋体"/>
        </w:rPr>
        <w:t>四、 “双碳</w:t>
      </w:r>
      <w:r>
        <w:rPr>
          <w:rFonts w:hint="eastAsia" w:ascii="宋体" w:hAnsi="宋体" w:eastAsia="宋体" w:cs="宋体"/>
          <w:lang w:eastAsia="zh-CN"/>
        </w:rPr>
        <w:t>”</w:t>
      </w:r>
      <w:r>
        <w:rPr>
          <w:rFonts w:hint="eastAsia" w:ascii="宋体" w:hAnsi="宋体" w:eastAsia="宋体" w:cs="宋体"/>
        </w:rPr>
        <w:t>背景下天原股份ESG信息披露存在的问题分析</w:t>
      </w:r>
      <w:r>
        <w:tab/>
      </w:r>
      <w:r>
        <w:fldChar w:fldCharType="begin"/>
      </w:r>
      <w:r>
        <w:instrText xml:space="preserve"> PAGEREF _Toc6726 \h </w:instrText>
      </w:r>
      <w:r>
        <w:fldChar w:fldCharType="separate"/>
      </w:r>
      <w:r>
        <w:t>10</w:t>
      </w:r>
      <w:r>
        <w:fldChar w:fldCharType="end"/>
      </w:r>
      <w:r>
        <w:rPr>
          <w:rFonts w:hint="eastAsia" w:ascii="宋体" w:hAnsi="宋体" w:eastAsia="宋体" w:cs="宋体"/>
          <w:color w:val="auto"/>
          <w:lang w:val="en-US" w:eastAsia="zh-CN"/>
        </w:rPr>
        <w:fldChar w:fldCharType="end"/>
      </w:r>
    </w:p>
    <w:p w14:paraId="45A95F29">
      <w:pPr>
        <w:pStyle w:val="17"/>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_Toc1682 </w:instrText>
      </w:r>
      <w:r>
        <w:rPr>
          <w:rFonts w:hint="eastAsia" w:ascii="宋体" w:hAnsi="宋体" w:eastAsia="宋体" w:cs="宋体"/>
          <w:lang w:val="en-US" w:eastAsia="zh-CN"/>
        </w:rPr>
        <w:fldChar w:fldCharType="separate"/>
      </w:r>
      <w:r>
        <w:rPr>
          <w:rFonts w:hint="eastAsia" w:ascii="宋体" w:hAnsi="宋体" w:eastAsia="宋体" w:cs="宋体"/>
        </w:rPr>
        <w:t>（一） 碳排放信息量化与核算不足</w:t>
      </w:r>
      <w:r>
        <w:tab/>
      </w:r>
      <w:r>
        <w:fldChar w:fldCharType="begin"/>
      </w:r>
      <w:r>
        <w:instrText xml:space="preserve"> PAGEREF _Toc1682 \h </w:instrText>
      </w:r>
      <w:r>
        <w:fldChar w:fldCharType="separate"/>
      </w:r>
      <w:r>
        <w:t>10</w:t>
      </w:r>
      <w:r>
        <w:fldChar w:fldCharType="end"/>
      </w:r>
      <w:r>
        <w:rPr>
          <w:rFonts w:hint="eastAsia" w:ascii="宋体" w:hAnsi="宋体" w:eastAsia="宋体" w:cs="宋体"/>
          <w:color w:val="auto"/>
          <w:lang w:val="en-US" w:eastAsia="zh-CN"/>
        </w:rPr>
        <w:fldChar w:fldCharType="end"/>
      </w:r>
    </w:p>
    <w:p w14:paraId="20A7D7AF">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_Toc24888 </w:instrText>
      </w:r>
      <w:r>
        <w:rPr>
          <w:rFonts w:hint="eastAsia" w:ascii="宋体" w:hAnsi="宋体" w:eastAsia="宋体" w:cs="宋体"/>
          <w:lang w:val="en-US" w:eastAsia="zh-CN"/>
        </w:rPr>
        <w:fldChar w:fldCharType="separate"/>
      </w:r>
      <w:r>
        <w:rPr>
          <w:rFonts w:hint="eastAsia" w:ascii="宋体" w:hAnsi="宋体" w:eastAsia="宋体" w:cs="宋体"/>
        </w:rPr>
        <w:t>1. 范围三（Scope</w:t>
      </w:r>
      <w:r>
        <w:rPr>
          <w:rFonts w:hint="eastAsia" w:cs="宋体"/>
          <w:lang w:val="en-US" w:eastAsia="zh-CN"/>
        </w:rPr>
        <w:t xml:space="preserve"> </w:t>
      </w:r>
      <w:r>
        <w:rPr>
          <w:rFonts w:hint="eastAsia" w:ascii="宋体" w:hAnsi="宋体" w:eastAsia="宋体" w:cs="宋体"/>
        </w:rPr>
        <w:t>3）碳排放数据缺失</w:t>
      </w:r>
      <w:r>
        <w:tab/>
      </w:r>
      <w:r>
        <w:fldChar w:fldCharType="begin"/>
      </w:r>
      <w:r>
        <w:instrText xml:space="preserve"> PAGEREF _Toc24888 \h </w:instrText>
      </w:r>
      <w:r>
        <w:fldChar w:fldCharType="separate"/>
      </w:r>
      <w:r>
        <w:t>10</w:t>
      </w:r>
      <w:r>
        <w:fldChar w:fldCharType="end"/>
      </w:r>
      <w:r>
        <w:rPr>
          <w:rFonts w:hint="eastAsia" w:ascii="宋体" w:hAnsi="宋体" w:eastAsia="宋体" w:cs="宋体"/>
          <w:color w:val="auto"/>
          <w:lang w:val="en-US" w:eastAsia="zh-CN"/>
        </w:rPr>
        <w:fldChar w:fldCharType="end"/>
      </w:r>
    </w:p>
    <w:p w14:paraId="14DB653A">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_Toc17555 </w:instrText>
      </w:r>
      <w:r>
        <w:rPr>
          <w:rFonts w:hint="eastAsia" w:ascii="宋体" w:hAnsi="宋体" w:eastAsia="宋体" w:cs="宋体"/>
          <w:lang w:val="en-US" w:eastAsia="zh-CN"/>
        </w:rPr>
        <w:fldChar w:fldCharType="separate"/>
      </w:r>
      <w:r>
        <w:rPr>
          <w:rFonts w:hint="eastAsia" w:ascii="宋体" w:hAnsi="宋体" w:eastAsia="宋体" w:cs="宋体"/>
        </w:rPr>
        <w:t>2. 系统性量化减排目标不足</w:t>
      </w:r>
      <w:r>
        <w:tab/>
      </w:r>
      <w:r>
        <w:fldChar w:fldCharType="begin"/>
      </w:r>
      <w:r>
        <w:instrText xml:space="preserve"> PAGEREF _Toc17555 \h </w:instrText>
      </w:r>
      <w:r>
        <w:fldChar w:fldCharType="separate"/>
      </w:r>
      <w:r>
        <w:t>11</w:t>
      </w:r>
      <w:r>
        <w:fldChar w:fldCharType="end"/>
      </w:r>
      <w:r>
        <w:rPr>
          <w:rFonts w:hint="eastAsia" w:ascii="宋体" w:hAnsi="宋体" w:eastAsia="宋体" w:cs="宋体"/>
          <w:color w:val="auto"/>
          <w:lang w:val="en-US" w:eastAsia="zh-CN"/>
        </w:rPr>
        <w:fldChar w:fldCharType="end"/>
      </w:r>
    </w:p>
    <w:p w14:paraId="2800719A">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_Toc2764 </w:instrText>
      </w:r>
      <w:r>
        <w:rPr>
          <w:rFonts w:hint="eastAsia" w:ascii="宋体" w:hAnsi="宋体" w:eastAsia="宋体" w:cs="宋体"/>
          <w:lang w:val="en-US" w:eastAsia="zh-CN"/>
        </w:rPr>
        <w:fldChar w:fldCharType="separate"/>
      </w:r>
      <w:r>
        <w:rPr>
          <w:rFonts w:hint="eastAsia" w:ascii="宋体" w:hAnsi="宋体" w:eastAsia="宋体" w:cs="宋体"/>
        </w:rPr>
        <w:t>3. 非财务数据归集与业财衔接仍不充分</w:t>
      </w:r>
      <w:r>
        <w:tab/>
      </w:r>
      <w:r>
        <w:fldChar w:fldCharType="begin"/>
      </w:r>
      <w:r>
        <w:instrText xml:space="preserve"> PAGEREF _Toc2764 \h </w:instrText>
      </w:r>
      <w:r>
        <w:fldChar w:fldCharType="separate"/>
      </w:r>
      <w:r>
        <w:t>12</w:t>
      </w:r>
      <w:r>
        <w:fldChar w:fldCharType="end"/>
      </w:r>
      <w:r>
        <w:rPr>
          <w:rFonts w:hint="eastAsia" w:ascii="宋体" w:hAnsi="宋体" w:eastAsia="宋体" w:cs="宋体"/>
          <w:color w:val="auto"/>
          <w:lang w:val="en-US" w:eastAsia="zh-CN"/>
        </w:rPr>
        <w:fldChar w:fldCharType="end"/>
      </w:r>
    </w:p>
    <w:p w14:paraId="1713B0F4">
      <w:pPr>
        <w:pStyle w:val="17"/>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_Toc18613 </w:instrText>
      </w:r>
      <w:r>
        <w:rPr>
          <w:rFonts w:hint="eastAsia" w:ascii="宋体" w:hAnsi="宋体" w:eastAsia="宋体" w:cs="宋体"/>
          <w:lang w:val="en-US" w:eastAsia="zh-CN"/>
        </w:rPr>
        <w:fldChar w:fldCharType="separate"/>
      </w:r>
      <w:r>
        <w:rPr>
          <w:rFonts w:hint="eastAsia" w:ascii="宋体" w:hAnsi="宋体" w:eastAsia="宋体" w:cs="宋体"/>
        </w:rPr>
        <w:t>（二） 第三方鉴证与披露可靠性不足</w:t>
      </w:r>
      <w:r>
        <w:tab/>
      </w:r>
      <w:r>
        <w:fldChar w:fldCharType="begin"/>
      </w:r>
      <w:r>
        <w:instrText xml:space="preserve"> PAGEREF _Toc18613 \h </w:instrText>
      </w:r>
      <w:r>
        <w:fldChar w:fldCharType="separate"/>
      </w:r>
      <w:r>
        <w:t>12</w:t>
      </w:r>
      <w:r>
        <w:fldChar w:fldCharType="end"/>
      </w:r>
      <w:r>
        <w:rPr>
          <w:rFonts w:hint="eastAsia" w:ascii="宋体" w:hAnsi="宋体" w:eastAsia="宋体" w:cs="宋体"/>
          <w:color w:val="auto"/>
          <w:lang w:val="en-US" w:eastAsia="zh-CN"/>
        </w:rPr>
        <w:fldChar w:fldCharType="end"/>
      </w:r>
    </w:p>
    <w:p w14:paraId="58CBDC56">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_Toc30961 </w:instrText>
      </w:r>
      <w:r>
        <w:rPr>
          <w:rFonts w:hint="eastAsia" w:ascii="宋体" w:hAnsi="宋体" w:eastAsia="宋体" w:cs="宋体"/>
          <w:lang w:val="en-US" w:eastAsia="zh-CN"/>
        </w:rPr>
        <w:fldChar w:fldCharType="separate"/>
      </w:r>
      <w:r>
        <w:rPr>
          <w:rFonts w:hint="eastAsia" w:ascii="宋体" w:hAnsi="宋体" w:eastAsia="宋体" w:cs="宋体"/>
        </w:rPr>
        <w:t>1. 内部自主编制下外部验证不足</w:t>
      </w:r>
      <w:r>
        <w:tab/>
      </w:r>
      <w:r>
        <w:fldChar w:fldCharType="begin"/>
      </w:r>
      <w:r>
        <w:instrText xml:space="preserve"> PAGEREF _Toc30961 \h </w:instrText>
      </w:r>
      <w:r>
        <w:fldChar w:fldCharType="separate"/>
      </w:r>
      <w:r>
        <w:t>12</w:t>
      </w:r>
      <w:r>
        <w:fldChar w:fldCharType="end"/>
      </w:r>
      <w:r>
        <w:rPr>
          <w:rFonts w:hint="eastAsia" w:ascii="宋体" w:hAnsi="宋体" w:eastAsia="宋体" w:cs="宋体"/>
          <w:color w:val="auto"/>
          <w:lang w:val="en-US" w:eastAsia="zh-CN"/>
        </w:rPr>
        <w:fldChar w:fldCharType="end"/>
      </w:r>
    </w:p>
    <w:p w14:paraId="42FF2C38">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_Toc5960 </w:instrText>
      </w:r>
      <w:r>
        <w:rPr>
          <w:rFonts w:hint="eastAsia" w:ascii="宋体" w:hAnsi="宋体" w:eastAsia="宋体" w:cs="宋体"/>
          <w:lang w:val="en-US" w:eastAsia="zh-CN"/>
        </w:rPr>
        <w:fldChar w:fldCharType="separate"/>
      </w:r>
      <w:r>
        <w:rPr>
          <w:rFonts w:hint="eastAsia" w:ascii="宋体" w:hAnsi="宋体" w:eastAsia="宋体" w:cs="宋体"/>
        </w:rPr>
        <w:t>2. 独立第三方鉴证机制缺失</w:t>
      </w:r>
      <w:r>
        <w:tab/>
      </w:r>
      <w:r>
        <w:fldChar w:fldCharType="begin"/>
      </w:r>
      <w:r>
        <w:instrText xml:space="preserve"> PAGEREF _Toc5960 \h </w:instrText>
      </w:r>
      <w:r>
        <w:fldChar w:fldCharType="separate"/>
      </w:r>
      <w:r>
        <w:t>12</w:t>
      </w:r>
      <w:r>
        <w:fldChar w:fldCharType="end"/>
      </w:r>
      <w:r>
        <w:rPr>
          <w:rFonts w:hint="eastAsia" w:ascii="宋体" w:hAnsi="宋体" w:eastAsia="宋体" w:cs="宋体"/>
          <w:color w:val="auto"/>
          <w:lang w:val="en-US" w:eastAsia="zh-CN"/>
        </w:rPr>
        <w:fldChar w:fldCharType="end"/>
      </w:r>
    </w:p>
    <w:p w14:paraId="56FD4D7D">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_Toc10317 </w:instrText>
      </w:r>
      <w:r>
        <w:rPr>
          <w:rFonts w:hint="eastAsia" w:ascii="宋体" w:hAnsi="宋体" w:eastAsia="宋体" w:cs="宋体"/>
          <w:lang w:val="en-US" w:eastAsia="zh-CN"/>
        </w:rPr>
        <w:fldChar w:fldCharType="separate"/>
      </w:r>
      <w:r>
        <w:rPr>
          <w:rFonts w:hint="eastAsia" w:ascii="宋体" w:hAnsi="宋体" w:eastAsia="宋体" w:cs="宋体"/>
        </w:rPr>
        <w:t>3. 潜在“漂绿”风险仍然存在</w:t>
      </w:r>
      <w:r>
        <w:tab/>
      </w:r>
      <w:r>
        <w:fldChar w:fldCharType="begin"/>
      </w:r>
      <w:r>
        <w:instrText xml:space="preserve"> PAGEREF _Toc10317 \h </w:instrText>
      </w:r>
      <w:r>
        <w:fldChar w:fldCharType="separate"/>
      </w:r>
      <w:r>
        <w:t>14</w:t>
      </w:r>
      <w:r>
        <w:fldChar w:fldCharType="end"/>
      </w:r>
      <w:r>
        <w:rPr>
          <w:rFonts w:hint="eastAsia" w:ascii="宋体" w:hAnsi="宋体" w:eastAsia="宋体" w:cs="宋体"/>
          <w:color w:val="auto"/>
          <w:lang w:val="en-US" w:eastAsia="zh-CN"/>
        </w:rPr>
        <w:fldChar w:fldCharType="end"/>
      </w:r>
    </w:p>
    <w:p w14:paraId="2DD298AC">
      <w:pPr>
        <w:pStyle w:val="17"/>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_Toc1425 </w:instrText>
      </w:r>
      <w:r>
        <w:rPr>
          <w:rFonts w:hint="eastAsia" w:ascii="宋体" w:hAnsi="宋体" w:eastAsia="宋体" w:cs="宋体"/>
          <w:lang w:val="en-US" w:eastAsia="zh-CN"/>
        </w:rPr>
        <w:fldChar w:fldCharType="separate"/>
      </w:r>
      <w:r>
        <w:rPr>
          <w:rFonts w:hint="eastAsia"/>
          <w:lang w:eastAsia="zh-CN"/>
        </w:rPr>
        <w:t>（三） ESG内部管治架构不健全</w:t>
      </w:r>
      <w:r>
        <w:tab/>
      </w:r>
      <w:r>
        <w:fldChar w:fldCharType="begin"/>
      </w:r>
      <w:r>
        <w:instrText xml:space="preserve"> PAGEREF _Toc1425 \h </w:instrText>
      </w:r>
      <w:r>
        <w:fldChar w:fldCharType="separate"/>
      </w:r>
      <w:r>
        <w:t>14</w:t>
      </w:r>
      <w:r>
        <w:fldChar w:fldCharType="end"/>
      </w:r>
      <w:r>
        <w:rPr>
          <w:rFonts w:hint="eastAsia" w:ascii="宋体" w:hAnsi="宋体" w:eastAsia="宋体" w:cs="宋体"/>
          <w:color w:val="auto"/>
          <w:lang w:val="en-US" w:eastAsia="zh-CN"/>
        </w:rPr>
        <w:fldChar w:fldCharType="end"/>
      </w:r>
    </w:p>
    <w:p w14:paraId="32ECCC8D">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_Toc32641 </w:instrText>
      </w:r>
      <w:r>
        <w:rPr>
          <w:rFonts w:hint="eastAsia" w:ascii="宋体" w:hAnsi="宋体" w:eastAsia="宋体" w:cs="宋体"/>
          <w:lang w:val="en-US" w:eastAsia="zh-CN"/>
        </w:rPr>
        <w:fldChar w:fldCharType="separate"/>
      </w:r>
      <w:r>
        <w:rPr>
          <w:rFonts w:hint="eastAsia"/>
          <w:lang w:eastAsia="zh-CN"/>
        </w:rPr>
        <w:t>1. 专门ESG委员会缺位</w:t>
      </w:r>
      <w:r>
        <w:tab/>
      </w:r>
      <w:r>
        <w:fldChar w:fldCharType="begin"/>
      </w:r>
      <w:r>
        <w:instrText xml:space="preserve"> PAGEREF _Toc32641 \h </w:instrText>
      </w:r>
      <w:r>
        <w:fldChar w:fldCharType="separate"/>
      </w:r>
      <w:r>
        <w:t>14</w:t>
      </w:r>
      <w:r>
        <w:fldChar w:fldCharType="end"/>
      </w:r>
      <w:r>
        <w:rPr>
          <w:rFonts w:hint="eastAsia" w:ascii="宋体" w:hAnsi="宋体" w:eastAsia="宋体" w:cs="宋体"/>
          <w:color w:val="auto"/>
          <w:lang w:val="en-US" w:eastAsia="zh-CN"/>
        </w:rPr>
        <w:fldChar w:fldCharType="end"/>
      </w:r>
    </w:p>
    <w:p w14:paraId="0949B819">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_Toc21610 </w:instrText>
      </w:r>
      <w:r>
        <w:rPr>
          <w:rFonts w:hint="eastAsia" w:ascii="宋体" w:hAnsi="宋体" w:eastAsia="宋体" w:cs="宋体"/>
          <w:lang w:val="en-US" w:eastAsia="zh-CN"/>
        </w:rPr>
        <w:fldChar w:fldCharType="separate"/>
      </w:r>
      <w:r>
        <w:rPr>
          <w:rFonts w:hint="eastAsia"/>
          <w:lang w:eastAsia="zh-CN"/>
        </w:rPr>
        <w:t>2. 专业统筹与职责配置不足</w:t>
      </w:r>
      <w:r>
        <w:tab/>
      </w:r>
      <w:r>
        <w:fldChar w:fldCharType="begin"/>
      </w:r>
      <w:r>
        <w:instrText xml:space="preserve"> PAGEREF _Toc21610 \h </w:instrText>
      </w:r>
      <w:r>
        <w:fldChar w:fldCharType="separate"/>
      </w:r>
      <w:r>
        <w:t>14</w:t>
      </w:r>
      <w:r>
        <w:fldChar w:fldCharType="end"/>
      </w:r>
      <w:r>
        <w:rPr>
          <w:rFonts w:hint="eastAsia" w:ascii="宋体" w:hAnsi="宋体" w:eastAsia="宋体" w:cs="宋体"/>
          <w:color w:val="auto"/>
          <w:lang w:val="en-US" w:eastAsia="zh-CN"/>
        </w:rPr>
        <w:fldChar w:fldCharType="end"/>
      </w:r>
    </w:p>
    <w:p w14:paraId="24B7E1B0">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_Toc26038 </w:instrText>
      </w:r>
      <w:r>
        <w:rPr>
          <w:rFonts w:hint="eastAsia" w:ascii="宋体" w:hAnsi="宋体" w:eastAsia="宋体" w:cs="宋体"/>
          <w:lang w:val="en-US" w:eastAsia="zh-CN"/>
        </w:rPr>
        <w:fldChar w:fldCharType="separate"/>
      </w:r>
      <w:r>
        <w:rPr>
          <w:rFonts w:hint="eastAsia"/>
          <w:lang w:eastAsia="zh-CN"/>
        </w:rPr>
        <w:t>3. ESG目标与绩效约束衔接不足</w:t>
      </w:r>
      <w:r>
        <w:tab/>
      </w:r>
      <w:r>
        <w:fldChar w:fldCharType="begin"/>
      </w:r>
      <w:r>
        <w:instrText xml:space="preserve"> PAGEREF _Toc26038 \h </w:instrText>
      </w:r>
      <w:r>
        <w:fldChar w:fldCharType="separate"/>
      </w:r>
      <w:r>
        <w:t>15</w:t>
      </w:r>
      <w:r>
        <w:fldChar w:fldCharType="end"/>
      </w:r>
      <w:r>
        <w:rPr>
          <w:rFonts w:hint="eastAsia" w:ascii="宋体" w:hAnsi="宋体" w:eastAsia="宋体" w:cs="宋体"/>
          <w:color w:val="auto"/>
          <w:lang w:val="en-US" w:eastAsia="zh-CN"/>
        </w:rPr>
        <w:fldChar w:fldCharType="end"/>
      </w:r>
    </w:p>
    <w:p w14:paraId="6CC8D9A5">
      <w:pPr>
        <w:pStyle w:val="17"/>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_Toc14635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（四） 气候风险与挑战性信息披露不充分</w:t>
      </w:r>
      <w:r>
        <w:tab/>
      </w:r>
      <w:r>
        <w:fldChar w:fldCharType="begin"/>
      </w:r>
      <w:r>
        <w:instrText xml:space="preserve"> PAGEREF _Toc14635 \h </w:instrText>
      </w:r>
      <w:r>
        <w:fldChar w:fldCharType="separate"/>
      </w:r>
      <w:r>
        <w:t>15</w:t>
      </w:r>
      <w:r>
        <w:fldChar w:fldCharType="end"/>
      </w:r>
      <w:r>
        <w:rPr>
          <w:rFonts w:hint="eastAsia" w:ascii="宋体" w:hAnsi="宋体" w:eastAsia="宋体" w:cs="宋体"/>
          <w:color w:val="auto"/>
          <w:lang w:val="en-US" w:eastAsia="zh-CN"/>
        </w:rPr>
        <w:fldChar w:fldCharType="end"/>
      </w:r>
    </w:p>
    <w:p w14:paraId="0CB8C9BA">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_Toc17006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1. 负面及挑战性信息披露不足</w:t>
      </w:r>
      <w:r>
        <w:tab/>
      </w:r>
      <w:r>
        <w:fldChar w:fldCharType="begin"/>
      </w:r>
      <w:r>
        <w:instrText xml:space="preserve"> PAGEREF _Toc17006 \h </w:instrText>
      </w:r>
      <w:r>
        <w:fldChar w:fldCharType="separate"/>
      </w:r>
      <w:r>
        <w:t>15</w:t>
      </w:r>
      <w:r>
        <w:fldChar w:fldCharType="end"/>
      </w:r>
      <w:r>
        <w:rPr>
          <w:rFonts w:hint="eastAsia" w:ascii="宋体" w:hAnsi="宋体" w:eastAsia="宋体" w:cs="宋体"/>
          <w:color w:val="auto"/>
          <w:lang w:val="en-US" w:eastAsia="zh-CN"/>
        </w:rPr>
        <w:fldChar w:fldCharType="end"/>
      </w:r>
    </w:p>
    <w:p w14:paraId="2C9719DB">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_Toc3763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2. 气候风险财务影响测算缺失</w:t>
      </w:r>
      <w:r>
        <w:tab/>
      </w:r>
      <w:r>
        <w:fldChar w:fldCharType="begin"/>
      </w:r>
      <w:r>
        <w:instrText xml:space="preserve"> PAGEREF _Toc3763 \h </w:instrText>
      </w:r>
      <w:r>
        <w:fldChar w:fldCharType="separate"/>
      </w:r>
      <w:r>
        <w:t>15</w:t>
      </w:r>
      <w:r>
        <w:fldChar w:fldCharType="end"/>
      </w:r>
      <w:r>
        <w:rPr>
          <w:rFonts w:hint="eastAsia" w:ascii="宋体" w:hAnsi="宋体" w:eastAsia="宋体" w:cs="宋体"/>
          <w:color w:val="auto"/>
          <w:lang w:val="en-US" w:eastAsia="zh-CN"/>
        </w:rPr>
        <w:fldChar w:fldCharType="end"/>
      </w:r>
    </w:p>
    <w:p w14:paraId="7F58F7E2">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_Toc22757 </w:instrText>
      </w:r>
      <w:r>
        <w:rPr>
          <w:rFonts w:hint="eastAsia" w:ascii="宋体" w:hAnsi="宋体" w:eastAsia="宋体" w:cs="宋体"/>
          <w:lang w:val="en-US" w:eastAsia="zh-CN"/>
        </w:rPr>
        <w:fldChar w:fldCharType="separate"/>
      </w:r>
      <w:r>
        <w:rPr>
          <w:rFonts w:hint="eastAsia"/>
          <w:lang w:val="en-US" w:eastAsia="zh-CN"/>
        </w:rPr>
        <w:t>3. 环境数据与财务指标勾稽不足</w:t>
      </w:r>
      <w:r>
        <w:tab/>
      </w:r>
      <w:r>
        <w:fldChar w:fldCharType="begin"/>
      </w:r>
      <w:r>
        <w:instrText xml:space="preserve"> PAGEREF _Toc22757 \h </w:instrText>
      </w:r>
      <w:r>
        <w:fldChar w:fldCharType="separate"/>
      </w:r>
      <w:r>
        <w:t>16</w:t>
      </w:r>
      <w:r>
        <w:fldChar w:fldCharType="end"/>
      </w:r>
      <w:r>
        <w:rPr>
          <w:rFonts w:hint="eastAsia" w:ascii="宋体" w:hAnsi="宋体" w:eastAsia="宋体" w:cs="宋体"/>
          <w:color w:val="auto"/>
          <w:lang w:val="en-US" w:eastAsia="zh-CN"/>
        </w:rPr>
        <w:fldChar w:fldCharType="end"/>
      </w:r>
    </w:p>
    <w:p w14:paraId="37BD7750">
      <w:pPr>
        <w:pStyle w:val="15"/>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_Toc30656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五、 提升天原股份ESG信息披露质量的对策</w:t>
      </w:r>
      <w:r>
        <w:tab/>
      </w:r>
      <w:r>
        <w:fldChar w:fldCharType="begin"/>
      </w:r>
      <w:r>
        <w:instrText xml:space="preserve"> PAGEREF _Toc30656 \h </w:instrText>
      </w:r>
      <w:r>
        <w:fldChar w:fldCharType="separate"/>
      </w:r>
      <w:r>
        <w:t>16</w:t>
      </w:r>
      <w:r>
        <w:fldChar w:fldCharType="end"/>
      </w:r>
      <w:r>
        <w:rPr>
          <w:rFonts w:hint="eastAsia" w:ascii="宋体" w:hAnsi="宋体" w:eastAsia="宋体" w:cs="宋体"/>
          <w:color w:val="auto"/>
          <w:lang w:val="en-US" w:eastAsia="zh-CN"/>
        </w:rPr>
        <w:fldChar w:fldCharType="end"/>
      </w:r>
    </w:p>
    <w:p w14:paraId="458C9417">
      <w:pPr>
        <w:pStyle w:val="17"/>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_Toc17294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（一） 完善碳排放数据采集与会计核算体系</w:t>
      </w:r>
      <w:r>
        <w:tab/>
      </w:r>
      <w:r>
        <w:fldChar w:fldCharType="begin"/>
      </w:r>
      <w:r>
        <w:instrText xml:space="preserve"> PAGEREF _Toc17294 \h </w:instrText>
      </w:r>
      <w:r>
        <w:fldChar w:fldCharType="separate"/>
      </w:r>
      <w:r>
        <w:t>16</w:t>
      </w:r>
      <w:r>
        <w:fldChar w:fldCharType="end"/>
      </w:r>
      <w:r>
        <w:rPr>
          <w:rFonts w:hint="eastAsia" w:ascii="宋体" w:hAnsi="宋体" w:eastAsia="宋体" w:cs="宋体"/>
          <w:color w:val="auto"/>
          <w:lang w:val="en-US" w:eastAsia="zh-CN"/>
        </w:rPr>
        <w:fldChar w:fldCharType="end"/>
      </w:r>
    </w:p>
    <w:p w14:paraId="4431DF50">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_Toc17654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1. 建立会计导向的企业碳账户体系</w:t>
      </w:r>
      <w:r>
        <w:tab/>
      </w:r>
      <w:r>
        <w:fldChar w:fldCharType="begin"/>
      </w:r>
      <w:r>
        <w:instrText xml:space="preserve"> PAGEREF _Toc17654 \h </w:instrText>
      </w:r>
      <w:r>
        <w:fldChar w:fldCharType="separate"/>
      </w:r>
      <w:r>
        <w:t>16</w:t>
      </w:r>
      <w:r>
        <w:fldChar w:fldCharType="end"/>
      </w:r>
      <w:r>
        <w:rPr>
          <w:rFonts w:hint="eastAsia" w:ascii="宋体" w:hAnsi="宋体" w:eastAsia="宋体" w:cs="宋体"/>
          <w:color w:val="auto"/>
          <w:lang w:val="en-US" w:eastAsia="zh-CN"/>
        </w:rPr>
        <w:fldChar w:fldCharType="end"/>
      </w:r>
    </w:p>
    <w:p w14:paraId="7F6612AC">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_Toc14451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2. 完善量化减排目标与核算机制</w:t>
      </w:r>
      <w:r>
        <w:tab/>
      </w:r>
      <w:r>
        <w:fldChar w:fldCharType="begin"/>
      </w:r>
      <w:r>
        <w:instrText xml:space="preserve"> PAGEREF _Toc14451 \h </w:instrText>
      </w:r>
      <w:r>
        <w:fldChar w:fldCharType="separate"/>
      </w:r>
      <w:r>
        <w:t>17</w:t>
      </w:r>
      <w:r>
        <w:fldChar w:fldCharType="end"/>
      </w:r>
      <w:r>
        <w:rPr>
          <w:rFonts w:hint="eastAsia" w:ascii="宋体" w:hAnsi="宋体" w:eastAsia="宋体" w:cs="宋体"/>
          <w:color w:val="auto"/>
          <w:lang w:val="en-US" w:eastAsia="zh-CN"/>
        </w:rPr>
        <w:fldChar w:fldCharType="end"/>
      </w:r>
    </w:p>
    <w:p w14:paraId="666831C9">
      <w:pPr>
        <w:pStyle w:val="17"/>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_Toc17486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（二） 健全第三方鉴证与披露质量控制机制</w:t>
      </w:r>
      <w:r>
        <w:tab/>
      </w:r>
      <w:r>
        <w:fldChar w:fldCharType="begin"/>
      </w:r>
      <w:r>
        <w:instrText xml:space="preserve"> PAGEREF _Toc17486 \h </w:instrText>
      </w:r>
      <w:r>
        <w:fldChar w:fldCharType="separate"/>
      </w:r>
      <w:r>
        <w:t>17</w:t>
      </w:r>
      <w:r>
        <w:fldChar w:fldCharType="end"/>
      </w:r>
      <w:r>
        <w:rPr>
          <w:rFonts w:hint="eastAsia" w:ascii="宋体" w:hAnsi="宋体" w:eastAsia="宋体" w:cs="宋体"/>
          <w:color w:val="auto"/>
          <w:lang w:val="en-US" w:eastAsia="zh-CN"/>
        </w:rPr>
        <w:fldChar w:fldCharType="end"/>
      </w:r>
    </w:p>
    <w:p w14:paraId="41257252">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_Toc17784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1. 引入独立第三方鉴证</w:t>
      </w:r>
      <w:r>
        <w:tab/>
      </w:r>
      <w:r>
        <w:fldChar w:fldCharType="begin"/>
      </w:r>
      <w:r>
        <w:instrText xml:space="preserve"> PAGEREF _Toc17784 \h </w:instrText>
      </w:r>
      <w:r>
        <w:fldChar w:fldCharType="separate"/>
      </w:r>
      <w:r>
        <w:t>17</w:t>
      </w:r>
      <w:r>
        <w:fldChar w:fldCharType="end"/>
      </w:r>
      <w:r>
        <w:rPr>
          <w:rFonts w:hint="eastAsia" w:ascii="宋体" w:hAnsi="宋体" w:eastAsia="宋体" w:cs="宋体"/>
          <w:color w:val="auto"/>
          <w:lang w:val="en-US" w:eastAsia="zh-CN"/>
        </w:rPr>
        <w:fldChar w:fldCharType="end"/>
      </w:r>
    </w:p>
    <w:p w14:paraId="77BA67F2">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_Toc3262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2. 规范鉴证程序、范围及保证水平</w:t>
      </w:r>
      <w:r>
        <w:tab/>
      </w:r>
      <w:r>
        <w:fldChar w:fldCharType="begin"/>
      </w:r>
      <w:r>
        <w:instrText xml:space="preserve"> PAGEREF _Toc3262 \h </w:instrText>
      </w:r>
      <w:r>
        <w:fldChar w:fldCharType="separate"/>
      </w:r>
      <w:r>
        <w:t>17</w:t>
      </w:r>
      <w:r>
        <w:fldChar w:fldCharType="end"/>
      </w:r>
      <w:r>
        <w:rPr>
          <w:rFonts w:hint="eastAsia" w:ascii="宋体" w:hAnsi="宋体" w:eastAsia="宋体" w:cs="宋体"/>
          <w:color w:val="auto"/>
          <w:lang w:val="en-US" w:eastAsia="zh-CN"/>
        </w:rPr>
        <w:fldChar w:fldCharType="end"/>
      </w:r>
    </w:p>
    <w:p w14:paraId="64D869D2">
      <w:pPr>
        <w:pStyle w:val="17"/>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_Toc27601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（三） 强化董事会ESG管治与内控协同</w:t>
      </w:r>
      <w:r>
        <w:tab/>
      </w:r>
      <w:r>
        <w:fldChar w:fldCharType="begin"/>
      </w:r>
      <w:r>
        <w:instrText xml:space="preserve"> PAGEREF _Toc27601 \h </w:instrText>
      </w:r>
      <w:r>
        <w:fldChar w:fldCharType="separate"/>
      </w:r>
      <w:r>
        <w:t>18</w:t>
      </w:r>
      <w:r>
        <w:fldChar w:fldCharType="end"/>
      </w:r>
      <w:r>
        <w:rPr>
          <w:rFonts w:hint="eastAsia" w:ascii="宋体" w:hAnsi="宋体" w:eastAsia="宋体" w:cs="宋体"/>
          <w:color w:val="auto"/>
          <w:lang w:val="en-US" w:eastAsia="zh-CN"/>
        </w:rPr>
        <w:fldChar w:fldCharType="end"/>
      </w:r>
    </w:p>
    <w:p w14:paraId="3589D90F">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_Toc12374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1. 优化现有ESG管治架构</w:t>
      </w:r>
      <w:r>
        <w:tab/>
      </w:r>
      <w:r>
        <w:fldChar w:fldCharType="begin"/>
      </w:r>
      <w:r>
        <w:instrText xml:space="preserve"> PAGEREF _Toc12374 \h </w:instrText>
      </w:r>
      <w:r>
        <w:fldChar w:fldCharType="separate"/>
      </w:r>
      <w:r>
        <w:t>18</w:t>
      </w:r>
      <w:r>
        <w:fldChar w:fldCharType="end"/>
      </w:r>
      <w:r>
        <w:rPr>
          <w:rFonts w:hint="eastAsia" w:ascii="宋体" w:hAnsi="宋体" w:eastAsia="宋体" w:cs="宋体"/>
          <w:color w:val="auto"/>
          <w:lang w:val="en-US" w:eastAsia="zh-CN"/>
        </w:rPr>
        <w:fldChar w:fldCharType="end"/>
      </w:r>
    </w:p>
    <w:p w14:paraId="08C33739">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_Toc31800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2. 将ESG目标纳入管理层绩效考核</w:t>
      </w:r>
      <w:r>
        <w:tab/>
      </w:r>
      <w:r>
        <w:fldChar w:fldCharType="begin"/>
      </w:r>
      <w:r>
        <w:instrText xml:space="preserve"> PAGEREF _Toc31800 \h </w:instrText>
      </w:r>
      <w:r>
        <w:fldChar w:fldCharType="separate"/>
      </w:r>
      <w:r>
        <w:t>18</w:t>
      </w:r>
      <w:r>
        <w:fldChar w:fldCharType="end"/>
      </w:r>
      <w:r>
        <w:rPr>
          <w:rFonts w:hint="eastAsia" w:ascii="宋体" w:hAnsi="宋体" w:eastAsia="宋体" w:cs="宋体"/>
          <w:color w:val="auto"/>
          <w:lang w:val="en-US" w:eastAsia="zh-CN"/>
        </w:rPr>
        <w:fldChar w:fldCharType="end"/>
      </w:r>
    </w:p>
    <w:p w14:paraId="72D89113">
      <w:pPr>
        <w:pStyle w:val="17"/>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_Toc20530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（四） 完善气候风险及挑战性信息的财务披露</w:t>
      </w:r>
      <w:r>
        <w:tab/>
      </w:r>
      <w:r>
        <w:fldChar w:fldCharType="begin"/>
      </w:r>
      <w:r>
        <w:instrText xml:space="preserve"> PAGEREF _Toc20530 \h </w:instrText>
      </w:r>
      <w:r>
        <w:fldChar w:fldCharType="separate"/>
      </w:r>
      <w:r>
        <w:t>19</w:t>
      </w:r>
      <w:r>
        <w:fldChar w:fldCharType="end"/>
      </w:r>
      <w:r>
        <w:rPr>
          <w:rFonts w:hint="eastAsia" w:ascii="宋体" w:hAnsi="宋体" w:eastAsia="宋体" w:cs="宋体"/>
          <w:color w:val="auto"/>
          <w:lang w:val="en-US" w:eastAsia="zh-CN"/>
        </w:rPr>
        <w:fldChar w:fldCharType="end"/>
      </w:r>
    </w:p>
    <w:p w14:paraId="126BF382">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_Toc24983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1. 开展气候情景分析与风险识别</w:t>
      </w:r>
      <w:r>
        <w:tab/>
      </w:r>
      <w:r>
        <w:fldChar w:fldCharType="begin"/>
      </w:r>
      <w:r>
        <w:instrText xml:space="preserve"> PAGEREF _Toc24983 \h </w:instrText>
      </w:r>
      <w:r>
        <w:fldChar w:fldCharType="separate"/>
      </w:r>
      <w:r>
        <w:t>19</w:t>
      </w:r>
      <w:r>
        <w:fldChar w:fldCharType="end"/>
      </w:r>
      <w:r>
        <w:rPr>
          <w:rFonts w:hint="eastAsia" w:ascii="宋体" w:hAnsi="宋体" w:eastAsia="宋体" w:cs="宋体"/>
          <w:color w:val="auto"/>
          <w:lang w:val="en-US" w:eastAsia="zh-CN"/>
        </w:rPr>
        <w:fldChar w:fldCharType="end"/>
      </w:r>
    </w:p>
    <w:p w14:paraId="594E8293">
      <w:pPr>
        <w:pStyle w:val="12"/>
        <w:tabs>
          <w:tab w:val="right" w:leader="dot" w:pos="9355"/>
        </w:tabs>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_Toc10464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2. 强化气候风险财务指标映射与敏感性测算</w:t>
      </w:r>
      <w:r>
        <w:tab/>
      </w:r>
      <w:r>
        <w:fldChar w:fldCharType="begin"/>
      </w:r>
      <w:r>
        <w:instrText xml:space="preserve"> PAGEREF _Toc10464 \h </w:instrText>
      </w:r>
      <w:r>
        <w:fldChar w:fldCharType="separate"/>
      </w:r>
      <w:r>
        <w:t>19</w:t>
      </w:r>
      <w:r>
        <w:fldChar w:fldCharType="end"/>
      </w:r>
      <w:r>
        <w:rPr>
          <w:rFonts w:hint="eastAsia" w:ascii="宋体" w:hAnsi="宋体" w:eastAsia="宋体" w:cs="宋体"/>
          <w:color w:val="auto"/>
          <w:lang w:val="en-US" w:eastAsia="zh-CN"/>
        </w:rPr>
        <w:fldChar w:fldCharType="end"/>
      </w:r>
    </w:p>
    <w:p w14:paraId="617A5FA3">
      <w:pPr>
        <w:pStyle w:val="16"/>
        <w:keepNext w:val="0"/>
        <w:keepLines w:val="0"/>
        <w:pageBreakBefore w:val="0"/>
        <w:widowControl w:val="0"/>
        <w:tabs>
          <w:tab w:val="right" w:leader="dot" w:pos="9355"/>
        </w:tabs>
        <w:kinsoku/>
        <w:wordWrap/>
        <w:overflowPunct/>
        <w:topLinePunct w:val="0"/>
        <w:autoSpaceDE/>
        <w:autoSpaceDN/>
        <w:bidi w:val="0"/>
        <w:adjustRightInd/>
        <w:snapToGrid w:val="0"/>
        <w:ind w:left="0" w:leftChars="0"/>
        <w:textAlignment w:val="auto"/>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_Toc13895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结语</w:t>
      </w:r>
      <w:r>
        <w:tab/>
      </w:r>
      <w:r>
        <w:fldChar w:fldCharType="begin"/>
      </w:r>
      <w:r>
        <w:instrText xml:space="preserve"> PAGEREF _Toc13895 \h </w:instrText>
      </w:r>
      <w:r>
        <w:fldChar w:fldCharType="separate"/>
      </w:r>
      <w:r>
        <w:t>20</w:t>
      </w:r>
      <w:r>
        <w:fldChar w:fldCharType="end"/>
      </w:r>
      <w:r>
        <w:rPr>
          <w:rFonts w:hint="eastAsia" w:ascii="宋体" w:hAnsi="宋体" w:eastAsia="宋体" w:cs="宋体"/>
          <w:color w:val="auto"/>
          <w:lang w:val="en-US" w:eastAsia="zh-CN"/>
        </w:rPr>
        <w:fldChar w:fldCharType="end"/>
      </w:r>
    </w:p>
    <w:p w14:paraId="29BE9551">
      <w:pPr>
        <w:pStyle w:val="16"/>
        <w:keepNext w:val="0"/>
        <w:keepLines w:val="0"/>
        <w:pageBreakBefore w:val="0"/>
        <w:widowControl w:val="0"/>
        <w:tabs>
          <w:tab w:val="right" w:leader="dot" w:pos="9355"/>
        </w:tabs>
        <w:kinsoku/>
        <w:wordWrap/>
        <w:overflowPunct/>
        <w:topLinePunct w:val="0"/>
        <w:autoSpaceDE/>
        <w:autoSpaceDN/>
        <w:bidi w:val="0"/>
        <w:adjustRightInd/>
        <w:snapToGrid w:val="0"/>
        <w:ind w:left="0" w:leftChars="0"/>
        <w:textAlignment w:val="auto"/>
      </w:pPr>
      <w:r>
        <w:rPr>
          <w:rFonts w:hint="eastAsia" w:ascii="宋体" w:hAnsi="宋体" w:eastAsia="宋体" w:cs="宋体"/>
          <w:color w:val="auto"/>
          <w:lang w:val="en-US" w:eastAsia="zh-CN"/>
        </w:rPr>
        <w:fldChar w:fldCharType="begin"/>
      </w:r>
      <w:r>
        <w:rPr>
          <w:rFonts w:hint="eastAsia" w:ascii="宋体" w:hAnsi="宋体" w:eastAsia="宋体" w:cs="宋体"/>
          <w:lang w:val="en-US" w:eastAsia="zh-CN"/>
        </w:rPr>
        <w:instrText xml:space="preserve"> HYPERLINK \l _Toc9019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参考文献</w:t>
      </w:r>
      <w:r>
        <w:tab/>
      </w:r>
      <w:r>
        <w:fldChar w:fldCharType="begin"/>
      </w:r>
      <w:r>
        <w:instrText xml:space="preserve"> PAGEREF _Toc9019 \h </w:instrText>
      </w:r>
      <w:r>
        <w:fldChar w:fldCharType="separate"/>
      </w:r>
      <w:r>
        <w:t>22</w:t>
      </w:r>
      <w:r>
        <w:fldChar w:fldCharType="end"/>
      </w:r>
      <w:r>
        <w:rPr>
          <w:rFonts w:hint="eastAsia" w:ascii="宋体" w:hAnsi="宋体" w:eastAsia="宋体" w:cs="宋体"/>
          <w:color w:val="auto"/>
          <w:lang w:val="en-US" w:eastAsia="zh-CN"/>
        </w:rPr>
        <w:fldChar w:fldCharType="end"/>
      </w:r>
    </w:p>
    <w:p w14:paraId="73F5761C">
      <w:pPr>
        <w:keepNext w:val="0"/>
        <w:keepLines w:val="0"/>
        <w:pageBreakBefore w:val="0"/>
        <w:widowControl w:val="0"/>
        <w:tabs>
          <w:tab w:val="right" w:leader="dot" w:pos="0"/>
          <w:tab w:val="right" w:leader="dot" w:pos="9355"/>
        </w:tabs>
        <w:kinsoku/>
        <w:wordWrap/>
        <w:overflowPunct/>
        <w:topLinePunct w:val="0"/>
        <w:autoSpaceDE/>
        <w:autoSpaceDN/>
        <w:bidi w:val="0"/>
        <w:adjustRightInd w:val="0"/>
        <w:snapToGrid w:val="0"/>
        <w:ind w:left="0" w:leftChars="0" w:firstLine="0" w:firstLineChars="0"/>
        <w:jc w:val="both"/>
        <w:textAlignment w:val="auto"/>
        <w:rPr>
          <w:rFonts w:hint="eastAsia" w:ascii="宋体" w:hAnsi="宋体" w:eastAsia="宋体" w:cs="宋体"/>
          <w:color w:val="auto"/>
          <w:lang w:val="en-US" w:eastAsia="zh-CN"/>
        </w:rPr>
      </w:pPr>
      <w:r>
        <w:rPr>
          <w:rFonts w:hint="eastAsia" w:ascii="宋体" w:hAnsi="宋体" w:eastAsia="宋体" w:cs="宋体"/>
          <w:color w:val="auto"/>
          <w:lang w:val="en-US" w:eastAsia="zh-CN"/>
        </w:rPr>
        <w:fldChar w:fldCharType="end"/>
      </w:r>
    </w:p>
    <w:p w14:paraId="54832083">
      <w:pPr>
        <w:bidi w:val="0"/>
        <w:ind w:left="0" w:leftChars="0" w:firstLine="0" w:firstLineChars="0"/>
        <w:jc w:val="center"/>
        <w:rPr>
          <w:rFonts w:hint="eastAsia" w:ascii="宋体" w:hAnsi="宋体" w:eastAsia="宋体" w:cs="宋体"/>
          <w:b/>
          <w:bCs/>
          <w:color w:val="auto"/>
          <w:sz w:val="32"/>
          <w:szCs w:val="32"/>
          <w:lang w:val="en-US" w:eastAsia="zh-CN"/>
        </w:rPr>
        <w:sectPr>
          <w:footerReference r:id="rId5" w:type="default"/>
          <w:pgSz w:w="11906" w:h="16838"/>
          <w:pgMar w:top="1417" w:right="1134" w:bottom="1417" w:left="1417" w:header="851" w:footer="992" w:gutter="0"/>
          <w:pgBorders>
            <w:top w:val="none" w:sz="0" w:space="0"/>
            <w:left w:val="none" w:sz="0" w:space="0"/>
            <w:bottom w:val="none" w:sz="0" w:space="0"/>
            <w:right w:val="none" w:sz="0" w:space="0"/>
          </w:pgBorders>
          <w:pgNumType w:fmt="decimal" w:start="1"/>
          <w:cols w:space="0" w:num="1"/>
          <w:rtlGutter w:val="0"/>
          <w:docGrid w:type="lines" w:linePitch="333" w:charSpace="0"/>
        </w:sectPr>
      </w:pPr>
    </w:p>
    <w:p w14:paraId="7A14EB31">
      <w:pPr>
        <w:bidi w:val="0"/>
        <w:ind w:left="0" w:leftChars="0" w:firstLine="0" w:firstLineChars="0"/>
        <w:jc w:val="center"/>
        <w:rPr>
          <w:rFonts w:hint="eastAsia" w:ascii="宋体" w:hAnsi="宋体" w:eastAsia="宋体" w:cs="宋体"/>
          <w:b/>
          <w:bCs/>
          <w:color w:val="auto"/>
          <w:sz w:val="32"/>
          <w:szCs w:val="32"/>
          <w:lang w:val="en-US" w:eastAsia="zh-CN"/>
        </w:rPr>
      </w:pPr>
      <w:r>
        <w:rPr>
          <w:rFonts w:hint="eastAsia" w:ascii="宋体" w:hAnsi="宋体" w:eastAsia="宋体" w:cs="宋体"/>
          <w:b/>
          <w:bCs/>
          <w:color w:val="auto"/>
          <w:sz w:val="32"/>
          <w:szCs w:val="32"/>
          <w:lang w:val="en-US" w:eastAsia="zh-CN"/>
        </w:rPr>
        <w:t>“双碳”背景下天原股份ESG信息披露存在的问题</w:t>
      </w:r>
      <w:r>
        <w:rPr>
          <w:rFonts w:hint="eastAsia" w:ascii="宋体" w:hAnsi="宋体" w:eastAsia="宋体" w:cs="宋体"/>
          <w:b/>
          <w:bCs/>
          <w:color w:val="auto"/>
          <w:sz w:val="32"/>
          <w:szCs w:val="32"/>
          <w:lang w:val="en-US" w:eastAsia="zh-CN"/>
        </w:rPr>
        <w:br w:type="textWrapping"/>
      </w:r>
      <w:r>
        <w:rPr>
          <w:rFonts w:hint="eastAsia" w:ascii="宋体" w:hAnsi="宋体" w:eastAsia="宋体" w:cs="宋体"/>
          <w:b/>
          <w:bCs/>
          <w:color w:val="auto"/>
          <w:sz w:val="32"/>
          <w:szCs w:val="32"/>
          <w:lang w:val="en-US" w:eastAsia="zh-CN"/>
        </w:rPr>
        <w:t>及对策研究</w:t>
      </w:r>
    </w:p>
    <w:p w14:paraId="5F3990C9">
      <w:pPr>
        <w:bidi w:val="0"/>
        <w:ind w:left="0" w:leftChars="0" w:firstLine="0" w:firstLineChars="0"/>
        <w:jc w:val="center"/>
        <w:rPr>
          <w:rFonts w:hint="default" w:ascii="宋体" w:hAnsi="宋体" w:eastAsia="宋体" w:cs="宋体"/>
          <w:b w:val="0"/>
          <w:bCs w:val="0"/>
          <w:color w:val="auto"/>
          <w:sz w:val="24"/>
          <w:szCs w:val="24"/>
          <w:lang w:val="en-US" w:eastAsia="zh-CN"/>
        </w:rPr>
      </w:pPr>
      <w:r>
        <w:rPr>
          <w:rFonts w:hint="eastAsia" w:cs="宋体"/>
          <w:b w:val="0"/>
          <w:bCs w:val="0"/>
          <w:color w:val="auto"/>
          <w:sz w:val="24"/>
          <w:szCs w:val="24"/>
          <w:lang w:val="en-US" w:eastAsia="zh-CN"/>
        </w:rPr>
        <w:t>XX XXXX</w:t>
      </w:r>
    </w:p>
    <w:p w14:paraId="4D72D271">
      <w:pPr>
        <w:pStyle w:val="5"/>
        <w:numPr>
          <w:ilvl w:val="3"/>
          <w:numId w:val="0"/>
        </w:numPr>
        <w:bidi w:val="0"/>
        <w:rPr>
          <w:rFonts w:hint="eastAsia" w:ascii="宋体" w:hAnsi="宋体" w:eastAsia="宋体" w:cs="宋体"/>
          <w:color w:val="auto"/>
          <w:lang w:val="en-US" w:eastAsia="zh-CN"/>
        </w:rPr>
      </w:pPr>
    </w:p>
    <w:p w14:paraId="188EEF52">
      <w:pPr>
        <w:bidi w:val="0"/>
        <w:rPr>
          <w:rFonts w:hint="eastAsia" w:ascii="宋体" w:hAnsi="宋体" w:eastAsia="宋体" w:cs="宋体"/>
          <w:b w:val="0"/>
          <w:bCs w:val="0"/>
          <w:color w:val="auto"/>
        </w:rPr>
      </w:pPr>
      <w:bookmarkStart w:id="0" w:name="_Toc20468"/>
      <w:bookmarkStart w:id="1" w:name="_Toc24636"/>
      <w:r>
        <w:rPr>
          <w:rStyle w:val="24"/>
          <w:rFonts w:hint="eastAsia" w:ascii="宋体" w:hAnsi="宋体" w:eastAsia="宋体" w:cs="宋体"/>
          <w:color w:val="auto"/>
          <w:lang w:eastAsia="zh-CN"/>
        </w:rPr>
        <w:t>【摘要】</w:t>
      </w:r>
      <w:bookmarkEnd w:id="0"/>
      <w:bookmarkEnd w:id="1"/>
      <w:r>
        <w:rPr>
          <w:rFonts w:hint="eastAsia" w:ascii="宋体" w:hAnsi="宋体" w:eastAsia="宋体" w:cs="宋体"/>
          <w:color w:val="auto"/>
          <w:lang w:eastAsia="zh-CN"/>
        </w:rPr>
        <w:t>天原股份处于传统化工业务与低碳转型并行推进阶段，其ESG披露已覆盖环境、社会和治理多个方面，但现有信息在完整性、可靠性及财务关联上仍有改进空间。本文结合公司社会责任及ESG报告、年度报告和相关文献，梳理其披露现状，并从碳排放核算、第三方鉴证、内部治理和气候风险财务披露四个方面分析。研究显示，公司尚未量化披露范围三排放，中长期减排目标以及环境数据与财务信息的衔接仍需完善；整份ESG报告缺少独立第三方鉴证；现有治理架构在专业分工和绩效约束方面仍有提升空间；气候风险及挑战性信息的财务影响披露也较为有限。针对这些问题，本文从会计导向碳账户与量化减排机制、第三方鉴证、ESG管治与绩效考核、气候情景分析及财务指标映射等方面提出改进思路，并通过敏感性测算增强气候信息与财务信息之间的联系。</w:t>
      </w:r>
    </w:p>
    <w:p w14:paraId="16449437">
      <w:pPr>
        <w:keepNext w:val="0"/>
        <w:keepLines w:val="0"/>
        <w:pageBreakBefore w:val="0"/>
        <w:widowControl w:val="0"/>
        <w:kinsoku/>
        <w:wordWrap/>
        <w:overflowPunct/>
        <w:topLinePunct w:val="0"/>
        <w:autoSpaceDE/>
        <w:autoSpaceDN/>
        <w:bidi w:val="0"/>
        <w:adjustRightInd w:val="0"/>
        <w:snapToGrid w:val="0"/>
        <w:textAlignment w:val="auto"/>
        <w:rPr>
          <w:rFonts w:hint="eastAsia" w:ascii="宋体" w:hAnsi="宋体" w:eastAsia="宋体" w:cs="宋体"/>
          <w:b w:val="0"/>
          <w:bCs w:val="0"/>
          <w:color w:val="auto"/>
        </w:rPr>
      </w:pPr>
      <w:bookmarkStart w:id="2" w:name="_Toc25679"/>
      <w:r>
        <w:rPr>
          <w:rStyle w:val="24"/>
          <w:rFonts w:hint="eastAsia" w:ascii="宋体" w:hAnsi="宋体" w:eastAsia="宋体" w:cs="宋体"/>
          <w:color w:val="auto"/>
          <w:lang w:eastAsia="zh-CN"/>
        </w:rPr>
        <w:t>【</w:t>
      </w:r>
      <w:r>
        <w:rPr>
          <w:rStyle w:val="24"/>
          <w:rFonts w:hint="eastAsia" w:ascii="宋体" w:hAnsi="宋体" w:eastAsia="宋体" w:cs="宋体"/>
          <w:color w:val="auto"/>
        </w:rPr>
        <w:t>关键词</w:t>
      </w:r>
      <w:r>
        <w:rPr>
          <w:rStyle w:val="24"/>
          <w:rFonts w:hint="eastAsia" w:ascii="宋体" w:hAnsi="宋体" w:eastAsia="宋体" w:cs="宋体"/>
          <w:color w:val="auto"/>
          <w:lang w:eastAsia="zh-CN"/>
        </w:rPr>
        <w:t>】</w:t>
      </w:r>
      <w:bookmarkEnd w:id="2"/>
      <w:r>
        <w:rPr>
          <w:rFonts w:hint="eastAsia" w:ascii="宋体" w:hAnsi="宋体" w:eastAsia="宋体" w:cs="宋体"/>
          <w:b w:val="0"/>
          <w:bCs w:val="0"/>
          <w:color w:val="auto"/>
        </w:rPr>
        <w:t>天原股份；ESG信息披露；双碳目标；漂绿风险；第三方鉴证</w:t>
      </w:r>
    </w:p>
    <w:p w14:paraId="29CE2C21">
      <w:pPr>
        <w:pStyle w:val="2"/>
        <w:bidi w:val="0"/>
        <w:rPr>
          <w:rFonts w:hint="eastAsia" w:ascii="宋体" w:hAnsi="宋体" w:eastAsia="宋体" w:cs="宋体"/>
          <w:b w:val="0"/>
          <w:bCs w:val="0"/>
          <w:color w:val="auto"/>
          <w:lang w:eastAsia="zh-CN"/>
        </w:rPr>
        <w:sectPr>
          <w:footerReference r:id="rId6" w:type="default"/>
          <w:pgSz w:w="11906" w:h="16838"/>
          <w:pgMar w:top="1417" w:right="1134" w:bottom="1417" w:left="1417" w:header="851" w:footer="992" w:gutter="0"/>
          <w:pgBorders>
            <w:top w:val="none" w:sz="0" w:space="0"/>
            <w:left w:val="none" w:sz="0" w:space="0"/>
            <w:bottom w:val="none" w:sz="0" w:space="0"/>
            <w:right w:val="none" w:sz="0" w:space="0"/>
          </w:pgBorders>
          <w:pgNumType w:fmt="decimal" w:start="1"/>
          <w:cols w:space="0" w:num="1"/>
          <w:rtlGutter w:val="0"/>
          <w:docGrid w:type="lines" w:linePitch="333" w:charSpace="0"/>
        </w:sectPr>
      </w:pPr>
      <w:bookmarkStart w:id="3" w:name="_Toc17883"/>
    </w:p>
    <w:bookmarkEnd w:id="3"/>
    <w:p w14:paraId="22583AFD">
      <w:pPr>
        <w:pStyle w:val="5"/>
        <w:keepNext/>
        <w:keepLines w:val="0"/>
        <w:pageBreakBefore w:val="0"/>
        <w:widowControl w:val="0"/>
        <w:numPr>
          <w:ilvl w:val="3"/>
          <w:numId w:val="0"/>
        </w:numPr>
        <w:kinsoku/>
        <w:wordWrap/>
        <w:overflowPunct/>
        <w:topLinePunct w:val="0"/>
        <w:autoSpaceDE/>
        <w:autoSpaceDN/>
        <w:bidi w:val="0"/>
        <w:adjustRightInd w:val="0"/>
        <w:snapToGrid w:val="0"/>
        <w:ind w:leftChars="0" w:firstLine="482" w:firstLineChars="200"/>
        <w:textAlignment w:val="auto"/>
        <w:rPr>
          <w:rFonts w:hint="eastAsia" w:ascii="宋体" w:hAnsi="宋体" w:eastAsia="宋体" w:cs="宋体"/>
          <w:color w:val="auto"/>
          <w:lang w:val="en-US" w:eastAsia="zh-CN"/>
        </w:rPr>
      </w:pPr>
      <w:bookmarkStart w:id="4" w:name="_Toc22185"/>
      <w:r>
        <w:rPr>
          <w:rFonts w:hint="eastAsia" w:ascii="宋体" w:hAnsi="宋体" w:eastAsia="宋体" w:cs="宋体"/>
          <w:color w:val="auto"/>
          <w:lang w:val="en-US" w:eastAsia="zh-CN"/>
        </w:rPr>
        <w:t>引言</w:t>
      </w:r>
      <w:bookmarkEnd w:id="4"/>
    </w:p>
    <w:p w14:paraId="48FF039D">
      <w:pPr>
        <w:keepNext w:val="0"/>
        <w:keepLines w:val="0"/>
        <w:pageBreakBefore w:val="0"/>
        <w:widowControl w:val="0"/>
        <w:kinsoku/>
        <w:wordWrap/>
        <w:overflowPunct/>
        <w:topLinePunct w:val="0"/>
        <w:autoSpaceDE/>
        <w:autoSpaceDN/>
        <w:bidi w:val="0"/>
        <w:adjustRightInd/>
        <w:snapToGrid w:val="0"/>
        <w:ind w:left="0" w:leftChars="0" w:firstLine="480" w:firstLineChars="200"/>
        <w:textAlignment w:val="auto"/>
        <w:rPr>
          <w:rFonts w:hint="eastAsia" w:ascii="宋体" w:hAnsi="宋体" w:eastAsia="宋体" w:cs="宋体"/>
          <w:b w:val="0"/>
          <w:bCs w:val="0"/>
          <w:color w:val="auto"/>
          <w:lang w:val="en-US" w:eastAsia="zh-CN"/>
        </w:rPr>
      </w:pPr>
      <w:r>
        <w:rPr>
          <w:rFonts w:hint="eastAsia" w:ascii="宋体" w:hAnsi="宋体" w:eastAsia="宋体" w:cs="宋体"/>
          <w:b w:val="0"/>
          <w:bCs w:val="0"/>
          <w:color w:val="auto"/>
          <w:lang w:val="en-US" w:eastAsia="zh-CN"/>
        </w:rPr>
        <w:t>随着我国“双碳”目标持续推进，重化工企业面临更加严格的环境约束和低碳转型要求，ESG信息披露也逐渐成为外部主体了解企业非财务风险和转型情况的重要渠道。天原股份近年来持续推进“一体两翼”战略，业务由传统氯碱化工进一步延伸至钛化工、新能源电池材料及化工新材料等领域。传统化工业务与新能源业务并行发展时，公司既要应对高耗能、高排放业务的转型压力，也需要提升环境数据、气候风险及相关治理信息的披露质量。对天原股份ESG信息披露</w:t>
      </w:r>
      <w:bookmarkStart w:id="155" w:name="_GoBack"/>
      <w:bookmarkEnd w:id="155"/>
      <w:r>
        <w:rPr>
          <w:rFonts w:hint="eastAsia" w:ascii="宋体" w:hAnsi="宋体" w:eastAsia="宋体" w:cs="宋体"/>
          <w:b w:val="0"/>
          <w:bCs w:val="0"/>
          <w:color w:val="auto"/>
          <w:lang w:val="en-US" w:eastAsia="zh-CN"/>
        </w:rPr>
        <w:t>进行案例研究，可以较为具体地观察其在碳排放核算、外部鉴证、内部治理和气候风险财务披露等方面仍需完善的环节，也能为同类化工企业提供一定参考。</w:t>
      </w:r>
    </w:p>
    <w:p w14:paraId="69FEC1EA">
      <w:pPr>
        <w:keepNext w:val="0"/>
        <w:keepLines w:val="0"/>
        <w:pageBreakBefore w:val="0"/>
        <w:widowControl w:val="0"/>
        <w:kinsoku/>
        <w:wordWrap/>
        <w:overflowPunct/>
        <w:topLinePunct w:val="0"/>
        <w:autoSpaceDE/>
        <w:autoSpaceDN/>
        <w:bidi w:val="0"/>
        <w:adjustRightInd/>
        <w:snapToGrid w:val="0"/>
        <w:ind w:left="0" w:leftChars="0" w:firstLine="480" w:firstLineChars="200"/>
        <w:textAlignment w:val="auto"/>
        <w:rPr>
          <w:rFonts w:hint="eastAsia" w:ascii="宋体" w:hAnsi="宋体" w:eastAsia="宋体" w:cs="宋体"/>
          <w:b w:val="0"/>
          <w:bCs w:val="0"/>
          <w:color w:val="auto"/>
          <w:lang w:val="en-US" w:eastAsia="zh-CN"/>
        </w:rPr>
      </w:pPr>
      <w:r>
        <w:rPr>
          <w:rFonts w:hint="eastAsia" w:ascii="宋体" w:hAnsi="宋体" w:eastAsia="宋体" w:cs="宋体"/>
          <w:b w:val="0"/>
          <w:bCs w:val="0"/>
          <w:color w:val="auto"/>
          <w:lang w:val="en-US" w:eastAsia="zh-CN"/>
        </w:rPr>
        <w:t>本文沿着“文献综述-理论基础-现状分析-问题诊断-对策建议”的思路，采用文献法、案例法和比较法，结合天原股份历年社会责任报告、ESG报告及定期财务报告，对披露内容、治理架构和关键环境指标进行分析，并参考宁德时代、万华化学的相关实践进行比较。研究主要涉及范围三排放及量化减排目标、第三方鉴证、ESG内部管治，以及气候风险与财务信息的衔接。后文针对这些问题，从会计导向的碳账户、鉴证机制、治理架构和绩效约束、气候风险财务映射与敏感性测算等方面讨论改进思路。</w:t>
      </w:r>
    </w:p>
    <w:p w14:paraId="462B2191">
      <w:pPr>
        <w:pStyle w:val="2"/>
        <w:bidi w:val="0"/>
        <w:rPr>
          <w:rFonts w:hint="eastAsia"/>
          <w:lang w:val="en-US" w:eastAsia="zh-CN"/>
        </w:rPr>
      </w:pPr>
      <w:bookmarkStart w:id="5" w:name="_Toc24622"/>
      <w:r>
        <w:rPr>
          <w:rFonts w:hint="eastAsia"/>
          <w:lang w:val="en-US" w:eastAsia="zh-CN"/>
        </w:rPr>
        <w:t>文献综述</w:t>
      </w:r>
      <w:bookmarkEnd w:id="5"/>
    </w:p>
    <w:p w14:paraId="402DEBEA">
      <w:pPr>
        <w:pStyle w:val="3"/>
        <w:bidi w:val="0"/>
        <w:rPr>
          <w:rFonts w:hint="eastAsia"/>
          <w:lang w:val="en-US" w:eastAsia="zh-CN"/>
        </w:rPr>
      </w:pPr>
      <w:bookmarkStart w:id="6" w:name="_Toc15087"/>
      <w:r>
        <w:rPr>
          <w:rFonts w:hint="eastAsia"/>
          <w:lang w:val="en-US" w:eastAsia="zh-CN"/>
        </w:rPr>
        <w:t>ESG信息披露的经济后果研究</w:t>
      </w:r>
      <w:bookmarkEnd w:id="6"/>
    </w:p>
    <w:p w14:paraId="54B26369">
      <w:pPr>
        <w:rPr>
          <w:rFonts w:hint="eastAsia"/>
          <w:lang w:val="en-US" w:eastAsia="zh-CN"/>
        </w:rPr>
      </w:pPr>
      <w:r>
        <w:rPr>
          <w:rFonts w:hint="eastAsia"/>
          <w:lang w:val="en-US" w:eastAsia="zh-CN"/>
        </w:rPr>
        <w:t>Downar等研究英国温室气体强制披露制度，并采用双重差分方法检验政策实施效果。结果表明，受到强制披露要求影响的企业碳排放有所下降，同时未发现财务经营绩效受到显著不利影响</w:t>
      </w:r>
      <w:r>
        <w:rPr>
          <w:rFonts w:hint="eastAsia"/>
          <w:vertAlign w:val="superscript"/>
          <w:lang w:val="en-US" w:eastAsia="zh-CN"/>
        </w:rPr>
        <w:fldChar w:fldCharType="begin"/>
      </w:r>
      <w:r>
        <w:instrText xml:space="preserve"> REF _Ref9073 \r \h  \* MERGEFORMAT</w:instrText>
      </w:r>
      <w:r>
        <w:rPr>
          <w:rFonts w:hint="eastAsia"/>
          <w:vertAlign w:val="superscript"/>
          <w:lang w:val="en-US" w:eastAsia="zh-CN"/>
        </w:rPr>
        <w:fldChar w:fldCharType="separate"/>
      </w:r>
      <w:r>
        <w:rPr>
          <w:rFonts w:hint="eastAsia"/>
          <w:vertAlign w:val="superscript"/>
          <w:lang w:val="en-US" w:eastAsia="zh-CN"/>
        </w:rPr>
        <w:t>[1]</w:t>
      </w:r>
      <w:r>
        <w:rPr>
          <w:rFonts w:hint="eastAsia"/>
          <w:vertAlign w:val="superscript"/>
          <w:lang w:val="en-US" w:eastAsia="zh-CN"/>
        </w:rPr>
        <w:fldChar w:fldCharType="end"/>
      </w:r>
      <w:r>
        <w:rPr>
          <w:rFonts w:hint="eastAsia"/>
          <w:lang w:val="en-US" w:eastAsia="zh-CN"/>
        </w:rPr>
        <w:t>。Christensen等从经济学分析和文献综述角度讨论强制CSR与可持续发展报告的经济后果，指出其影响会受到报告标准、执行机制和重要性界定等制度条件制约</w:t>
      </w:r>
      <w:r>
        <w:rPr>
          <w:rFonts w:hint="eastAsia"/>
          <w:vertAlign w:val="superscript"/>
          <w:lang w:val="en-US" w:eastAsia="zh-CN"/>
        </w:rPr>
        <w:fldChar w:fldCharType="begin"/>
      </w:r>
      <w:r>
        <w:instrText xml:space="preserve"> REF _Ref9311 \r \h  \* MERGEFORMAT</w:instrText>
      </w:r>
      <w:r>
        <w:rPr>
          <w:rFonts w:hint="eastAsia"/>
          <w:vertAlign w:val="superscript"/>
          <w:lang w:val="en-US" w:eastAsia="zh-CN"/>
        </w:rPr>
        <w:fldChar w:fldCharType="separate"/>
      </w:r>
      <w:r>
        <w:rPr>
          <w:rFonts w:hint="eastAsia"/>
          <w:vertAlign w:val="superscript"/>
          <w:lang w:val="en-US" w:eastAsia="zh-CN"/>
        </w:rPr>
        <w:t>[2]</w:t>
      </w:r>
      <w:r>
        <w:rPr>
          <w:rFonts w:hint="eastAsia"/>
          <w:vertAlign w:val="superscript"/>
          <w:lang w:val="en-US" w:eastAsia="zh-CN"/>
        </w:rPr>
        <w:fldChar w:fldCharType="end"/>
      </w:r>
      <w:r>
        <w:rPr>
          <w:rFonts w:hint="eastAsia"/>
          <w:lang w:val="en-US" w:eastAsia="zh-CN"/>
        </w:rPr>
        <w:t>。</w:t>
      </w:r>
    </w:p>
    <w:p w14:paraId="06DD788F">
      <w:pPr>
        <w:rPr>
          <w:rFonts w:hint="eastAsia"/>
          <w:lang w:val="en-US" w:eastAsia="zh-CN"/>
        </w:rPr>
      </w:pPr>
      <w:r>
        <w:rPr>
          <w:rFonts w:hint="eastAsia"/>
          <w:lang w:val="en-US" w:eastAsia="zh-CN"/>
        </w:rPr>
        <w:t>国内相关研究更多考察ESG信息披露或ESG表现与企业价值、经营风险之间的关系。徐光华等以A股制造业公司为研究对象，发现ESG信息披露与企业价值显著正相关，同时这种关系会受到产权性质、政策环境和地区市场化程度等因素影响</w:t>
      </w:r>
      <w:r>
        <w:rPr>
          <w:rFonts w:hint="eastAsia"/>
          <w:vertAlign w:val="superscript"/>
          <w:lang w:val="en-US" w:eastAsia="zh-CN"/>
        </w:rPr>
        <w:fldChar w:fldCharType="begin"/>
      </w:r>
      <w:r>
        <w:instrText xml:space="preserve"> REF _Ref9360 \r \h  \* MERGEFORMAT</w:instrText>
      </w:r>
      <w:r>
        <w:rPr>
          <w:rFonts w:hint="eastAsia"/>
          <w:vertAlign w:val="superscript"/>
          <w:lang w:val="en-US" w:eastAsia="zh-CN"/>
        </w:rPr>
        <w:fldChar w:fldCharType="separate"/>
      </w:r>
      <w:r>
        <w:rPr>
          <w:rFonts w:hint="eastAsia"/>
          <w:vertAlign w:val="superscript"/>
          <w:lang w:val="en-US" w:eastAsia="zh-CN"/>
        </w:rPr>
        <w:t>[4]</w:t>
      </w:r>
      <w:r>
        <w:rPr>
          <w:rFonts w:hint="eastAsia"/>
          <w:vertAlign w:val="superscript"/>
          <w:lang w:val="en-US" w:eastAsia="zh-CN"/>
        </w:rPr>
        <w:fldChar w:fldCharType="end"/>
      </w:r>
      <w:r>
        <w:rPr>
          <w:rFonts w:hint="eastAsia"/>
          <w:lang w:val="en-US" w:eastAsia="zh-CN"/>
        </w:rPr>
        <w:t>。陆园园将研究对象聚焦于化工行业，结果显示，化工行业上市公司的ESG整体表现及其单项指标的积极表现与当期企业价值水平之间存在显著正向关系</w:t>
      </w:r>
      <w:r>
        <w:rPr>
          <w:rFonts w:hint="eastAsia"/>
          <w:vertAlign w:val="superscript"/>
          <w:lang w:val="en-US" w:eastAsia="zh-CN"/>
        </w:rPr>
        <w:fldChar w:fldCharType="begin"/>
      </w:r>
      <w:r>
        <w:instrText xml:space="preserve"> REF _Ref9337 \r \h  \* MERGEFORMAT</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r>
        <w:rPr>
          <w:rFonts w:hint="eastAsia"/>
          <w:lang w:val="en-US" w:eastAsia="zh-CN"/>
        </w:rPr>
        <w:t>。不同于前述以企业价值为重点的研究，谭劲松等从资源获取视角考察ESG表现与企业风险之间的关系，认为良好的ESG表现能够增强企业从消费者和供应链、投资者和债权人以及政府等利益相关者渠道获取资源的能力，从而缓解资源约束并降低企业风险</w:t>
      </w:r>
      <w:r>
        <w:rPr>
          <w:rFonts w:hint="eastAsia"/>
          <w:vertAlign w:val="superscript"/>
          <w:lang w:val="en-US" w:eastAsia="zh-CN"/>
        </w:rPr>
        <w:fldChar w:fldCharType="begin"/>
      </w:r>
      <w:r>
        <w:instrText xml:space="preserve"> REF _Ref9474 \r \h  \* MERGEFORMAT</w:instrText>
      </w:r>
      <w:r>
        <w:rPr>
          <w:rFonts w:hint="eastAsia"/>
          <w:vertAlign w:val="superscript"/>
          <w:lang w:val="en-US" w:eastAsia="zh-CN"/>
        </w:rPr>
        <w:fldChar w:fldCharType="separate"/>
      </w:r>
      <w:r>
        <w:rPr>
          <w:rFonts w:hint="eastAsia"/>
          <w:vertAlign w:val="superscript"/>
          <w:lang w:val="en-US" w:eastAsia="zh-CN"/>
        </w:rPr>
        <w:t>[6]</w:t>
      </w:r>
      <w:r>
        <w:rPr>
          <w:rFonts w:hint="eastAsia"/>
          <w:vertAlign w:val="superscript"/>
          <w:lang w:val="en-US" w:eastAsia="zh-CN"/>
        </w:rPr>
        <w:fldChar w:fldCharType="end"/>
      </w:r>
      <w:r>
        <w:rPr>
          <w:rFonts w:hint="eastAsia"/>
          <w:lang w:val="en-US" w:eastAsia="zh-CN"/>
        </w:rPr>
        <w:t>。</w:t>
      </w:r>
    </w:p>
    <w:p w14:paraId="5E0CDE08">
      <w:pPr>
        <w:rPr>
          <w:rFonts w:hint="eastAsia"/>
          <w:lang w:val="en-US" w:eastAsia="zh-CN"/>
        </w:rPr>
      </w:pPr>
      <w:r>
        <w:rPr>
          <w:rFonts w:hint="eastAsia"/>
          <w:lang w:val="en-US" w:eastAsia="zh-CN"/>
        </w:rPr>
        <w:t>徐光华等和陆园园主要从企业价值角度考察ESG的经济后果，其中陆园园进一步将研究情境延伸至化工行业；谭劲松等则从资源获取机制解释ESG表现影响企业风险的作用路径。三项研究的对象和分析视角虽有差异，但均表明ESG相关表现可能与企业价值创造和风险管理存在密切联系。现有研究为本文分析化工企业ESG问题提供了经济后果和作用机制方面的参考，但重点仍在于ESG表现及其经济后果，对具体重污染企业ESG信息披露的完整性、可靠性、第三方验证以及“双碳”转型过程中环境信息与财务信息的衔接问题仍有进一步研究空间。</w:t>
      </w:r>
    </w:p>
    <w:p w14:paraId="4AD5756F">
      <w:pPr>
        <w:pStyle w:val="3"/>
        <w:bidi w:val="0"/>
        <w:rPr>
          <w:rFonts w:hint="eastAsia"/>
          <w:lang w:val="en-US" w:eastAsia="zh-CN"/>
        </w:rPr>
      </w:pPr>
      <w:bookmarkStart w:id="7" w:name="_Toc19246"/>
      <w:r>
        <w:rPr>
          <w:rFonts w:hint="eastAsia"/>
          <w:lang w:val="en-US" w:eastAsia="zh-CN"/>
        </w:rPr>
        <w:t>ESG信息披露质量与第三方鉴证研究</w:t>
      </w:r>
      <w:bookmarkEnd w:id="7"/>
    </w:p>
    <w:p w14:paraId="7C6EDFC3">
      <w:pPr>
        <w:rPr>
          <w:rFonts w:hint="eastAsia"/>
          <w:lang w:val="en-US" w:eastAsia="zh-CN"/>
        </w:rPr>
      </w:pPr>
      <w:r>
        <w:rPr>
          <w:rFonts w:hint="eastAsia"/>
          <w:lang w:val="en-US" w:eastAsia="zh-CN"/>
        </w:rPr>
        <w:t>ESG信息披露质量研究已从是否披露逐步转向信息的完整性、可靠性、可比性和平衡性。陈智等以顺丰控股2020年可持续发展报告为案例，参照GRI准则构建披露质量评价体系并评分，研究发现其整体披露质量较好，但在可靠性、完整性和可比性等方面仍存在改进空间，同时将第三方鉴证纳入信息可靠性的评价范围</w:t>
      </w:r>
      <w:r>
        <w:rPr>
          <w:rFonts w:hint="eastAsia"/>
          <w:vertAlign w:val="superscript"/>
          <w:lang w:val="en-US" w:eastAsia="zh-CN"/>
        </w:rPr>
        <w:fldChar w:fldCharType="begin"/>
      </w:r>
      <w:r>
        <w:instrText xml:space="preserve"> REF _Ref10085 \r \h  \* MERGEFORMAT</w:instrText>
      </w:r>
      <w:r>
        <w:rPr>
          <w:rFonts w:hint="eastAsia"/>
          <w:vertAlign w:val="superscript"/>
          <w:lang w:val="en-US" w:eastAsia="zh-CN"/>
        </w:rPr>
        <w:fldChar w:fldCharType="separate"/>
      </w:r>
      <w:r>
        <w:rPr>
          <w:rFonts w:hint="eastAsia"/>
          <w:vertAlign w:val="superscript"/>
          <w:lang w:val="en-US" w:eastAsia="zh-CN"/>
        </w:rPr>
        <w:t>[18]</w:t>
      </w:r>
      <w:r>
        <w:rPr>
          <w:rFonts w:hint="eastAsia"/>
          <w:vertAlign w:val="superscript"/>
          <w:lang w:val="en-US" w:eastAsia="zh-CN"/>
        </w:rPr>
        <w:fldChar w:fldCharType="end"/>
      </w:r>
      <w:r>
        <w:rPr>
          <w:rFonts w:hint="eastAsia"/>
          <w:lang w:val="en-US" w:eastAsia="zh-CN"/>
        </w:rPr>
        <w:t>。王宇熹则从选择性披露、信息扭曲及“漂绿”风险出发作规范性分析，认为完善ESG信息披露规则并引入第三方鉴证，有助于增强信息披露的可信度</w:t>
      </w:r>
      <w:r>
        <w:rPr>
          <w:rFonts w:hint="eastAsia"/>
          <w:vertAlign w:val="superscript"/>
          <w:lang w:val="en-US" w:eastAsia="zh-CN"/>
        </w:rPr>
        <w:fldChar w:fldCharType="begin"/>
      </w:r>
      <w:r>
        <w:instrText xml:space="preserve"> REF _Ref9755 \r \h  \* MERGEFORMAT</w:instrText>
      </w:r>
      <w:r>
        <w:rPr>
          <w:rFonts w:hint="eastAsia"/>
          <w:vertAlign w:val="superscript"/>
          <w:lang w:val="en-US" w:eastAsia="zh-CN"/>
        </w:rPr>
        <w:fldChar w:fldCharType="separate"/>
      </w:r>
      <w:r>
        <w:rPr>
          <w:rFonts w:hint="eastAsia"/>
          <w:vertAlign w:val="superscript"/>
          <w:lang w:val="en-US" w:eastAsia="zh-CN"/>
        </w:rPr>
        <w:t>[15]</w:t>
      </w:r>
      <w:r>
        <w:rPr>
          <w:rFonts w:hint="eastAsia"/>
          <w:vertAlign w:val="superscript"/>
          <w:lang w:val="en-US" w:eastAsia="zh-CN"/>
        </w:rPr>
        <w:fldChar w:fldCharType="end"/>
      </w:r>
      <w:r>
        <w:rPr>
          <w:rFonts w:hint="eastAsia"/>
          <w:lang w:val="en-US" w:eastAsia="zh-CN"/>
        </w:rPr>
        <w:t>。</w:t>
      </w:r>
    </w:p>
    <w:p w14:paraId="5AF3351A">
      <w:pPr>
        <w:rPr>
          <w:rFonts w:hint="eastAsia"/>
          <w:lang w:val="en-US" w:eastAsia="zh-CN"/>
        </w:rPr>
      </w:pPr>
      <w:r>
        <w:rPr>
          <w:rFonts w:hint="eastAsia"/>
          <w:lang w:val="en-US" w:eastAsia="zh-CN"/>
        </w:rPr>
        <w:t>与上述案例评价和规范性分析不同，Gipper等基于2010-2020年美国S&amp;P500企业数据，对ESG鉴证实践开展大样本实证研究。研究发现，不同企业在鉴证范围、保证程度和鉴证主体等方面存在明显差异，同时ESG鉴证与更好的披露表现、ESG评级以及机构投资者数量存在正向关联，但作者明确指出这些结果属于相关关系，不能据此作出因果推断</w:t>
      </w:r>
      <w:r>
        <w:rPr>
          <w:rFonts w:hint="eastAsia"/>
          <w:vertAlign w:val="superscript"/>
          <w:lang w:val="en-US" w:eastAsia="zh-CN"/>
        </w:rPr>
        <w:fldChar w:fldCharType="begin"/>
      </w:r>
      <w:r>
        <w:instrText xml:space="preserve"> REF _Ref28500 \r \h  \* MERGEFORMAT</w:instrText>
      </w:r>
      <w:r>
        <w:rPr>
          <w:rFonts w:hint="eastAsia"/>
          <w:vertAlign w:val="superscript"/>
          <w:lang w:val="en-US" w:eastAsia="zh-CN"/>
        </w:rPr>
        <w:fldChar w:fldCharType="separate"/>
      </w:r>
      <w:r>
        <w:rPr>
          <w:rFonts w:hint="eastAsia"/>
          <w:vertAlign w:val="superscript"/>
          <w:lang w:val="en-US" w:eastAsia="zh-CN"/>
        </w:rPr>
        <w:t>[20]</w:t>
      </w:r>
      <w:r>
        <w:rPr>
          <w:rFonts w:hint="eastAsia"/>
          <w:vertAlign w:val="superscript"/>
          <w:lang w:val="en-US" w:eastAsia="zh-CN"/>
        </w:rPr>
        <w:fldChar w:fldCharType="end"/>
      </w:r>
      <w:r>
        <w:rPr>
          <w:rFonts w:hint="eastAsia"/>
          <w:lang w:val="en-US" w:eastAsia="zh-CN"/>
        </w:rPr>
        <w:t>。从研究路径看，陈智等侧重企业层面的披露质量评价，王宇熹关注“漂绿”风险及监管机制，Gipper等则从大样本角度考察鉴证实践及其相关经济后果。三类研究共同说明，ESG信息披露质量不仅取决于披露内容本身，还与外部验证机制密切相关，但不同企业在鉴证对象、覆盖范围、保证水平及鉴证主体等方面仍存在较大差异，这为本文分析天原股份第三方鉴证机制及其披露可靠性提供了参考。</w:t>
      </w:r>
    </w:p>
    <w:p w14:paraId="431160F8">
      <w:pPr>
        <w:pStyle w:val="3"/>
        <w:bidi w:val="0"/>
        <w:rPr>
          <w:rFonts w:hint="eastAsia"/>
          <w:lang w:val="en-US" w:eastAsia="zh-CN"/>
        </w:rPr>
      </w:pPr>
      <w:bookmarkStart w:id="8" w:name="_Toc26008"/>
      <w:r>
        <w:rPr>
          <w:rFonts w:hint="eastAsia"/>
          <w:lang w:val="en-US" w:eastAsia="zh-CN"/>
        </w:rPr>
        <w:t>“双碳”背景下化工企业气候信息披露研究</w:t>
      </w:r>
      <w:bookmarkEnd w:id="8"/>
    </w:p>
    <w:p w14:paraId="7A4E48F3">
      <w:pPr>
        <w:rPr>
          <w:rFonts w:hint="eastAsia"/>
          <w:lang w:val="en-US" w:eastAsia="zh-CN"/>
        </w:rPr>
      </w:pPr>
      <w:r>
        <w:rPr>
          <w:rFonts w:hint="eastAsia"/>
          <w:lang w:val="en-US" w:eastAsia="zh-CN"/>
        </w:rPr>
        <w:t>围绕企业低碳转型和气候风险披露，现有研究的分析路径有所不同。郑彬选取万华化学作为案例，考察企业在环境、社会责任和公司治理方面的ESG实践，并分析财务绩效、非财务绩效和市场反应。其研究认为，万华化学的ESG实践总体取得了较好的成效</w:t>
      </w:r>
      <w:r>
        <w:rPr>
          <w:rFonts w:hint="eastAsia"/>
          <w:vertAlign w:val="superscript"/>
          <w:lang w:val="en-US" w:eastAsia="zh-CN"/>
        </w:rPr>
        <w:fldChar w:fldCharType="begin"/>
      </w:r>
      <w:r>
        <w:instrText xml:space="preserve"> REF _Ref9438 \r \h  \* MERGEFORMAT</w:instrText>
      </w:r>
      <w:r>
        <w:rPr>
          <w:rFonts w:hint="eastAsia"/>
          <w:vertAlign w:val="superscript"/>
          <w:lang w:val="en-US" w:eastAsia="zh-CN"/>
        </w:rPr>
        <w:fldChar w:fldCharType="separate"/>
      </w:r>
      <w:r>
        <w:rPr>
          <w:rFonts w:hint="eastAsia"/>
          <w:vertAlign w:val="superscript"/>
          <w:lang w:val="en-US" w:eastAsia="zh-CN"/>
        </w:rPr>
        <w:t>[5]</w:t>
      </w:r>
      <w:r>
        <w:rPr>
          <w:rFonts w:hint="eastAsia"/>
          <w:vertAlign w:val="superscript"/>
          <w:lang w:val="en-US" w:eastAsia="zh-CN"/>
        </w:rPr>
        <w:fldChar w:fldCharType="end"/>
      </w:r>
      <w:r>
        <w:rPr>
          <w:rFonts w:hint="eastAsia"/>
          <w:lang w:val="en-US" w:eastAsia="zh-CN"/>
        </w:rPr>
        <w:t>。</w:t>
      </w:r>
    </w:p>
    <w:p w14:paraId="733A0989">
      <w:pPr>
        <w:rPr>
          <w:rFonts w:hint="eastAsia"/>
          <w:lang w:val="en-US" w:eastAsia="zh-CN"/>
        </w:rPr>
      </w:pPr>
      <w:r>
        <w:rPr>
          <w:rFonts w:hint="eastAsia"/>
          <w:lang w:val="en-US" w:eastAsia="zh-CN"/>
        </w:rPr>
        <w:t>徐张洋等则把关注点放在气候相关财务信息披露上。该研究基于TCFD框架，对农业上市公司在治理、战略、风险管理以及指标和目标等方面的披露要求进行梳理，并提出气候风险还应进一步反映到企业财务信息中</w:t>
      </w:r>
      <w:r>
        <w:rPr>
          <w:rFonts w:hint="eastAsia"/>
          <w:vertAlign w:val="superscript"/>
          <w:lang w:val="en-US" w:eastAsia="zh-CN"/>
        </w:rPr>
        <w:fldChar w:fldCharType="begin"/>
      </w:r>
      <w:r>
        <w:instrText xml:space="preserve"> REF _Ref10104 \r \h  \* MERGEFORMAT</w:instrText>
      </w:r>
      <w:r>
        <w:rPr>
          <w:rFonts w:hint="eastAsia"/>
          <w:vertAlign w:val="superscript"/>
          <w:lang w:val="en-US" w:eastAsia="zh-CN"/>
        </w:rPr>
        <w:fldChar w:fldCharType="separate"/>
      </w:r>
      <w:r>
        <w:rPr>
          <w:rFonts w:hint="eastAsia"/>
          <w:vertAlign w:val="superscript"/>
          <w:lang w:val="en-US" w:eastAsia="zh-CN"/>
        </w:rPr>
        <w:t>[19]</w:t>
      </w:r>
      <w:r>
        <w:rPr>
          <w:rFonts w:hint="eastAsia"/>
          <w:vertAlign w:val="superscript"/>
          <w:lang w:val="en-US" w:eastAsia="zh-CN"/>
        </w:rPr>
        <w:fldChar w:fldCharType="end"/>
      </w:r>
      <w:r>
        <w:rPr>
          <w:rFonts w:hint="eastAsia"/>
          <w:lang w:val="en-US" w:eastAsia="zh-CN"/>
        </w:rPr>
        <w:t>。</w:t>
      </w:r>
    </w:p>
    <w:p w14:paraId="17DF8358">
      <w:pPr>
        <w:rPr>
          <w:rFonts w:hint="eastAsia"/>
          <w:lang w:val="en-US" w:eastAsia="zh-CN"/>
        </w:rPr>
      </w:pPr>
      <w:r>
        <w:rPr>
          <w:rFonts w:hint="eastAsia"/>
          <w:lang w:val="en-US" w:eastAsia="zh-CN"/>
        </w:rPr>
        <w:t>Gebhardt等以德国上市公司为样本，依据TCFD建议构建气候信息披露质量评分，并采用回归分析考察公司治理因素与披露质量之间的关系。研究发现，不同企业之间的披露质量存在明显差异，风险信息总体上比机会信息披露得更充分，而公司治理因素的影响并不一致，整体作用相对有限</w:t>
      </w:r>
      <w:r>
        <w:rPr>
          <w:rFonts w:hint="eastAsia"/>
          <w:vertAlign w:val="superscript"/>
          <w:lang w:val="en-US" w:eastAsia="zh-CN"/>
        </w:rPr>
        <w:fldChar w:fldCharType="begin"/>
      </w:r>
      <w:r>
        <w:instrText xml:space="preserve"> REF _Ref31932 \r \h  \* MERGEFORMAT</w:instrText>
      </w:r>
      <w:r>
        <w:rPr>
          <w:rFonts w:hint="eastAsia"/>
          <w:vertAlign w:val="superscript"/>
          <w:lang w:val="en-US" w:eastAsia="zh-CN"/>
        </w:rPr>
        <w:fldChar w:fldCharType="separate"/>
      </w:r>
      <w:r>
        <w:rPr>
          <w:rFonts w:hint="eastAsia"/>
          <w:vertAlign w:val="superscript"/>
          <w:lang w:val="en-US" w:eastAsia="zh-CN"/>
        </w:rPr>
        <w:t>[21]</w:t>
      </w:r>
      <w:r>
        <w:rPr>
          <w:rFonts w:hint="eastAsia"/>
          <w:vertAlign w:val="superscript"/>
          <w:lang w:val="en-US" w:eastAsia="zh-CN"/>
        </w:rPr>
        <w:fldChar w:fldCharType="end"/>
      </w:r>
      <w:r>
        <w:rPr>
          <w:rFonts w:hint="eastAsia"/>
          <w:lang w:val="en-US" w:eastAsia="zh-CN"/>
        </w:rPr>
        <w:t>。这些研究既包括化工企业案例分析，也涉及TCFD规范研究以及评分和回归分析，为本文考察重化工企业气候风险披露及其财务影响提供了参考。</w:t>
      </w:r>
    </w:p>
    <w:p w14:paraId="221CBFB5">
      <w:pPr>
        <w:pStyle w:val="3"/>
        <w:bidi w:val="0"/>
        <w:rPr>
          <w:rFonts w:hint="eastAsia"/>
          <w:lang w:val="en-US" w:eastAsia="zh-CN"/>
        </w:rPr>
      </w:pPr>
      <w:bookmarkStart w:id="9" w:name="_Toc28378"/>
      <w:r>
        <w:rPr>
          <w:rFonts w:hint="eastAsia"/>
          <w:lang w:val="en-US" w:eastAsia="zh-CN"/>
        </w:rPr>
        <w:t>文献评述</w:t>
      </w:r>
      <w:bookmarkEnd w:id="9"/>
    </w:p>
    <w:p w14:paraId="70E4C073">
      <w:pPr>
        <w:rPr>
          <w:rFonts w:hint="eastAsia"/>
          <w:lang w:val="en-US" w:eastAsia="zh-CN"/>
        </w:rPr>
      </w:pPr>
      <w:r>
        <w:rPr>
          <w:rFonts w:hint="eastAsia"/>
          <w:lang w:val="en-US" w:eastAsia="zh-CN"/>
        </w:rPr>
        <w:t>已有研究围绕ESG经济后果、披露质量、第三方鉴证和气候信息披露等问题积累了较为丰富的成果，方法包括案例分析、面板数据检验以及基于TCFD框架的量化评价等。</w:t>
      </w:r>
    </w:p>
    <w:p w14:paraId="043DA836">
      <w:pPr>
        <w:rPr>
          <w:rFonts w:hint="eastAsia"/>
          <w:lang w:val="en-US" w:eastAsia="zh-CN"/>
        </w:rPr>
      </w:pPr>
      <w:r>
        <w:rPr>
          <w:rFonts w:hint="eastAsia"/>
          <w:lang w:val="en-US" w:eastAsia="zh-CN"/>
        </w:rPr>
        <w:t>不过，现有成果仍以大样本实证研究为主，对处于传统化工与新能源业务转型阶段的具体重污染企业关注相对有限；部分研究更侧重ESG表现及其经济后果，对披露内容的可靠性、完整性、第三方鉴证，以及ESG信息与财务信息衔接、气候风险量化等问题缺少综合考察。基于这些不足，本文选取天原股份作为案例，分析其ESG披露现状、存在问题和改进路径，并结合“双碳”背景考察碳排放核算、内部治理、第三方鉴证和气候风险财务披露等具体问题。</w:t>
      </w:r>
    </w:p>
    <w:p w14:paraId="7F5F7C27">
      <w:pPr>
        <w:pStyle w:val="2"/>
        <w:bidi w:val="0"/>
        <w:rPr>
          <w:rFonts w:hint="eastAsia" w:ascii="宋体" w:hAnsi="宋体" w:eastAsia="宋体" w:cs="宋体"/>
          <w:color w:val="auto"/>
        </w:rPr>
      </w:pPr>
      <w:bookmarkStart w:id="10" w:name="_Toc20896"/>
      <w:bookmarkStart w:id="11" w:name="_Toc14473"/>
      <w:bookmarkStart w:id="12" w:name="_Toc23495"/>
      <w:r>
        <w:rPr>
          <w:rFonts w:hint="eastAsia" w:ascii="宋体" w:hAnsi="宋体" w:eastAsia="宋体" w:cs="宋体"/>
          <w:color w:val="auto"/>
        </w:rPr>
        <w:t>核心概念与理论基础</w:t>
      </w:r>
      <w:bookmarkEnd w:id="10"/>
      <w:bookmarkEnd w:id="11"/>
      <w:bookmarkEnd w:id="12"/>
    </w:p>
    <w:p w14:paraId="006C0959">
      <w:pPr>
        <w:pStyle w:val="3"/>
        <w:bidi w:val="0"/>
        <w:rPr>
          <w:rFonts w:hint="eastAsia" w:ascii="宋体" w:hAnsi="宋体" w:eastAsia="宋体" w:cs="宋体"/>
          <w:color w:val="auto"/>
        </w:rPr>
      </w:pPr>
      <w:bookmarkStart w:id="13" w:name="_Toc1108"/>
      <w:bookmarkStart w:id="14" w:name="_Toc10531"/>
      <w:bookmarkStart w:id="15" w:name="_Toc10832"/>
      <w:r>
        <w:rPr>
          <w:rFonts w:hint="eastAsia" w:ascii="宋体" w:hAnsi="宋体" w:eastAsia="宋体" w:cs="宋体"/>
          <w:color w:val="auto"/>
        </w:rPr>
        <w:t>核心概念界定</w:t>
      </w:r>
      <w:bookmarkEnd w:id="13"/>
      <w:bookmarkEnd w:id="14"/>
      <w:bookmarkEnd w:id="15"/>
    </w:p>
    <w:p w14:paraId="54BDBB7D">
      <w:pPr>
        <w:pStyle w:val="4"/>
        <w:bidi w:val="0"/>
        <w:rPr>
          <w:rFonts w:hint="eastAsia" w:ascii="宋体" w:hAnsi="宋体" w:eastAsia="宋体" w:cs="宋体"/>
          <w:color w:val="auto"/>
        </w:rPr>
      </w:pPr>
      <w:bookmarkStart w:id="16" w:name="_Toc27494"/>
      <w:bookmarkStart w:id="17" w:name="_Toc24671"/>
      <w:bookmarkStart w:id="18" w:name="_Toc1440"/>
      <w:r>
        <w:rPr>
          <w:rFonts w:hint="eastAsia" w:ascii="宋体" w:hAnsi="宋体" w:eastAsia="宋体" w:cs="宋体"/>
          <w:color w:val="auto"/>
          <w:lang w:eastAsia="zh-CN"/>
        </w:rPr>
        <w:t>“</w:t>
      </w:r>
      <w:r>
        <w:rPr>
          <w:rFonts w:hint="eastAsia" w:ascii="宋体" w:hAnsi="宋体" w:eastAsia="宋体" w:cs="宋体"/>
          <w:color w:val="auto"/>
        </w:rPr>
        <w:t>双碳</w:t>
      </w:r>
      <w:r>
        <w:rPr>
          <w:rFonts w:hint="eastAsia" w:ascii="宋体" w:hAnsi="宋体" w:eastAsia="宋体" w:cs="宋体"/>
          <w:color w:val="auto"/>
          <w:lang w:eastAsia="zh-CN"/>
        </w:rPr>
        <w:t>”</w:t>
      </w:r>
      <w:r>
        <w:rPr>
          <w:rFonts w:hint="eastAsia" w:ascii="宋体" w:hAnsi="宋体" w:eastAsia="宋体" w:cs="宋体"/>
          <w:color w:val="auto"/>
        </w:rPr>
        <w:t>目标与企业碳账户</w:t>
      </w:r>
      <w:bookmarkEnd w:id="16"/>
      <w:bookmarkEnd w:id="17"/>
      <w:bookmarkEnd w:id="18"/>
    </w:p>
    <w:p w14:paraId="29AB7DA9">
      <w:pPr>
        <w:bidi w:val="0"/>
        <w:rPr>
          <w:rFonts w:hint="eastAsia" w:ascii="宋体" w:hAnsi="宋体" w:eastAsia="宋体" w:cs="宋体"/>
          <w:color w:val="auto"/>
          <w:lang w:eastAsia="zh-CN"/>
        </w:rPr>
      </w:pPr>
      <w:r>
        <w:rPr>
          <w:rFonts w:hint="eastAsia" w:ascii="宋体" w:hAnsi="宋体" w:eastAsia="宋体" w:cs="宋体"/>
          <w:color w:val="auto"/>
          <w:lang w:eastAsia="zh-CN"/>
        </w:rPr>
        <w:t>“双碳”目标是我国提出的“2030年前碳达峰”和“2060年前碳中和”气候治理目标。对企业而言，这一目标最终体现为对碳排放总量、排放强度和减排进程的持续管理。企业碳账户是围绕碳排放及相关经济事项设置的辅助核算和信息记录体系，可用于统计温室气体排放，识别、计量和记录有关事项，并借助辅助账簿归集碳排放、环境成本及相关经营信息。</w:t>
      </w:r>
    </w:p>
    <w:p w14:paraId="0F9E653D">
      <w:pPr>
        <w:bidi w:val="0"/>
        <w:rPr>
          <w:rFonts w:hint="eastAsia" w:ascii="宋体" w:hAnsi="宋体" w:eastAsia="宋体" w:cs="宋体"/>
          <w:color w:val="auto"/>
          <w:lang w:eastAsia="zh-CN"/>
        </w:rPr>
      </w:pPr>
      <w:r>
        <w:rPr>
          <w:rFonts w:hint="eastAsia" w:ascii="宋体" w:hAnsi="宋体" w:eastAsia="宋体" w:cs="宋体"/>
          <w:color w:val="auto"/>
          <w:lang w:eastAsia="zh-CN"/>
        </w:rPr>
        <w:t>天原股份正处于传统化工业务低碳转型过程中，碳账户在这类企业中的一个重要作用，是加强环境数据与经营数据的衔接。采用相对统一的记录口径后，企业能够更连续地开展碳排放核算，也便于后续将有关数据用于财务分析和ESG信息披露。</w:t>
      </w:r>
    </w:p>
    <w:p w14:paraId="6AA36CA9">
      <w:pPr>
        <w:pStyle w:val="4"/>
        <w:bidi w:val="0"/>
        <w:rPr>
          <w:rFonts w:hint="eastAsia" w:ascii="宋体" w:hAnsi="宋体" w:eastAsia="宋体" w:cs="宋体"/>
          <w:color w:val="auto"/>
        </w:rPr>
      </w:pPr>
      <w:bookmarkStart w:id="19" w:name="_Toc8219"/>
      <w:bookmarkStart w:id="20" w:name="_Toc29395"/>
      <w:bookmarkStart w:id="21" w:name="_Toc266"/>
      <w:r>
        <w:rPr>
          <w:rFonts w:hint="eastAsia" w:ascii="宋体" w:hAnsi="宋体" w:eastAsia="宋体" w:cs="宋体"/>
          <w:color w:val="auto"/>
        </w:rPr>
        <w:t>ESG信息披露的内涵与边界</w:t>
      </w:r>
      <w:bookmarkEnd w:id="19"/>
      <w:bookmarkEnd w:id="20"/>
      <w:bookmarkEnd w:id="21"/>
    </w:p>
    <w:p w14:paraId="37C615D7">
      <w:pPr>
        <w:bidi w:val="0"/>
        <w:rPr>
          <w:rFonts w:hint="eastAsia" w:ascii="宋体" w:hAnsi="宋体" w:eastAsia="宋体" w:cs="宋体"/>
          <w:color w:val="auto"/>
        </w:rPr>
      </w:pPr>
      <w:r>
        <w:rPr>
          <w:rFonts w:hint="eastAsia" w:ascii="宋体" w:hAnsi="宋体" w:eastAsia="宋体" w:cs="宋体"/>
          <w:color w:val="auto"/>
        </w:rPr>
        <w:t>ESG信息披露反映企业在环境、社会责任和公司治理方面的非财务表现，也是传统财务报告的重要补充。对投资者和其他利益相关者而言，这类信息能够帮助其判断企业潜在风险及长期经营能力。</w:t>
      </w:r>
    </w:p>
    <w:p w14:paraId="2EC897E0">
      <w:pPr>
        <w:bidi w:val="0"/>
        <w:rPr>
          <w:rFonts w:hint="eastAsia" w:ascii="宋体" w:hAnsi="宋体" w:eastAsia="宋体" w:cs="宋体"/>
          <w:color w:val="auto"/>
          <w:lang w:eastAsia="zh-CN"/>
        </w:rPr>
      </w:pPr>
      <w:r>
        <w:rPr>
          <w:rFonts w:hint="eastAsia" w:ascii="宋体" w:hAnsi="宋体" w:eastAsia="宋体" w:cs="宋体"/>
          <w:color w:val="auto"/>
        </w:rPr>
        <w:t>ESG信息与财务信息之间存在现实联系。环境投入、碳排放成本和资产减值风险等事项，都可能影响企业的成本费用、资产价值或经营风险。因而ESG披露不能只关注非财务事项本身，还需要关注这些事项与企业财务状况之间的关联。其披露范围也可能由企业自身经营活动进一步延伸到上下游供应链和产品全生命周期，以更完整地反映企业面临的气候转型风险</w:t>
      </w:r>
      <w:r>
        <w:rPr>
          <w:rFonts w:hint="eastAsia" w:cs="宋体"/>
          <w:color w:val="auto"/>
          <w:lang w:eastAsia="zh-CN"/>
        </w:rPr>
        <w:t>。</w:t>
      </w:r>
    </w:p>
    <w:p w14:paraId="1BE412C9">
      <w:pPr>
        <w:pStyle w:val="4"/>
        <w:bidi w:val="0"/>
        <w:rPr>
          <w:rFonts w:hint="eastAsia" w:ascii="宋体" w:hAnsi="宋体" w:eastAsia="宋体" w:cs="宋体"/>
          <w:color w:val="auto"/>
        </w:rPr>
      </w:pPr>
      <w:bookmarkStart w:id="22" w:name="_Toc9851"/>
      <w:bookmarkStart w:id="23" w:name="_Toc28255"/>
      <w:bookmarkStart w:id="24" w:name="_Toc4782"/>
      <w:r>
        <w:rPr>
          <w:rFonts w:hint="eastAsia" w:ascii="宋体" w:hAnsi="宋体" w:eastAsia="宋体" w:cs="宋体"/>
          <w:color w:val="auto"/>
        </w:rPr>
        <w:t>化工行业ESG披露的特殊性</w:t>
      </w:r>
      <w:bookmarkEnd w:id="22"/>
      <w:bookmarkEnd w:id="23"/>
      <w:bookmarkEnd w:id="24"/>
    </w:p>
    <w:p w14:paraId="7507C815">
      <w:pPr>
        <w:bidi w:val="0"/>
        <w:rPr>
          <w:rFonts w:hint="eastAsia" w:ascii="宋体" w:hAnsi="宋体" w:eastAsia="宋体" w:cs="宋体"/>
          <w:color w:val="auto"/>
          <w:highlight w:val="none"/>
        </w:rPr>
      </w:pPr>
      <w:r>
        <w:rPr>
          <w:rFonts w:hint="eastAsia" w:ascii="宋体" w:hAnsi="宋体" w:eastAsia="宋体" w:cs="宋体"/>
          <w:color w:val="auto"/>
          <w:highlight w:val="none"/>
        </w:rPr>
        <w:t>化工行业具有高耗能、高排放和环境风险较高等特点，节能减排与环境治理压力也更为突出。郑彬认为，化工企业当前仍面临较大的能源消耗和碳排放压力，改善能源结构、推进低碳转型已经成为企业发展的重要任务</w:t>
      </w:r>
      <w:r>
        <w:rPr>
          <w:rFonts w:hint="default" w:ascii="宋体" w:hAnsi="宋体" w:eastAsia="宋体" w:cs="宋体"/>
          <w:color w:val="auto"/>
          <w:highlight w:val="none"/>
          <w:vertAlign w:val="superscript"/>
        </w:rPr>
        <w:fldChar w:fldCharType="begin"/>
      </w:r>
      <w:r>
        <w:instrText xml:space="preserve"> REF _Ref9438 \r \h  \* MERGEFORMAT</w:instrText>
      </w:r>
      <w:r>
        <w:rPr>
          <w:rFonts w:hint="default" w:ascii="宋体" w:hAnsi="宋体" w:eastAsia="宋体" w:cs="宋体"/>
          <w:color w:val="auto"/>
          <w:highlight w:val="none"/>
          <w:vertAlign w:val="superscript"/>
        </w:rPr>
        <w:fldChar w:fldCharType="separate"/>
      </w:r>
      <w:r>
        <w:rPr>
          <w:rFonts w:hint="default" w:ascii="宋体" w:hAnsi="宋体" w:eastAsia="宋体" w:cs="宋体"/>
          <w:color w:val="auto"/>
          <w:highlight w:val="none"/>
          <w:vertAlign w:val="superscript"/>
        </w:rPr>
        <w:t>[5]</w:t>
      </w:r>
      <w:r>
        <w:rPr>
          <w:rFonts w:hint="default" w:ascii="宋体" w:hAnsi="宋体" w:eastAsia="宋体" w:cs="宋体"/>
          <w:color w:val="auto"/>
          <w:highlight w:val="none"/>
          <w:vertAlign w:val="superscript"/>
        </w:rPr>
        <w:fldChar w:fldCharType="end"/>
      </w:r>
      <w:r>
        <w:rPr>
          <w:rFonts w:hint="eastAsia" w:ascii="宋体" w:hAnsi="宋体" w:eastAsia="宋体" w:cs="宋体"/>
          <w:color w:val="auto"/>
          <w:highlight w:val="none"/>
        </w:rPr>
        <w:t>。</w:t>
      </w:r>
      <w:r>
        <w:rPr>
          <w:rFonts w:hint="eastAsia" w:cs="宋体"/>
          <w:color w:val="auto"/>
          <w:highlight w:val="none"/>
          <w:lang w:val="en-US" w:eastAsia="zh-CN"/>
        </w:rPr>
        <w:t>考虑到这一行业特征，化工企业的ESG披露应更多关注碳排放数据、环境治理投入以及相关风险信息的量化呈现。天原股份同时涉及传统化工和新能源材料业务，不同业务板块在资源消耗、环境成本和气候风险方面存在差异，披露时也需要相应区分，以更准确地反映企业低碳转型的实际情况。</w:t>
      </w:r>
    </w:p>
    <w:p w14:paraId="7D19BF76">
      <w:pPr>
        <w:pStyle w:val="3"/>
        <w:bidi w:val="0"/>
        <w:rPr>
          <w:rFonts w:hint="eastAsia" w:ascii="宋体" w:hAnsi="宋体" w:eastAsia="宋体" w:cs="宋体"/>
          <w:color w:val="auto"/>
          <w:highlight w:val="none"/>
        </w:rPr>
      </w:pPr>
      <w:bookmarkStart w:id="25" w:name="_Toc4373"/>
      <w:bookmarkStart w:id="26" w:name="_Toc3627"/>
      <w:bookmarkStart w:id="27" w:name="_Toc16143"/>
      <w:r>
        <w:rPr>
          <w:rFonts w:hint="eastAsia" w:ascii="宋体" w:hAnsi="宋体" w:eastAsia="宋体" w:cs="宋体"/>
          <w:color w:val="auto"/>
          <w:highlight w:val="none"/>
        </w:rPr>
        <w:t>理论基础</w:t>
      </w:r>
      <w:bookmarkEnd w:id="25"/>
      <w:bookmarkEnd w:id="26"/>
      <w:bookmarkEnd w:id="27"/>
    </w:p>
    <w:p w14:paraId="302674CA">
      <w:pPr>
        <w:pStyle w:val="4"/>
        <w:bidi w:val="0"/>
        <w:rPr>
          <w:rFonts w:hint="eastAsia" w:ascii="宋体" w:hAnsi="宋体" w:eastAsia="宋体" w:cs="宋体"/>
          <w:color w:val="auto"/>
          <w:highlight w:val="none"/>
        </w:rPr>
      </w:pPr>
      <w:bookmarkStart w:id="28" w:name="_Toc15594"/>
      <w:bookmarkStart w:id="29" w:name="_Toc21050"/>
      <w:bookmarkStart w:id="30" w:name="_Toc3203"/>
      <w:r>
        <w:rPr>
          <w:rFonts w:hint="eastAsia" w:ascii="宋体" w:hAnsi="宋体" w:eastAsia="宋体" w:cs="宋体"/>
          <w:color w:val="auto"/>
          <w:highlight w:val="none"/>
        </w:rPr>
        <w:t>利益相关者理论</w:t>
      </w:r>
      <w:bookmarkEnd w:id="28"/>
      <w:bookmarkEnd w:id="29"/>
      <w:bookmarkEnd w:id="30"/>
    </w:p>
    <w:p w14:paraId="3A40DCFB">
      <w:pPr>
        <w:bidi w:val="0"/>
        <w:rPr>
          <w:rFonts w:hint="eastAsia" w:ascii="宋体" w:hAnsi="宋体" w:eastAsia="宋体" w:cs="宋体"/>
          <w:color w:val="auto"/>
          <w:highlight w:val="none"/>
        </w:rPr>
      </w:pPr>
      <w:r>
        <w:rPr>
          <w:rFonts w:hint="eastAsia" w:ascii="宋体" w:hAnsi="宋体" w:eastAsia="宋体" w:cs="宋体"/>
          <w:color w:val="auto"/>
          <w:highlight w:val="none"/>
        </w:rPr>
        <w:t>企业经营产生的影响并不只由股东承担，投资者、债权人、政府、员工、社区以及供应链等主体同样会受到影响。谭劲松等认为，利益相关者会以资金投入、经营监督和资源支持等方式参与企业发展，不同利益相关者关系也会影响企业的资源获取与风险水平</w:t>
      </w:r>
      <w:r>
        <w:rPr>
          <w:rFonts w:hint="default" w:ascii="宋体" w:hAnsi="宋体" w:eastAsia="宋体" w:cs="宋体"/>
          <w:color w:val="auto"/>
          <w:highlight w:val="none"/>
          <w:vertAlign w:val="superscript"/>
        </w:rPr>
        <w:fldChar w:fldCharType="begin"/>
      </w:r>
      <w:r>
        <w:instrText xml:space="preserve"> REF _Ref9474 \r \h  \* MERGEFORMAT</w:instrText>
      </w:r>
      <w:r>
        <w:rPr>
          <w:rFonts w:hint="default" w:ascii="宋体" w:hAnsi="宋体" w:eastAsia="宋体" w:cs="宋体"/>
          <w:color w:val="auto"/>
          <w:highlight w:val="none"/>
          <w:vertAlign w:val="superscript"/>
        </w:rPr>
        <w:fldChar w:fldCharType="separate"/>
      </w:r>
      <w:r>
        <w:rPr>
          <w:rFonts w:hint="default" w:ascii="宋体" w:hAnsi="宋体" w:eastAsia="宋体" w:cs="宋体"/>
          <w:color w:val="auto"/>
          <w:highlight w:val="none"/>
          <w:vertAlign w:val="superscript"/>
        </w:rPr>
        <w:t>[6]</w:t>
      </w:r>
      <w:r>
        <w:rPr>
          <w:rFonts w:hint="default" w:ascii="宋体" w:hAnsi="宋体" w:eastAsia="宋体" w:cs="宋体"/>
          <w:color w:val="auto"/>
          <w:highlight w:val="none"/>
          <w:vertAlign w:val="superscript"/>
        </w:rPr>
        <w:fldChar w:fldCharType="end"/>
      </w:r>
      <w:r>
        <w:rPr>
          <w:rFonts w:hint="eastAsia" w:ascii="宋体" w:hAnsi="宋体" w:eastAsia="宋体" w:cs="宋体"/>
          <w:color w:val="auto"/>
          <w:highlight w:val="none"/>
        </w:rPr>
        <w:t>。</w:t>
      </w:r>
    </w:p>
    <w:p w14:paraId="2ADC344B">
      <w:pPr>
        <w:bidi w:val="0"/>
        <w:rPr>
          <w:rFonts w:hint="eastAsia" w:ascii="宋体" w:hAnsi="宋体" w:eastAsia="宋体" w:cs="宋体"/>
          <w:color w:val="auto"/>
          <w:highlight w:val="none"/>
        </w:rPr>
      </w:pPr>
      <w:r>
        <w:rPr>
          <w:rFonts w:hint="eastAsia" w:ascii="宋体" w:hAnsi="宋体" w:eastAsia="宋体" w:cs="宋体"/>
          <w:color w:val="auto"/>
          <w:highlight w:val="none"/>
        </w:rPr>
        <w:t>将这一理论用于分析天原股份ESG披露，可以更好地说明企业为何不能仅披露其主动选择的内容。范围三排放涉及上下游供应链，负面及挑战性信息、气候风险又关系到投资者、债权人和监管部门对企业风险状况的判断。相关信息披露不足时，外部主体对企业环境责任和低碳转型压力的认识就容易出现缺口。后文据此分析天原股份在范围三排放、挑战性信息和气候风险披露方面存在的问题。</w:t>
      </w:r>
    </w:p>
    <w:p w14:paraId="0B2D8E87">
      <w:pPr>
        <w:pStyle w:val="4"/>
        <w:bidi w:val="0"/>
        <w:rPr>
          <w:rFonts w:hint="eastAsia" w:ascii="宋体" w:hAnsi="宋体" w:eastAsia="宋体" w:cs="宋体"/>
          <w:color w:val="auto"/>
          <w:highlight w:val="none"/>
        </w:rPr>
      </w:pPr>
      <w:bookmarkStart w:id="31" w:name="_Toc19588"/>
      <w:bookmarkStart w:id="32" w:name="_Toc19306"/>
      <w:bookmarkStart w:id="33" w:name="_Toc17529"/>
      <w:r>
        <w:rPr>
          <w:rFonts w:hint="eastAsia" w:ascii="宋体" w:hAnsi="宋体" w:eastAsia="宋体" w:cs="宋体"/>
          <w:color w:val="auto"/>
          <w:highlight w:val="none"/>
        </w:rPr>
        <w:t>可持续发展理论</w:t>
      </w:r>
      <w:bookmarkEnd w:id="31"/>
      <w:bookmarkEnd w:id="32"/>
      <w:bookmarkEnd w:id="33"/>
    </w:p>
    <w:p w14:paraId="37810C57">
      <w:pPr>
        <w:bidi w:val="0"/>
        <w:rPr>
          <w:rFonts w:hint="eastAsia" w:ascii="宋体" w:hAnsi="宋体" w:eastAsia="宋体" w:cs="宋体"/>
          <w:color w:val="auto"/>
          <w:highlight w:val="none"/>
        </w:rPr>
      </w:pPr>
      <w:r>
        <w:rPr>
          <w:rFonts w:hint="eastAsia" w:ascii="宋体" w:hAnsi="宋体" w:eastAsia="宋体" w:cs="宋体"/>
          <w:color w:val="auto"/>
          <w:highlight w:val="none"/>
        </w:rPr>
        <w:t>可持续发展要求企业在追求经济效益的同时兼顾资源利用、环境保护和长期经营。胡洁认为，ESG理念有助于推动企业由高碳、粗放的经营方式向绿色、集约的发展模式转变</w:t>
      </w:r>
      <w:r>
        <w:rPr>
          <w:rFonts w:hint="default" w:ascii="宋体" w:hAnsi="宋体" w:eastAsia="宋体" w:cs="宋体"/>
          <w:color w:val="auto"/>
          <w:highlight w:val="none"/>
          <w:vertAlign w:val="superscript"/>
        </w:rPr>
        <w:fldChar w:fldCharType="begin"/>
      </w:r>
      <w:r>
        <w:instrText xml:space="preserve"> REF _Ref9523 \r \h  \* MERGEFORMAT</w:instrText>
      </w:r>
      <w:r>
        <w:rPr>
          <w:rFonts w:hint="default" w:ascii="宋体" w:hAnsi="宋体" w:eastAsia="宋体" w:cs="宋体"/>
          <w:color w:val="auto"/>
          <w:highlight w:val="none"/>
          <w:vertAlign w:val="superscript"/>
        </w:rPr>
        <w:fldChar w:fldCharType="separate"/>
      </w:r>
      <w:r>
        <w:rPr>
          <w:rFonts w:hint="default" w:ascii="宋体" w:hAnsi="宋体" w:eastAsia="宋体" w:cs="宋体"/>
          <w:color w:val="auto"/>
          <w:highlight w:val="none"/>
          <w:vertAlign w:val="superscript"/>
        </w:rPr>
        <w:t>[7]</w:t>
      </w:r>
      <w:r>
        <w:rPr>
          <w:rFonts w:hint="default" w:ascii="宋体" w:hAnsi="宋体" w:eastAsia="宋体" w:cs="宋体"/>
          <w:color w:val="auto"/>
          <w:highlight w:val="none"/>
          <w:vertAlign w:val="superscript"/>
        </w:rPr>
        <w:fldChar w:fldCharType="end"/>
      </w:r>
      <w:r>
        <w:rPr>
          <w:rFonts w:hint="eastAsia" w:ascii="宋体" w:hAnsi="宋体" w:eastAsia="宋体" w:cs="宋体"/>
          <w:color w:val="auto"/>
          <w:highlight w:val="none"/>
        </w:rPr>
        <w:t>。</w:t>
      </w:r>
    </w:p>
    <w:p w14:paraId="10E7CBAC">
      <w:pPr>
        <w:bidi w:val="0"/>
        <w:rPr>
          <w:rFonts w:hint="eastAsia" w:ascii="宋体" w:hAnsi="宋体" w:eastAsia="宋体" w:cs="宋体"/>
          <w:color w:val="auto"/>
          <w:highlight w:val="none"/>
        </w:rPr>
      </w:pPr>
      <w:r>
        <w:rPr>
          <w:rFonts w:hint="eastAsia" w:ascii="宋体" w:hAnsi="宋体" w:eastAsia="宋体" w:cs="宋体"/>
          <w:color w:val="auto"/>
          <w:highlight w:val="none"/>
        </w:rPr>
        <w:t>对天原股份而言，这一理论说明低碳转型不能只体现在末端治理和合规披露上，还应落实到持续环保投入、量化减排目标以及生产经营方式调整等具体环节。这些变化持续反映在经营过程中，ESG披露能够更准确地呈现企业实际的转型进程，而不是停留在某一阶段的治理结果。</w:t>
      </w:r>
    </w:p>
    <w:p w14:paraId="4E8AD14C">
      <w:pPr>
        <w:pStyle w:val="4"/>
        <w:bidi w:val="0"/>
        <w:rPr>
          <w:rFonts w:hint="eastAsia" w:ascii="宋体" w:hAnsi="宋体" w:eastAsia="宋体" w:cs="宋体"/>
          <w:color w:val="auto"/>
          <w:highlight w:val="none"/>
        </w:rPr>
      </w:pPr>
      <w:bookmarkStart w:id="34" w:name="_Toc24331"/>
      <w:bookmarkStart w:id="35" w:name="_Toc8807"/>
      <w:bookmarkStart w:id="36" w:name="_Toc5356"/>
      <w:r>
        <w:rPr>
          <w:rFonts w:hint="eastAsia" w:ascii="宋体" w:hAnsi="宋体" w:eastAsia="宋体" w:cs="宋体"/>
          <w:color w:val="auto"/>
          <w:highlight w:val="none"/>
        </w:rPr>
        <w:t>信号传递理论</w:t>
      </w:r>
      <w:bookmarkEnd w:id="34"/>
      <w:bookmarkEnd w:id="35"/>
      <w:bookmarkEnd w:id="36"/>
    </w:p>
    <w:p w14:paraId="4BFCB430">
      <w:pPr>
        <w:bidi w:val="0"/>
        <w:rPr>
          <w:rFonts w:hint="eastAsia" w:ascii="宋体" w:hAnsi="宋体" w:eastAsia="宋体" w:cs="宋体"/>
          <w:color w:val="auto"/>
          <w:vertAlign w:val="baseline"/>
          <w:lang w:eastAsia="zh-CN"/>
        </w:rPr>
      </w:pPr>
      <w:r>
        <w:rPr>
          <w:rFonts w:hint="eastAsia" w:ascii="宋体" w:hAnsi="宋体" w:eastAsia="宋体" w:cs="宋体"/>
          <w:color w:val="auto"/>
          <w:vertAlign w:val="baseline"/>
          <w:lang w:eastAsia="zh-CN"/>
        </w:rPr>
        <w:t>信号传递理论认为，在信息不对称条件下，外部主体往往难以准确判断企业真实经营状况，企业主动披露的信息可以作为一种外部信号。正如学者谭瑾等指出的：“根据信号传递理论，信号是缓解信息不对称、填补信息鸿沟的重要方式，而环境规制及企业非财务信息作为一种显性的政策与履责信号，是企业向外部市场传递其可持续发展能力与管理层关注度的重要工具”</w:t>
      </w:r>
      <w:r>
        <w:rPr>
          <w:rFonts w:hint="eastAsia" w:ascii="宋体" w:hAnsi="宋体" w:eastAsia="宋体" w:cs="宋体"/>
          <w:color w:val="auto"/>
          <w:vertAlign w:val="superscript"/>
          <w:lang w:eastAsia="zh-CN"/>
        </w:rPr>
        <w:fldChar w:fldCharType="begin"/>
      </w:r>
      <w:r>
        <w:instrText xml:space="preserve"> REF _Ref9559 \r \h  \* MERGEFORMAT</w:instrText>
      </w:r>
      <w:r>
        <w:rPr>
          <w:rFonts w:hint="eastAsia" w:ascii="宋体" w:hAnsi="宋体" w:eastAsia="宋体" w:cs="宋体"/>
          <w:color w:val="auto"/>
          <w:vertAlign w:val="superscript"/>
          <w:lang w:eastAsia="zh-CN"/>
        </w:rPr>
        <w:fldChar w:fldCharType="separate"/>
      </w:r>
      <w:r>
        <w:rPr>
          <w:rFonts w:hint="eastAsia" w:ascii="宋体" w:hAnsi="宋体" w:eastAsia="宋体" w:cs="宋体"/>
          <w:color w:val="auto"/>
          <w:vertAlign w:val="superscript"/>
          <w:lang w:eastAsia="zh-CN"/>
        </w:rPr>
        <w:t>[8]</w:t>
      </w:r>
      <w:r>
        <w:rPr>
          <w:rFonts w:hint="eastAsia" w:ascii="宋体" w:hAnsi="宋体" w:eastAsia="宋体" w:cs="宋体"/>
          <w:color w:val="auto"/>
          <w:vertAlign w:val="superscript"/>
          <w:lang w:eastAsia="zh-CN"/>
        </w:rPr>
        <w:fldChar w:fldCharType="end"/>
      </w:r>
      <w:r>
        <w:rPr>
          <w:rFonts w:hint="eastAsia" w:ascii="宋体" w:hAnsi="宋体" w:eastAsia="宋体" w:cs="宋体"/>
          <w:color w:val="auto"/>
          <w:vertAlign w:val="baseline"/>
          <w:lang w:eastAsia="zh-CN"/>
        </w:rPr>
        <w:t>。</w:t>
      </w:r>
    </w:p>
    <w:p w14:paraId="48A9AFDF">
      <w:pPr>
        <w:bidi w:val="0"/>
        <w:rPr>
          <w:rFonts w:hint="eastAsia" w:ascii="宋体" w:hAnsi="宋体" w:eastAsia="宋体" w:cs="宋体"/>
          <w:color w:val="auto"/>
          <w:lang w:eastAsia="zh-CN"/>
        </w:rPr>
      </w:pPr>
      <w:r>
        <w:rPr>
          <w:rFonts w:hint="eastAsia" w:ascii="宋体" w:hAnsi="宋体" w:eastAsia="宋体" w:cs="宋体"/>
          <w:color w:val="auto"/>
          <w:vertAlign w:val="baseline"/>
          <w:lang w:eastAsia="zh-CN"/>
        </w:rPr>
        <w:t>就天原股份现有披露方式而言，自愿披露ESG信息可以向市场传递企业低碳转型和环境治理方面的相关情况，但如果这些信息主要由企业自行编制，又缺少独立验证，其真实性和完整性仍可能受到外部投资者质疑。已有研究发现，ESG鉴证与更好的披露表现以及更积极的投资者评价存在正向关联，但这种关联不能直接理解为因果关系</w:t>
      </w:r>
      <w:r>
        <w:rPr>
          <w:rFonts w:hint="eastAsia" w:ascii="宋体" w:hAnsi="宋体" w:eastAsia="宋体" w:cs="宋体"/>
          <w:color w:val="auto"/>
          <w:vertAlign w:val="superscript"/>
          <w:lang w:eastAsia="zh-CN"/>
        </w:rPr>
        <w:fldChar w:fldCharType="begin"/>
      </w:r>
      <w:r>
        <w:instrText xml:space="preserve"> REF _Ref28500 \r \h  \* MERGEFORMAT</w:instrText>
      </w:r>
      <w:r>
        <w:rPr>
          <w:rFonts w:hint="eastAsia" w:ascii="宋体" w:hAnsi="宋体" w:eastAsia="宋体" w:cs="宋体"/>
          <w:color w:val="auto"/>
          <w:vertAlign w:val="superscript"/>
          <w:lang w:eastAsia="zh-CN"/>
        </w:rPr>
        <w:fldChar w:fldCharType="separate"/>
      </w:r>
      <w:r>
        <w:rPr>
          <w:rFonts w:hint="eastAsia" w:ascii="宋体" w:hAnsi="宋体" w:eastAsia="宋体" w:cs="宋体"/>
          <w:color w:val="auto"/>
          <w:vertAlign w:val="superscript"/>
          <w:lang w:eastAsia="zh-CN"/>
        </w:rPr>
        <w:t>[20]</w:t>
      </w:r>
      <w:r>
        <w:rPr>
          <w:rFonts w:hint="eastAsia" w:ascii="宋体" w:hAnsi="宋体" w:eastAsia="宋体" w:cs="宋体"/>
          <w:color w:val="auto"/>
          <w:vertAlign w:val="superscript"/>
          <w:lang w:eastAsia="zh-CN"/>
        </w:rPr>
        <w:fldChar w:fldCharType="end"/>
      </w:r>
      <w:r>
        <w:rPr>
          <w:rFonts w:hint="eastAsia" w:ascii="宋体" w:hAnsi="宋体" w:eastAsia="宋体" w:cs="宋体"/>
          <w:color w:val="auto"/>
          <w:vertAlign w:val="baseline"/>
          <w:lang w:eastAsia="zh-CN"/>
        </w:rPr>
        <w:t>。在这一逻辑下，第三方鉴证能够为外部判断提供额外验证，而缺少外部验证时，企业ESG披露信号的可信度更容易受到质疑，也更容易引发“漂绿”疑虑。</w:t>
      </w:r>
    </w:p>
    <w:p w14:paraId="1C12A9EA">
      <w:pPr>
        <w:pStyle w:val="2"/>
        <w:bidi w:val="0"/>
        <w:rPr>
          <w:rFonts w:hint="eastAsia" w:ascii="宋体" w:hAnsi="宋体" w:eastAsia="宋体" w:cs="宋体"/>
          <w:color w:val="auto"/>
        </w:rPr>
      </w:pPr>
      <w:bookmarkStart w:id="37" w:name="_Toc18851"/>
      <w:bookmarkStart w:id="38" w:name="_Toc29210"/>
      <w:bookmarkStart w:id="39" w:name="_Toc17511"/>
      <w:r>
        <w:rPr>
          <w:rFonts w:hint="eastAsia" w:ascii="宋体" w:hAnsi="宋体" w:eastAsia="宋体" w:cs="宋体"/>
          <w:color w:val="auto"/>
        </w:rPr>
        <w:t>天原股份ESG信息披露现状分析</w:t>
      </w:r>
      <w:bookmarkEnd w:id="37"/>
      <w:bookmarkEnd w:id="38"/>
      <w:bookmarkEnd w:id="39"/>
    </w:p>
    <w:p w14:paraId="750765A2">
      <w:pPr>
        <w:pStyle w:val="3"/>
        <w:bidi w:val="0"/>
        <w:rPr>
          <w:rFonts w:hint="eastAsia" w:ascii="宋体" w:hAnsi="宋体" w:eastAsia="宋体" w:cs="宋体"/>
          <w:color w:val="auto"/>
        </w:rPr>
      </w:pPr>
      <w:bookmarkStart w:id="40" w:name="_Toc16331"/>
      <w:bookmarkStart w:id="41" w:name="_Toc9849"/>
      <w:bookmarkStart w:id="42" w:name="_Toc12445"/>
      <w:r>
        <w:rPr>
          <w:rFonts w:hint="eastAsia" w:ascii="宋体" w:hAnsi="宋体" w:eastAsia="宋体" w:cs="宋体"/>
          <w:color w:val="auto"/>
        </w:rPr>
        <w:t>天原股份概况与ESG管理架构</w:t>
      </w:r>
      <w:bookmarkEnd w:id="40"/>
      <w:bookmarkEnd w:id="41"/>
      <w:bookmarkEnd w:id="42"/>
    </w:p>
    <w:p w14:paraId="5AC98F2D">
      <w:pPr>
        <w:pStyle w:val="4"/>
        <w:bidi w:val="0"/>
        <w:rPr>
          <w:rFonts w:hint="eastAsia" w:ascii="宋体" w:hAnsi="宋体" w:eastAsia="宋体" w:cs="宋体"/>
          <w:color w:val="auto"/>
          <w:lang w:eastAsia="zh-CN"/>
        </w:rPr>
      </w:pPr>
      <w:bookmarkStart w:id="43" w:name="_Toc11048"/>
      <w:bookmarkStart w:id="44" w:name="_Toc21237"/>
      <w:bookmarkStart w:id="45" w:name="_Toc18229"/>
      <w:r>
        <w:rPr>
          <w:rFonts w:hint="eastAsia" w:ascii="宋体" w:hAnsi="宋体" w:eastAsia="宋体" w:cs="宋体"/>
          <w:color w:val="auto"/>
        </w:rPr>
        <w:t>公司简介及主要业务布局</w:t>
      </w:r>
      <w:bookmarkEnd w:id="43"/>
      <w:bookmarkEnd w:id="44"/>
      <w:bookmarkEnd w:id="45"/>
    </w:p>
    <w:p w14:paraId="00AF7FFD">
      <w:pPr>
        <w:bidi w:val="0"/>
        <w:rPr>
          <w:rFonts w:hint="eastAsia" w:ascii="宋体" w:hAnsi="宋体" w:eastAsia="宋体" w:cs="宋体"/>
          <w:color w:val="auto"/>
        </w:rPr>
      </w:pPr>
      <w:r>
        <w:rPr>
          <w:rFonts w:hint="eastAsia" w:ascii="宋体" w:hAnsi="宋体" w:eastAsia="宋体" w:cs="宋体"/>
          <w:color w:val="auto"/>
        </w:rPr>
        <w:t>宜宾天原集团股份有限公司创建于1944年，早期以氯碱化工为主要业务基础。随着产业布局不断延伸，公司业务已覆盖钛化工、新能源电池材料、高分子材料及资源能源等领域。2024年，公司继续按照“一体两翼”战略推进相关业务布局</w:t>
      </w:r>
      <w:r>
        <w:rPr>
          <w:rFonts w:hint="eastAsia" w:ascii="宋体" w:hAnsi="宋体" w:eastAsia="宋体" w:cs="宋体"/>
          <w:color w:val="auto"/>
          <w:vertAlign w:val="superscript"/>
        </w:rPr>
        <w:fldChar w:fldCharType="begin"/>
      </w:r>
      <w:r>
        <w:instrText xml:space="preserve"> REF _Ref9585 \r \h  \* MERGEFORMAT</w:instrText>
      </w:r>
      <w:r>
        <w:rPr>
          <w:rFonts w:hint="eastAsia" w:ascii="宋体" w:hAnsi="宋体" w:eastAsia="宋体" w:cs="宋体"/>
          <w:color w:val="auto"/>
          <w:vertAlign w:val="superscript"/>
        </w:rPr>
        <w:fldChar w:fldCharType="separate"/>
      </w:r>
      <w:r>
        <w:rPr>
          <w:rFonts w:hint="eastAsia" w:ascii="宋体" w:hAnsi="宋体" w:eastAsia="宋体" w:cs="宋体"/>
          <w:color w:val="auto"/>
          <w:vertAlign w:val="superscript"/>
        </w:rPr>
        <w:t>[10]</w:t>
      </w:r>
      <w:r>
        <w:rPr>
          <w:rFonts w:hint="eastAsia" w:ascii="宋体" w:hAnsi="宋体" w:eastAsia="宋体" w:cs="宋体"/>
          <w:color w:val="auto"/>
          <w:vertAlign w:val="superscript"/>
        </w:rPr>
        <w:fldChar w:fldCharType="end"/>
      </w:r>
      <w:r>
        <w:rPr>
          <w:rFonts w:hint="eastAsia" w:ascii="宋体" w:hAnsi="宋体" w:eastAsia="宋体" w:cs="宋体"/>
          <w:color w:val="auto"/>
        </w:rPr>
        <w:t>。在传统氯碱化工基础上，公司进一步发展氯化法钛白粉、新能源锂电材料等业务，并推进“氯-钛-磷-铁-锂”一体化循环产业链建设。目前，公司业务体系主要包括资源能源、基础化工产品、化工新材料和新能源电池材料，主要产品有PVC、烧碱、水合肼、氯化法钛白粉及磷酸铁锂正极材料等</w:t>
      </w:r>
      <w:r>
        <w:rPr>
          <w:rFonts w:hint="default" w:ascii="宋体" w:hAnsi="宋体" w:eastAsia="宋体" w:cs="宋体"/>
          <w:color w:val="auto"/>
          <w:vertAlign w:val="superscript"/>
        </w:rPr>
        <w:fldChar w:fldCharType="begin"/>
      </w:r>
      <w:r>
        <w:instrText xml:space="preserve"> REF _Ref9585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[10]</w:t>
      </w:r>
      <w:r>
        <w:rPr>
          <w:rFonts w:hint="default" w:ascii="宋体" w:hAnsi="宋体" w:eastAsia="宋体" w:cs="宋体"/>
          <w:color w:val="auto"/>
          <w:vertAlign w:val="superscript"/>
        </w:rPr>
        <w:fldChar w:fldCharType="end"/>
      </w:r>
      <w:r>
        <w:rPr>
          <w:rFonts w:hint="eastAsia" w:ascii="宋体" w:hAnsi="宋体" w:eastAsia="宋体" w:cs="宋体"/>
          <w:color w:val="auto"/>
        </w:rPr>
        <w:t>。</w:t>
      </w:r>
    </w:p>
    <w:p w14:paraId="43CFBF18">
      <w:pPr>
        <w:pStyle w:val="4"/>
        <w:bidi w:val="0"/>
        <w:rPr>
          <w:rFonts w:hint="eastAsia" w:ascii="宋体" w:hAnsi="宋体" w:eastAsia="宋体" w:cs="宋体"/>
          <w:color w:val="auto"/>
          <w:lang w:eastAsia="zh-CN"/>
        </w:rPr>
      </w:pPr>
      <w:bookmarkStart w:id="46" w:name="_Toc15413"/>
      <w:r>
        <w:rPr>
          <w:rFonts w:hint="eastAsia" w:ascii="宋体" w:hAnsi="宋体" w:eastAsia="宋体" w:cs="宋体"/>
          <w:color w:val="auto"/>
        </w:rPr>
        <w:t>公司ESG管治结构</w:t>
      </w:r>
      <w:bookmarkEnd w:id="46"/>
    </w:p>
    <w:p w14:paraId="1ADAD389">
      <w:pPr>
        <w:bidi w:val="0"/>
        <w:rPr>
          <w:rFonts w:hint="eastAsia" w:ascii="宋体" w:hAnsi="宋体" w:eastAsia="宋体" w:cs="宋体"/>
          <w:color w:val="auto"/>
          <w:lang w:eastAsia="zh-CN"/>
        </w:rPr>
      </w:pPr>
      <w:r>
        <w:rPr>
          <w:rFonts w:hint="eastAsia" w:ascii="宋体" w:hAnsi="宋体" w:eastAsia="宋体" w:cs="宋体"/>
          <w:color w:val="auto"/>
        </w:rPr>
        <w:t>天原股份已经形成“监督层-管理层-执行层”的三级ESG治理架构</w:t>
      </w:r>
      <w:r>
        <w:rPr>
          <w:rFonts w:hint="default" w:ascii="宋体" w:hAnsi="宋体" w:eastAsia="宋体" w:cs="宋体"/>
          <w:color w:val="auto"/>
          <w:vertAlign w:val="superscript"/>
        </w:rPr>
        <w:fldChar w:fldCharType="begin"/>
      </w:r>
      <w:r>
        <w:instrText xml:space="preserve"> REF _Ref9585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[10]</w:t>
      </w:r>
      <w:r>
        <w:rPr>
          <w:rFonts w:hint="default" w:ascii="宋体" w:hAnsi="宋体" w:eastAsia="宋体" w:cs="宋体"/>
          <w:color w:val="auto"/>
          <w:vertAlign w:val="superscript"/>
        </w:rPr>
        <w:fldChar w:fldCharType="end"/>
      </w:r>
      <w:r>
        <w:rPr>
          <w:rFonts w:hint="eastAsia" w:ascii="宋体" w:hAnsi="宋体" w:eastAsia="宋体" w:cs="宋体"/>
          <w:color w:val="auto"/>
        </w:rPr>
        <w:t>。不同层级分别承担决策监督、统筹协调和具体落实等职责，构成现有ESG管理体系的基本框架。</w:t>
      </w:r>
    </w:p>
    <w:p w14:paraId="6E4CE346">
      <w:pPr>
        <w:pStyle w:val="5"/>
        <w:bidi w:val="0"/>
        <w:rPr>
          <w:rFonts w:hint="eastAsia" w:ascii="宋体" w:hAnsi="宋体" w:eastAsia="宋体" w:cs="宋体"/>
          <w:color w:val="auto"/>
        </w:rPr>
      </w:pPr>
      <w:bookmarkStart w:id="47" w:name="_Toc26865"/>
      <w:bookmarkStart w:id="48" w:name="_Toc25927"/>
      <w:bookmarkStart w:id="49" w:name="_Toc26903"/>
      <w:r>
        <w:rPr>
          <w:rFonts w:hint="eastAsia" w:ascii="宋体" w:hAnsi="宋体" w:eastAsia="宋体" w:cs="宋体"/>
          <w:color w:val="auto"/>
        </w:rPr>
        <w:t>监督层</w:t>
      </w:r>
      <w:bookmarkEnd w:id="47"/>
      <w:bookmarkEnd w:id="48"/>
      <w:bookmarkEnd w:id="49"/>
    </w:p>
    <w:p w14:paraId="2EFCD6E7">
      <w:pPr>
        <w:bidi w:val="0"/>
        <w:rPr>
          <w:rFonts w:hint="eastAsia" w:ascii="宋体" w:hAnsi="宋体" w:eastAsia="宋体" w:cs="宋体"/>
          <w:color w:val="auto"/>
          <w:lang w:eastAsia="zh-CN"/>
        </w:rPr>
      </w:pPr>
      <w:r>
        <w:rPr>
          <w:rFonts w:hint="eastAsia" w:ascii="宋体" w:hAnsi="宋体" w:eastAsia="宋体" w:cs="宋体"/>
          <w:color w:val="auto"/>
        </w:rPr>
        <w:t>董事会处于ESG治理架构的最高层级，对相关事项承担总体责任</w:t>
      </w:r>
      <w:r>
        <w:rPr>
          <w:rFonts w:hint="eastAsia" w:ascii="宋体" w:hAnsi="宋体" w:eastAsia="宋体" w:cs="宋体"/>
          <w:color w:val="auto"/>
          <w:vertAlign w:val="superscript"/>
        </w:rPr>
        <w:fldChar w:fldCharType="begin"/>
      </w:r>
      <w:r>
        <w:instrText xml:space="preserve"> REF _Ref9585 \r \h  \* MERGEFORMAT</w:instrText>
      </w:r>
      <w:r>
        <w:rPr>
          <w:rFonts w:hint="eastAsia" w:ascii="宋体" w:hAnsi="宋体" w:eastAsia="宋体" w:cs="宋体"/>
          <w:color w:val="auto"/>
          <w:vertAlign w:val="superscript"/>
        </w:rPr>
        <w:fldChar w:fldCharType="separate"/>
      </w:r>
      <w:r>
        <w:rPr>
          <w:rFonts w:hint="eastAsia" w:ascii="宋体" w:hAnsi="宋体" w:eastAsia="宋体" w:cs="宋体"/>
          <w:color w:val="auto"/>
          <w:vertAlign w:val="superscript"/>
        </w:rPr>
        <w:t>[10]</w:t>
      </w:r>
      <w:r>
        <w:rPr>
          <w:rFonts w:hint="eastAsia" w:ascii="宋体" w:hAnsi="宋体" w:eastAsia="宋体" w:cs="宋体"/>
          <w:color w:val="auto"/>
          <w:vertAlign w:val="superscript"/>
        </w:rPr>
        <w:fldChar w:fldCharType="end"/>
      </w:r>
      <w:r>
        <w:rPr>
          <w:rFonts w:hint="eastAsia" w:ascii="宋体" w:hAnsi="宋体" w:eastAsia="宋体" w:cs="宋体"/>
          <w:color w:val="auto"/>
        </w:rPr>
        <w:t>。其职责主要涉及ESG发展方向和策略把握、相关风险与机遇评估，以及讨论与检视ESG目标和实际表现。</w:t>
      </w:r>
    </w:p>
    <w:p w14:paraId="576E80C3">
      <w:pPr>
        <w:pStyle w:val="5"/>
        <w:bidi w:val="0"/>
        <w:rPr>
          <w:rFonts w:hint="eastAsia" w:ascii="宋体" w:hAnsi="宋体" w:eastAsia="宋体" w:cs="宋体"/>
          <w:color w:val="auto"/>
        </w:rPr>
      </w:pPr>
      <w:bookmarkStart w:id="50" w:name="_Toc31370"/>
      <w:bookmarkStart w:id="51" w:name="_Toc18302"/>
      <w:bookmarkStart w:id="52" w:name="_Toc10396"/>
      <w:r>
        <w:rPr>
          <w:rFonts w:hint="eastAsia" w:ascii="宋体" w:hAnsi="宋体" w:eastAsia="宋体" w:cs="宋体"/>
          <w:color w:val="auto"/>
        </w:rPr>
        <w:t>管理层</w:t>
      </w:r>
      <w:bookmarkEnd w:id="50"/>
      <w:bookmarkEnd w:id="51"/>
      <w:bookmarkEnd w:id="52"/>
    </w:p>
    <w:p w14:paraId="6C97EA2F">
      <w:pPr>
        <w:bidi w:val="0"/>
        <w:rPr>
          <w:rFonts w:hint="eastAsia" w:ascii="宋体" w:hAnsi="宋体" w:eastAsia="宋体" w:cs="宋体"/>
          <w:color w:val="auto"/>
          <w:lang w:eastAsia="zh-CN"/>
        </w:rPr>
      </w:pPr>
      <w:r>
        <w:rPr>
          <w:rFonts w:hint="eastAsia" w:ascii="宋体" w:hAnsi="宋体" w:eastAsia="宋体" w:cs="宋体"/>
          <w:color w:val="auto"/>
        </w:rPr>
        <w:t>董事会办公室受董事会授权，承担ESG工作的日常统筹，包括组织实施、事项协调和相关工作汇报，并推动ESG要求与日常经营管理相衔接</w:t>
      </w:r>
      <w:r>
        <w:rPr>
          <w:rFonts w:hint="eastAsia" w:ascii="宋体" w:hAnsi="宋体" w:eastAsia="宋体" w:cs="宋体"/>
          <w:color w:val="auto"/>
          <w:vertAlign w:val="superscript"/>
        </w:rPr>
        <w:fldChar w:fldCharType="begin"/>
      </w:r>
      <w:r>
        <w:instrText xml:space="preserve"> REF _Ref9585 \r \h  \* MERGEFORMAT</w:instrText>
      </w:r>
      <w:r>
        <w:rPr>
          <w:rFonts w:hint="eastAsia" w:ascii="宋体" w:hAnsi="宋体" w:eastAsia="宋体" w:cs="宋体"/>
          <w:color w:val="auto"/>
          <w:vertAlign w:val="superscript"/>
        </w:rPr>
        <w:fldChar w:fldCharType="separate"/>
      </w:r>
      <w:r>
        <w:rPr>
          <w:rFonts w:hint="eastAsia" w:ascii="宋体" w:hAnsi="宋体" w:eastAsia="宋体" w:cs="宋体"/>
          <w:color w:val="auto"/>
          <w:vertAlign w:val="superscript"/>
        </w:rPr>
        <w:t>[10]</w:t>
      </w:r>
      <w:r>
        <w:rPr>
          <w:rFonts w:hint="eastAsia" w:ascii="宋体" w:hAnsi="宋体" w:eastAsia="宋体" w:cs="宋体"/>
          <w:color w:val="auto"/>
          <w:vertAlign w:val="superscript"/>
        </w:rPr>
        <w:fldChar w:fldCharType="end"/>
      </w:r>
      <w:r>
        <w:rPr>
          <w:rFonts w:hint="eastAsia" w:ascii="宋体" w:hAnsi="宋体" w:eastAsia="宋体" w:cs="宋体"/>
          <w:color w:val="auto"/>
        </w:rPr>
        <w:t>。</w:t>
      </w:r>
    </w:p>
    <w:p w14:paraId="32E8C6E3">
      <w:pPr>
        <w:pStyle w:val="5"/>
        <w:bidi w:val="0"/>
        <w:rPr>
          <w:rFonts w:hint="eastAsia" w:ascii="宋体" w:hAnsi="宋体" w:eastAsia="宋体" w:cs="宋体"/>
          <w:color w:val="auto"/>
        </w:rPr>
      </w:pPr>
      <w:bookmarkStart w:id="53" w:name="_Toc22351"/>
      <w:bookmarkStart w:id="54" w:name="_Toc12379"/>
      <w:bookmarkStart w:id="55" w:name="_Toc20295"/>
      <w:r>
        <w:rPr>
          <w:rFonts w:hint="eastAsia" w:ascii="宋体" w:hAnsi="宋体" w:eastAsia="宋体" w:cs="宋体"/>
          <w:color w:val="auto"/>
        </w:rPr>
        <w:t>执行层</w:t>
      </w:r>
      <w:bookmarkEnd w:id="53"/>
      <w:bookmarkEnd w:id="54"/>
      <w:bookmarkEnd w:id="55"/>
    </w:p>
    <w:p w14:paraId="7663F967">
      <w:pPr>
        <w:bidi w:val="0"/>
        <w:rPr>
          <w:rFonts w:hint="eastAsia" w:ascii="宋体" w:hAnsi="宋体" w:eastAsia="宋体" w:cs="宋体"/>
          <w:color w:val="auto"/>
        </w:rPr>
      </w:pPr>
      <w:r>
        <w:rPr>
          <w:rFonts w:hint="eastAsia" w:ascii="宋体" w:hAnsi="宋体" w:eastAsia="宋体" w:cs="宋体"/>
          <w:color w:val="auto"/>
        </w:rPr>
        <w:t>具体执行工作由ESG议题相关职能部门及分子公司人员组成的ESG执行小组承担</w:t>
      </w:r>
      <w:r>
        <w:rPr>
          <w:rFonts w:hint="default" w:ascii="宋体" w:hAnsi="宋体" w:eastAsia="宋体" w:cs="宋体"/>
          <w:color w:val="auto"/>
          <w:vertAlign w:val="superscript"/>
        </w:rPr>
        <w:fldChar w:fldCharType="begin"/>
      </w:r>
      <w:r>
        <w:instrText xml:space="preserve"> REF _Ref9585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[10]</w:t>
      </w:r>
      <w:r>
        <w:rPr>
          <w:rFonts w:hint="default" w:ascii="宋体" w:hAnsi="宋体" w:eastAsia="宋体" w:cs="宋体"/>
          <w:color w:val="auto"/>
          <w:vertAlign w:val="superscript"/>
        </w:rPr>
        <w:fldChar w:fldCharType="end"/>
      </w:r>
      <w:r>
        <w:rPr>
          <w:rFonts w:hint="eastAsia" w:ascii="宋体" w:hAnsi="宋体" w:eastAsia="宋体" w:cs="宋体"/>
          <w:color w:val="auto"/>
        </w:rPr>
        <w:t>。该层级主要负责落实相关事项，并将实施情况向上反馈。</w:t>
      </w:r>
    </w:p>
    <w:p w14:paraId="45940A03">
      <w:pPr>
        <w:pStyle w:val="4"/>
        <w:bidi w:val="0"/>
        <w:rPr>
          <w:rFonts w:hint="eastAsia" w:ascii="宋体" w:hAnsi="宋体" w:eastAsia="宋体" w:cs="宋体"/>
          <w:color w:val="auto"/>
        </w:rPr>
      </w:pPr>
      <w:bookmarkStart w:id="56" w:name="_Toc431"/>
      <w:r>
        <w:rPr>
          <w:rFonts w:hint="eastAsia" w:ascii="宋体" w:hAnsi="宋体" w:eastAsia="宋体" w:cs="宋体"/>
          <w:color w:val="auto"/>
        </w:rPr>
        <w:t>现有ESG管治架构特征</w:t>
      </w:r>
      <w:bookmarkEnd w:id="56"/>
    </w:p>
    <w:p w14:paraId="506AECCA">
      <w:pPr>
        <w:bidi w:val="0"/>
        <w:rPr>
          <w:rFonts w:hint="eastAsia" w:ascii="宋体" w:hAnsi="宋体" w:eastAsia="宋体" w:cs="宋体"/>
          <w:color w:val="auto"/>
        </w:rPr>
      </w:pPr>
      <w:r>
        <w:rPr>
          <w:rFonts w:hint="eastAsia" w:ascii="宋体" w:hAnsi="宋体" w:eastAsia="宋体" w:cs="宋体"/>
          <w:color w:val="auto"/>
        </w:rPr>
        <w:t>天原股份现有ESG治理体系采用“监督层-管理层-执行层”的三级架构</w:t>
      </w:r>
      <w:r>
        <w:rPr>
          <w:rFonts w:hint="eastAsia" w:ascii="宋体" w:hAnsi="宋体" w:eastAsia="宋体" w:cs="宋体"/>
          <w:color w:val="auto"/>
          <w:vertAlign w:val="superscript"/>
        </w:rPr>
        <w:fldChar w:fldCharType="begin"/>
      </w:r>
      <w:r>
        <w:instrText xml:space="preserve"> REF _Ref9585 \r \h  \* MERGEFORMAT</w:instrText>
      </w:r>
      <w:r>
        <w:rPr>
          <w:rFonts w:hint="eastAsia" w:ascii="宋体" w:hAnsi="宋体" w:eastAsia="宋体" w:cs="宋体"/>
          <w:color w:val="auto"/>
          <w:vertAlign w:val="superscript"/>
        </w:rPr>
        <w:fldChar w:fldCharType="separate"/>
      </w:r>
      <w:r>
        <w:rPr>
          <w:rFonts w:hint="eastAsia" w:ascii="宋体" w:hAnsi="宋体" w:eastAsia="宋体" w:cs="宋体"/>
          <w:color w:val="auto"/>
          <w:vertAlign w:val="superscript"/>
        </w:rPr>
        <w:t>[10]</w:t>
      </w:r>
      <w:r>
        <w:rPr>
          <w:rFonts w:hint="eastAsia" w:ascii="宋体" w:hAnsi="宋体" w:eastAsia="宋体" w:cs="宋体"/>
          <w:color w:val="auto"/>
          <w:vertAlign w:val="superscript"/>
        </w:rPr>
        <w:fldChar w:fldCharType="end"/>
      </w:r>
      <w:r>
        <w:rPr>
          <w:rFonts w:hint="eastAsia" w:ascii="宋体" w:hAnsi="宋体" w:eastAsia="宋体" w:cs="宋体"/>
          <w:color w:val="auto"/>
        </w:rPr>
        <w:t>。从公开披露情况看，公司尚未单独设置专门的ESG委员会或可持续发展委员会，相关ESG事项的统筹与协调仍由现有治理体系承担</w:t>
      </w:r>
      <w:r>
        <w:rPr>
          <w:rFonts w:hint="eastAsia" w:ascii="宋体" w:hAnsi="宋体" w:eastAsia="宋体" w:cs="宋体"/>
          <w:color w:val="auto"/>
          <w:vertAlign w:val="superscript"/>
        </w:rPr>
        <w:fldChar w:fldCharType="begin"/>
      </w:r>
      <w:r>
        <w:instrText xml:space="preserve"> REF _Ref9585 \r \h  \* MERGEFORMAT</w:instrText>
      </w:r>
      <w:r>
        <w:rPr>
          <w:rFonts w:hint="eastAsia" w:ascii="宋体" w:hAnsi="宋体" w:eastAsia="宋体" w:cs="宋体"/>
          <w:color w:val="auto"/>
          <w:vertAlign w:val="superscript"/>
        </w:rPr>
        <w:fldChar w:fldCharType="separate"/>
      </w:r>
      <w:r>
        <w:rPr>
          <w:rFonts w:hint="eastAsia" w:ascii="宋体" w:hAnsi="宋体" w:eastAsia="宋体" w:cs="宋体"/>
          <w:color w:val="auto"/>
          <w:vertAlign w:val="superscript"/>
        </w:rPr>
        <w:t>[10]</w:t>
      </w:r>
      <w:r>
        <w:rPr>
          <w:rFonts w:hint="eastAsia" w:ascii="宋体" w:hAnsi="宋体" w:eastAsia="宋体" w:cs="宋体"/>
          <w:color w:val="auto"/>
          <w:vertAlign w:val="superscript"/>
        </w:rPr>
        <w:fldChar w:fldCharType="end"/>
      </w:r>
      <w:r>
        <w:rPr>
          <w:rFonts w:hint="eastAsia" w:ascii="宋体" w:hAnsi="宋体" w:eastAsia="宋体" w:cs="宋体"/>
          <w:color w:val="auto"/>
        </w:rPr>
        <w:t>。</w:t>
      </w:r>
    </w:p>
    <w:p w14:paraId="59F11610">
      <w:pPr>
        <w:bidi w:val="0"/>
        <w:rPr>
          <w:rFonts w:hint="eastAsia" w:ascii="宋体" w:hAnsi="宋体" w:eastAsia="宋体" w:cs="宋体"/>
          <w:color w:val="auto"/>
        </w:rPr>
      </w:pPr>
      <w:r>
        <w:rPr>
          <w:rFonts w:hint="eastAsia" w:ascii="宋体" w:hAnsi="宋体" w:eastAsia="宋体" w:cs="宋体"/>
          <w:color w:val="auto"/>
        </w:rPr>
        <w:t>现有架构已经具备基本的层级分工，但专业化治理仍有进一步完善空间。至于这种组织安排是否会对数据归集、跨部门协同和信息披露质量产生影响，还需结合后文的具体披露问题判断。</w:t>
      </w:r>
    </w:p>
    <w:p w14:paraId="44067662">
      <w:pPr>
        <w:pStyle w:val="3"/>
        <w:bidi w:val="0"/>
        <w:rPr>
          <w:rFonts w:hint="eastAsia" w:ascii="宋体" w:hAnsi="宋体" w:eastAsia="宋体" w:cs="宋体"/>
          <w:color w:val="auto"/>
        </w:rPr>
      </w:pPr>
      <w:bookmarkStart w:id="57" w:name="_Toc31980"/>
      <w:bookmarkStart w:id="58" w:name="_Toc19980"/>
      <w:bookmarkStart w:id="59" w:name="_Toc12201"/>
      <w:r>
        <w:rPr>
          <w:rFonts w:hint="eastAsia" w:ascii="宋体" w:hAnsi="宋体" w:eastAsia="宋体" w:cs="宋体"/>
          <w:color w:val="auto"/>
        </w:rPr>
        <w:t>ESG信息披露的渠道与载体</w:t>
      </w:r>
      <w:bookmarkEnd w:id="57"/>
      <w:bookmarkEnd w:id="58"/>
      <w:bookmarkEnd w:id="59"/>
    </w:p>
    <w:p w14:paraId="57F6DB1D">
      <w:pPr>
        <w:pStyle w:val="4"/>
        <w:bidi w:val="0"/>
        <w:rPr>
          <w:rFonts w:hint="eastAsia" w:ascii="宋体" w:hAnsi="宋体" w:eastAsia="宋体" w:cs="宋体"/>
          <w:color w:val="auto"/>
        </w:rPr>
      </w:pPr>
      <w:bookmarkStart w:id="60" w:name="_Toc7656"/>
      <w:bookmarkStart w:id="61" w:name="_Toc18944"/>
      <w:bookmarkStart w:id="62" w:name="_Toc10061"/>
      <w:r>
        <w:rPr>
          <w:rFonts w:hint="eastAsia" w:ascii="宋体" w:hAnsi="宋体" w:eastAsia="宋体" w:cs="宋体"/>
          <w:color w:val="auto"/>
        </w:rPr>
        <w:t>披露载体的演进</w:t>
      </w:r>
      <w:bookmarkEnd w:id="60"/>
      <w:bookmarkEnd w:id="61"/>
      <w:bookmarkEnd w:id="62"/>
    </w:p>
    <w:p w14:paraId="024583A0">
      <w:pPr>
        <w:bidi w:val="0"/>
        <w:rPr>
          <w:rFonts w:hint="eastAsia" w:cs="宋体"/>
          <w:color w:val="auto"/>
          <w:lang w:val="en-US" w:eastAsia="zh-CN"/>
        </w:rPr>
      </w:pPr>
      <w:r>
        <w:rPr>
          <w:rFonts w:hint="eastAsia" w:ascii="宋体" w:hAnsi="宋体" w:eastAsia="宋体" w:cs="宋体"/>
          <w:color w:val="auto"/>
        </w:rPr>
        <w:t>2021年，天原股份对外发布《社会责任报告》；2022年，报告名称调整为《社会责任报告暨环境、社会及治理（ESG）报告》，2023-2024年继续沿用这一形式</w:t>
      </w:r>
      <w:r>
        <w:rPr>
          <w:rFonts w:hint="eastAsia" w:ascii="宋体" w:hAnsi="宋体" w:eastAsia="宋体" w:cs="宋体"/>
          <w:color w:val="auto"/>
          <w:vertAlign w:val="superscript"/>
        </w:rPr>
        <w:fldChar w:fldCharType="begin"/>
      </w:r>
      <w:r>
        <w:instrText xml:space="preserve"> REF _Ref9621 \r \h  \* MERGEFORMAT</w:instrText>
      </w:r>
      <w:r>
        <w:rPr>
          <w:rFonts w:hint="eastAsia" w:ascii="宋体" w:hAnsi="宋体" w:eastAsia="宋体" w:cs="宋体"/>
          <w:color w:val="auto"/>
          <w:vertAlign w:val="superscript"/>
        </w:rPr>
        <w:fldChar w:fldCharType="separate"/>
      </w:r>
      <w:r>
        <w:rPr>
          <w:rFonts w:hint="eastAsia" w:ascii="宋体" w:hAnsi="宋体" w:eastAsia="宋体" w:cs="宋体"/>
          <w:color w:val="auto"/>
          <w:vertAlign w:val="superscript"/>
        </w:rPr>
        <w:t>[11]</w:t>
      </w:r>
      <w:r>
        <w:rPr>
          <w:rFonts w:hint="eastAsia" w:ascii="宋体" w:hAnsi="宋体" w:eastAsia="宋体" w:cs="宋体"/>
          <w:color w:val="auto"/>
          <w:vertAlign w:val="superscript"/>
        </w:rPr>
        <w:fldChar w:fldCharType="end"/>
      </w:r>
      <w:r>
        <w:rPr>
          <w:rFonts w:hint="default" w:ascii="宋体" w:hAnsi="宋体" w:eastAsia="宋体" w:cs="宋体"/>
          <w:color w:val="auto"/>
          <w:vertAlign w:val="superscript"/>
        </w:rPr>
        <w:fldChar w:fldCharType="begin"/>
      </w:r>
      <w:r>
        <w:instrText xml:space="preserve"> REF _Ref9644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[12]</w:t>
      </w:r>
      <w:r>
        <w:rPr>
          <w:rFonts w:hint="default" w:ascii="宋体" w:hAnsi="宋体" w:eastAsia="宋体" w:cs="宋体"/>
          <w:color w:val="auto"/>
          <w:vertAlign w:val="superscript"/>
        </w:rPr>
        <w:fldChar w:fldCharType="end"/>
      </w:r>
      <w:r>
        <w:rPr>
          <w:rFonts w:hint="default" w:ascii="宋体" w:hAnsi="宋体" w:eastAsia="宋体" w:cs="宋体"/>
          <w:color w:val="auto"/>
          <w:vertAlign w:val="superscript"/>
        </w:rPr>
        <w:fldChar w:fldCharType="begin"/>
      </w:r>
      <w:r>
        <w:instrText xml:space="preserve"> REF _Ref9667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[13]</w:t>
      </w:r>
      <w:r>
        <w:rPr>
          <w:rFonts w:hint="default" w:ascii="宋体" w:hAnsi="宋体" w:eastAsia="宋体" w:cs="宋体"/>
          <w:color w:val="auto"/>
          <w:vertAlign w:val="superscript"/>
        </w:rPr>
        <w:fldChar w:fldCharType="end"/>
      </w:r>
      <w:r>
        <w:rPr>
          <w:rFonts w:hint="default" w:ascii="宋体" w:hAnsi="宋体" w:eastAsia="宋体" w:cs="宋体"/>
          <w:color w:val="auto"/>
          <w:vertAlign w:val="superscript"/>
        </w:rPr>
        <w:fldChar w:fldCharType="begin"/>
      </w:r>
      <w:r>
        <w:instrText xml:space="preserve"> REF _Ref9585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[10]</w:t>
      </w:r>
      <w:r>
        <w:rPr>
          <w:rFonts w:hint="default" w:ascii="宋体" w:hAnsi="宋体" w:eastAsia="宋体" w:cs="宋体"/>
          <w:color w:val="auto"/>
          <w:vertAlign w:val="superscript"/>
        </w:rPr>
        <w:fldChar w:fldCharType="end"/>
      </w:r>
      <w:r>
        <w:rPr>
          <w:rFonts w:hint="eastAsia" w:ascii="宋体" w:hAnsi="宋体" w:eastAsia="宋体" w:cs="宋体"/>
          <w:color w:val="auto"/>
        </w:rPr>
        <w:t>。随着报告名称变化，披露内容也由早期以社会责任事项为主，扩展到ESG治理、环境指标、气候变化和关键绩效数据等方面，信息覆盖范围较2021年更为完整。表1列示了这一变化过程。</w:t>
      </w:r>
    </w:p>
    <w:p w14:paraId="49674686">
      <w:pPr>
        <w:bidi w:val="0"/>
        <w:ind w:left="0" w:leftChars="0" w:firstLine="0" w:firstLineChars="0"/>
        <w:jc w:val="cente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表1</w:t>
      </w:r>
      <w:r>
        <w:rPr>
          <w:rFonts w:hint="eastAsia" w:cs="宋体"/>
          <w:color w:val="auto"/>
          <w:sz w:val="21"/>
          <w:szCs w:val="21"/>
          <w:lang w:val="en-US" w:eastAsia="zh-CN"/>
        </w:rPr>
        <w:t xml:space="preserve"> </w:t>
      </w:r>
      <w:r>
        <w:rPr>
          <w:rFonts w:hint="eastAsia" w:ascii="宋体" w:hAnsi="宋体" w:eastAsia="宋体" w:cs="宋体"/>
          <w:color w:val="auto"/>
          <w:sz w:val="21"/>
          <w:szCs w:val="21"/>
          <w:lang w:val="en-US" w:eastAsia="zh-CN"/>
        </w:rPr>
        <w:t>天原股份ESG信息披露发展历程（2021</w:t>
      </w:r>
      <w:r>
        <w:rPr>
          <w:rFonts w:hint="eastAsia" w:cs="宋体"/>
          <w:color w:val="auto"/>
          <w:sz w:val="21"/>
          <w:szCs w:val="21"/>
          <w:lang w:val="en-US" w:eastAsia="zh-CN"/>
        </w:rPr>
        <w:t>-</w:t>
      </w:r>
      <w:r>
        <w:rPr>
          <w:rFonts w:hint="eastAsia" w:ascii="宋体" w:hAnsi="宋体" w:eastAsia="宋体" w:cs="宋体"/>
          <w:color w:val="auto"/>
          <w:sz w:val="21"/>
          <w:szCs w:val="21"/>
          <w:lang w:val="en-US" w:eastAsia="zh-CN"/>
        </w:rPr>
        <w:t>2024</w:t>
      </w:r>
      <w:r>
        <w:rPr>
          <w:rFonts w:hint="eastAsia" w:cs="宋体"/>
          <w:color w:val="auto"/>
          <w:sz w:val="21"/>
          <w:szCs w:val="21"/>
          <w:lang w:val="en-US" w:eastAsia="zh-CN"/>
        </w:rPr>
        <w:t>年</w:t>
      </w:r>
      <w:r>
        <w:rPr>
          <w:rFonts w:hint="eastAsia" w:ascii="宋体" w:hAnsi="宋体" w:eastAsia="宋体" w:cs="宋体"/>
          <w:color w:val="auto"/>
          <w:sz w:val="21"/>
          <w:szCs w:val="21"/>
          <w:lang w:val="en-US" w:eastAsia="zh-CN"/>
        </w:rPr>
        <w:t>）</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5002"/>
        <w:gridCol w:w="3933"/>
      </w:tblGrid>
      <w:tr w14:paraId="583E0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12" w:space="0"/>
              <w:left w:val="nil"/>
              <w:bottom w:val="single" w:color="000000" w:sz="4" w:space="0"/>
              <w:right w:val="nil"/>
              <w:tl2br w:val="nil"/>
            </w:tcBorders>
            <w:shd w:val="clear" w:color="auto" w:fill="FFFFFF"/>
            <w:tcMar>
              <w:top w:w="57" w:type="dxa"/>
              <w:left w:w="108" w:type="dxa"/>
              <w:bottom w:w="57" w:type="dxa"/>
              <w:right w:w="108" w:type="dxa"/>
            </w:tcMar>
            <w:vAlign w:val="center"/>
          </w:tcPr>
          <w:p w14:paraId="5BD51FB2">
            <w:pPr>
              <w:keepNext w:val="0"/>
              <w:keepLines/>
              <w:pageBreakBefore w:val="0"/>
              <w:widowControl/>
              <w:kinsoku/>
              <w:wordWrap/>
              <w:overflowPunct/>
              <w:topLinePunct w:val="0"/>
              <w:autoSpaceDE/>
              <w:autoSpaceDN/>
              <w:bidi w:val="0"/>
              <w:adjustRightInd w:val="0"/>
              <w:snapToGrid/>
              <w:spacing w:line="360" w:lineRule="auto"/>
              <w:ind w:left="0" w:leftChars="0" w:firstLine="0" w:firstLineChars="0"/>
              <w:jc w:val="center"/>
              <w:textAlignment w:val="auto"/>
              <w:rPr>
                <w:rFonts w:hint="eastAsia" w:ascii="宋体" w:hAnsi="宋体" w:eastAsia="宋体" w:cs="宋体"/>
                <w:b w:val="0"/>
                <w:color w:val="auto"/>
                <w:sz w:val="21"/>
                <w:szCs w:val="21"/>
                <w:lang w:val="en-US" w:eastAsia="zh-CN"/>
              </w:rPr>
            </w:pPr>
            <w:r>
              <w:rPr>
                <w:rFonts w:hint="eastAsia" w:ascii="宋体" w:hAnsi="宋体" w:eastAsia="宋体" w:cs="宋体"/>
                <w:b w:val="0"/>
                <w:color w:val="auto"/>
                <w:sz w:val="21"/>
                <w:szCs w:val="21"/>
                <w:lang w:val="en-US" w:eastAsia="zh-CN"/>
              </w:rPr>
              <w:t>年份</w:t>
            </w:r>
          </w:p>
        </w:tc>
        <w:tc>
          <w:tcPr>
            <w:tcW w:w="0" w:type="auto"/>
            <w:tcBorders>
              <w:top w:val="single" w:color="000000" w:sz="12" w:space="0"/>
              <w:left w:val="nil"/>
              <w:bottom w:val="single" w:color="000000" w:sz="4" w:space="0"/>
              <w:right w:val="nil"/>
            </w:tcBorders>
            <w:shd w:val="clear" w:color="auto" w:fill="FFFFFF"/>
            <w:tcMar>
              <w:top w:w="57" w:type="dxa"/>
              <w:left w:w="108" w:type="dxa"/>
              <w:bottom w:w="57" w:type="dxa"/>
              <w:right w:w="108" w:type="dxa"/>
            </w:tcMar>
            <w:vAlign w:val="center"/>
          </w:tcPr>
          <w:p w14:paraId="2074C0CD">
            <w:pPr>
              <w:keepNext w:val="0"/>
              <w:keepLines/>
              <w:pageBreakBefore w:val="0"/>
              <w:widowControl/>
              <w:kinsoku/>
              <w:wordWrap/>
              <w:overflowPunct/>
              <w:topLinePunct w:val="0"/>
              <w:autoSpaceDE/>
              <w:autoSpaceDN/>
              <w:bidi w:val="0"/>
              <w:adjustRightInd w:val="0"/>
              <w:snapToGrid/>
              <w:spacing w:line="360" w:lineRule="auto"/>
              <w:ind w:left="0" w:leftChars="0" w:firstLine="0" w:firstLineChars="0"/>
              <w:jc w:val="center"/>
              <w:textAlignment w:val="auto"/>
              <w:rPr>
                <w:rFonts w:hint="eastAsia" w:ascii="宋体" w:hAnsi="宋体" w:eastAsia="宋体" w:cs="宋体"/>
                <w:b w:val="0"/>
                <w:color w:val="auto"/>
                <w:sz w:val="21"/>
                <w:szCs w:val="21"/>
                <w:lang w:val="en-US" w:eastAsia="zh-CN"/>
              </w:rPr>
            </w:pPr>
            <w:r>
              <w:rPr>
                <w:rFonts w:hint="eastAsia" w:ascii="宋体" w:hAnsi="宋体" w:eastAsia="宋体" w:cs="宋体"/>
                <w:b w:val="0"/>
                <w:color w:val="auto"/>
                <w:sz w:val="21"/>
                <w:szCs w:val="21"/>
                <w:lang w:val="en-US" w:eastAsia="zh-CN"/>
              </w:rPr>
              <w:t>核心演进事件</w:t>
            </w:r>
          </w:p>
        </w:tc>
        <w:tc>
          <w:tcPr>
            <w:tcW w:w="0" w:type="auto"/>
            <w:tcBorders>
              <w:top w:val="single" w:color="000000" w:sz="12" w:space="0"/>
              <w:left w:val="nil"/>
              <w:bottom w:val="single" w:color="000000" w:sz="4" w:space="0"/>
              <w:right w:val="nil"/>
            </w:tcBorders>
            <w:shd w:val="clear" w:color="auto" w:fill="FFFFFF"/>
            <w:tcMar>
              <w:top w:w="57" w:type="dxa"/>
              <w:left w:w="108" w:type="dxa"/>
              <w:bottom w:w="57" w:type="dxa"/>
              <w:right w:w="108" w:type="dxa"/>
            </w:tcMar>
            <w:vAlign w:val="center"/>
          </w:tcPr>
          <w:p w14:paraId="22CE86B7">
            <w:pPr>
              <w:keepNext w:val="0"/>
              <w:keepLines/>
              <w:pageBreakBefore w:val="0"/>
              <w:widowControl/>
              <w:kinsoku/>
              <w:wordWrap/>
              <w:overflowPunct/>
              <w:topLinePunct w:val="0"/>
              <w:autoSpaceDE/>
              <w:autoSpaceDN/>
              <w:bidi w:val="0"/>
              <w:adjustRightInd w:val="0"/>
              <w:snapToGrid/>
              <w:spacing w:line="360" w:lineRule="auto"/>
              <w:ind w:left="0" w:leftChars="0" w:firstLine="0" w:firstLineChars="0"/>
              <w:jc w:val="center"/>
              <w:textAlignment w:val="auto"/>
              <w:rPr>
                <w:rFonts w:hint="eastAsia" w:ascii="宋体" w:hAnsi="宋体" w:eastAsia="宋体" w:cs="宋体"/>
                <w:b w:val="0"/>
                <w:color w:val="auto"/>
                <w:sz w:val="21"/>
                <w:szCs w:val="21"/>
                <w:lang w:val="en-US" w:eastAsia="zh-CN"/>
              </w:rPr>
            </w:pPr>
            <w:r>
              <w:rPr>
                <w:rFonts w:hint="eastAsia" w:ascii="宋体" w:hAnsi="宋体" w:eastAsia="宋体" w:cs="宋体"/>
                <w:b w:val="0"/>
                <w:color w:val="auto"/>
                <w:sz w:val="21"/>
                <w:szCs w:val="21"/>
                <w:lang w:val="en-US" w:eastAsia="zh-CN"/>
              </w:rPr>
              <w:t>核心披露特征</w:t>
            </w:r>
          </w:p>
        </w:tc>
      </w:tr>
      <w:tr w14:paraId="6ABD3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tcMar>
              <w:top w:w="57" w:type="dxa"/>
              <w:left w:w="108" w:type="dxa"/>
              <w:bottom w:w="57" w:type="dxa"/>
              <w:right w:w="108" w:type="dxa"/>
            </w:tcMar>
            <w:vAlign w:val="center"/>
          </w:tcPr>
          <w:p w14:paraId="583F7888">
            <w:pPr>
              <w:keepNext w:val="0"/>
              <w:keepLines/>
              <w:pageBreakBefore w:val="0"/>
              <w:widowControl/>
              <w:kinsoku/>
              <w:wordWrap/>
              <w:overflowPunct/>
              <w:topLinePunct w:val="0"/>
              <w:autoSpaceDE/>
              <w:autoSpaceDN/>
              <w:bidi w:val="0"/>
              <w:adjustRightInd w:val="0"/>
              <w:snapToGrid/>
              <w:spacing w:line="360" w:lineRule="auto"/>
              <w:ind w:left="0" w:leftChars="0" w:firstLine="0" w:firstLineChars="0"/>
              <w:jc w:val="center"/>
              <w:textAlignment w:val="auto"/>
              <w:rPr>
                <w:rFonts w:hint="eastAsia" w:ascii="宋体" w:hAnsi="宋体" w:eastAsia="宋体" w:cs="宋体"/>
                <w:b w:val="0"/>
                <w:color w:val="auto"/>
                <w:sz w:val="21"/>
                <w:szCs w:val="21"/>
                <w:lang w:val="en-US" w:eastAsia="zh-CN"/>
              </w:rPr>
            </w:pPr>
            <w:r>
              <w:rPr>
                <w:rFonts w:hint="eastAsia" w:ascii="宋体" w:hAnsi="宋体" w:eastAsia="宋体" w:cs="宋体"/>
                <w:b w:val="0"/>
                <w:color w:val="auto"/>
                <w:sz w:val="21"/>
                <w:szCs w:val="21"/>
                <w:lang w:val="en-US" w:eastAsia="zh-CN"/>
              </w:rPr>
              <w:t>2021</w:t>
            </w:r>
          </w:p>
        </w:tc>
        <w:tc>
          <w:tcPr>
            <w:tcW w:w="0" w:type="auto"/>
            <w:tcBorders>
              <w:top w:val="single" w:color="000000" w:sz="4" w:space="0"/>
              <w:left w:val="nil"/>
              <w:bottom w:val="nil"/>
              <w:right w:val="nil"/>
            </w:tcBorders>
            <w:shd w:val="clear" w:color="auto" w:fill="FFFFFF"/>
            <w:tcMar>
              <w:top w:w="57" w:type="dxa"/>
              <w:left w:w="108" w:type="dxa"/>
              <w:bottom w:w="57" w:type="dxa"/>
              <w:right w:w="108" w:type="dxa"/>
            </w:tcMar>
            <w:vAlign w:val="center"/>
          </w:tcPr>
          <w:p w14:paraId="309F3792">
            <w:pPr>
              <w:keepNext w:val="0"/>
              <w:keepLines/>
              <w:pageBreakBefore w:val="0"/>
              <w:widowControl/>
              <w:kinsoku/>
              <w:wordWrap/>
              <w:overflowPunct/>
              <w:topLinePunct w:val="0"/>
              <w:autoSpaceDE/>
              <w:autoSpaceDN/>
              <w:bidi w:val="0"/>
              <w:adjustRightInd w:val="0"/>
              <w:snapToGrid/>
              <w:spacing w:line="360" w:lineRule="auto"/>
              <w:ind w:left="0" w:leftChars="0" w:firstLine="0" w:firstLineChars="0"/>
              <w:jc w:val="center"/>
              <w:textAlignment w:val="auto"/>
              <w:rPr>
                <w:rFonts w:hint="eastAsia" w:ascii="宋体" w:hAnsi="宋体" w:eastAsia="宋体" w:cs="宋体"/>
                <w:b w:val="0"/>
                <w:color w:val="auto"/>
                <w:sz w:val="21"/>
                <w:szCs w:val="21"/>
                <w:lang w:val="en-US" w:eastAsia="zh-CN"/>
              </w:rPr>
            </w:pPr>
            <w:r>
              <w:rPr>
                <w:rFonts w:hint="eastAsia" w:ascii="宋体" w:hAnsi="宋体" w:eastAsia="宋体" w:cs="宋体"/>
                <w:b w:val="0"/>
                <w:color w:val="auto"/>
                <w:sz w:val="21"/>
                <w:szCs w:val="21"/>
                <w:lang w:val="en-US" w:eastAsia="zh-CN"/>
              </w:rPr>
              <w:t>发布《社会责任报告》</w:t>
            </w:r>
          </w:p>
        </w:tc>
        <w:tc>
          <w:tcPr>
            <w:tcW w:w="0" w:type="auto"/>
            <w:tcBorders>
              <w:top w:val="single" w:color="000000" w:sz="4" w:space="0"/>
              <w:left w:val="nil"/>
              <w:bottom w:val="nil"/>
              <w:right w:val="nil"/>
            </w:tcBorders>
            <w:shd w:val="clear" w:color="auto" w:fill="FFFFFF"/>
            <w:tcMar>
              <w:top w:w="57" w:type="dxa"/>
              <w:left w:w="108" w:type="dxa"/>
              <w:bottom w:w="57" w:type="dxa"/>
              <w:right w:w="108" w:type="dxa"/>
            </w:tcMar>
            <w:vAlign w:val="center"/>
          </w:tcPr>
          <w:p w14:paraId="46902E7F">
            <w:pPr>
              <w:keepNext w:val="0"/>
              <w:keepLines/>
              <w:pageBreakBefore w:val="0"/>
              <w:widowControl/>
              <w:kinsoku/>
              <w:wordWrap/>
              <w:overflowPunct/>
              <w:topLinePunct w:val="0"/>
              <w:autoSpaceDE/>
              <w:autoSpaceDN/>
              <w:bidi w:val="0"/>
              <w:adjustRightInd w:val="0"/>
              <w:snapToGrid/>
              <w:spacing w:line="360" w:lineRule="auto"/>
              <w:ind w:left="0" w:leftChars="0" w:firstLine="0" w:firstLineChars="0"/>
              <w:jc w:val="center"/>
              <w:textAlignment w:val="auto"/>
              <w:rPr>
                <w:rFonts w:hint="eastAsia" w:ascii="宋体" w:hAnsi="宋体" w:eastAsia="宋体" w:cs="宋体"/>
                <w:b w:val="0"/>
                <w:color w:val="auto"/>
                <w:sz w:val="21"/>
                <w:szCs w:val="21"/>
                <w:lang w:val="en-US" w:eastAsia="zh-CN"/>
              </w:rPr>
            </w:pPr>
            <w:r>
              <w:rPr>
                <w:rFonts w:hint="eastAsia" w:ascii="宋体" w:hAnsi="宋体" w:eastAsia="宋体" w:cs="宋体"/>
                <w:b w:val="0"/>
                <w:color w:val="auto"/>
                <w:sz w:val="21"/>
                <w:szCs w:val="21"/>
                <w:lang w:val="en-US" w:eastAsia="zh-CN"/>
              </w:rPr>
              <w:t>以社会责任、环境保护等内容披露为主</w:t>
            </w:r>
          </w:p>
        </w:tc>
      </w:tr>
      <w:tr w14:paraId="72877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tcMar>
              <w:top w:w="57" w:type="dxa"/>
              <w:left w:w="108" w:type="dxa"/>
              <w:bottom w:w="57" w:type="dxa"/>
              <w:right w:w="108" w:type="dxa"/>
            </w:tcMar>
            <w:vAlign w:val="center"/>
          </w:tcPr>
          <w:p w14:paraId="466868E1">
            <w:pPr>
              <w:keepNext w:val="0"/>
              <w:keepLines/>
              <w:pageBreakBefore w:val="0"/>
              <w:widowControl/>
              <w:kinsoku/>
              <w:wordWrap/>
              <w:overflowPunct/>
              <w:topLinePunct w:val="0"/>
              <w:autoSpaceDE/>
              <w:autoSpaceDN/>
              <w:bidi w:val="0"/>
              <w:adjustRightInd w:val="0"/>
              <w:snapToGrid/>
              <w:spacing w:line="360" w:lineRule="auto"/>
              <w:ind w:left="0" w:leftChars="0" w:firstLine="0" w:firstLineChars="0"/>
              <w:jc w:val="center"/>
              <w:textAlignment w:val="auto"/>
              <w:rPr>
                <w:rFonts w:hint="eastAsia" w:ascii="宋体" w:hAnsi="宋体" w:eastAsia="宋体" w:cs="宋体"/>
                <w:b w:val="0"/>
                <w:color w:val="auto"/>
                <w:sz w:val="21"/>
                <w:szCs w:val="21"/>
                <w:lang w:val="en-US" w:eastAsia="zh-CN"/>
              </w:rPr>
            </w:pPr>
            <w:r>
              <w:rPr>
                <w:rFonts w:hint="eastAsia" w:ascii="宋体" w:hAnsi="宋体" w:eastAsia="宋体" w:cs="宋体"/>
                <w:b w:val="0"/>
                <w:color w:val="auto"/>
                <w:sz w:val="21"/>
                <w:szCs w:val="21"/>
                <w:lang w:val="en-US" w:eastAsia="zh-CN"/>
              </w:rPr>
              <w:t>2022</w:t>
            </w:r>
          </w:p>
        </w:tc>
        <w:tc>
          <w:tcPr>
            <w:tcW w:w="0" w:type="auto"/>
            <w:tcBorders>
              <w:top w:val="nil"/>
              <w:left w:val="nil"/>
              <w:bottom w:val="nil"/>
              <w:right w:val="nil"/>
            </w:tcBorders>
            <w:shd w:val="clear" w:color="auto" w:fill="FFFFFF"/>
            <w:tcMar>
              <w:top w:w="57" w:type="dxa"/>
              <w:left w:w="108" w:type="dxa"/>
              <w:bottom w:w="57" w:type="dxa"/>
              <w:right w:w="108" w:type="dxa"/>
            </w:tcMar>
            <w:vAlign w:val="center"/>
          </w:tcPr>
          <w:p w14:paraId="2348B456">
            <w:pPr>
              <w:keepNext w:val="0"/>
              <w:keepLines/>
              <w:pageBreakBefore w:val="0"/>
              <w:widowControl/>
              <w:kinsoku/>
              <w:wordWrap/>
              <w:overflowPunct/>
              <w:topLinePunct w:val="0"/>
              <w:autoSpaceDE/>
              <w:autoSpaceDN/>
              <w:bidi w:val="0"/>
              <w:adjustRightInd w:val="0"/>
              <w:snapToGrid/>
              <w:spacing w:line="360" w:lineRule="auto"/>
              <w:ind w:left="0" w:leftChars="0" w:firstLine="0" w:firstLineChars="0"/>
              <w:jc w:val="center"/>
              <w:textAlignment w:val="auto"/>
              <w:rPr>
                <w:rFonts w:hint="eastAsia" w:ascii="宋体" w:hAnsi="宋体" w:eastAsia="宋体" w:cs="宋体"/>
                <w:b w:val="0"/>
                <w:color w:val="auto"/>
                <w:sz w:val="21"/>
                <w:szCs w:val="21"/>
                <w:lang w:val="en-US" w:eastAsia="zh-CN"/>
              </w:rPr>
            </w:pPr>
            <w:r>
              <w:rPr>
                <w:rFonts w:hint="eastAsia" w:ascii="宋体" w:hAnsi="宋体" w:eastAsia="宋体" w:cs="宋体"/>
                <w:b w:val="0"/>
                <w:color w:val="auto"/>
                <w:sz w:val="21"/>
                <w:szCs w:val="21"/>
                <w:lang w:val="en-US" w:eastAsia="zh-CN"/>
              </w:rPr>
              <w:t>发布《社会责任报告暨环境、社会及治理（ESG）报告》</w:t>
            </w:r>
          </w:p>
        </w:tc>
        <w:tc>
          <w:tcPr>
            <w:tcW w:w="0" w:type="auto"/>
            <w:tcBorders>
              <w:top w:val="nil"/>
              <w:left w:val="nil"/>
              <w:bottom w:val="nil"/>
              <w:right w:val="nil"/>
            </w:tcBorders>
            <w:shd w:val="clear" w:color="auto" w:fill="FFFFFF"/>
            <w:tcMar>
              <w:top w:w="57" w:type="dxa"/>
              <w:left w:w="108" w:type="dxa"/>
              <w:bottom w:w="57" w:type="dxa"/>
              <w:right w:w="108" w:type="dxa"/>
            </w:tcMar>
            <w:vAlign w:val="center"/>
          </w:tcPr>
          <w:p w14:paraId="17DE3CEE">
            <w:pPr>
              <w:keepNext w:val="0"/>
              <w:keepLines/>
              <w:pageBreakBefore w:val="0"/>
              <w:widowControl/>
              <w:kinsoku/>
              <w:wordWrap/>
              <w:overflowPunct/>
              <w:topLinePunct w:val="0"/>
              <w:autoSpaceDE/>
              <w:autoSpaceDN/>
              <w:bidi w:val="0"/>
              <w:adjustRightInd w:val="0"/>
              <w:snapToGrid/>
              <w:spacing w:line="360" w:lineRule="auto"/>
              <w:ind w:left="0" w:leftChars="0" w:firstLine="0" w:firstLineChars="0"/>
              <w:jc w:val="center"/>
              <w:textAlignment w:val="auto"/>
              <w:rPr>
                <w:rFonts w:hint="eastAsia" w:ascii="宋体" w:hAnsi="宋体" w:eastAsia="宋体" w:cs="宋体"/>
                <w:b w:val="0"/>
                <w:color w:val="auto"/>
                <w:sz w:val="21"/>
                <w:szCs w:val="21"/>
                <w:lang w:val="en-US" w:eastAsia="zh-CN"/>
              </w:rPr>
            </w:pPr>
            <w:r>
              <w:rPr>
                <w:rFonts w:hint="eastAsia" w:ascii="宋体" w:hAnsi="宋体" w:eastAsia="宋体" w:cs="宋体"/>
                <w:b w:val="0"/>
                <w:color w:val="auto"/>
                <w:sz w:val="21"/>
                <w:szCs w:val="21"/>
                <w:lang w:val="en-US" w:eastAsia="zh-CN"/>
              </w:rPr>
              <w:t>披露框架扩展至环境、社会及治理等ESG议题</w:t>
            </w:r>
          </w:p>
        </w:tc>
      </w:tr>
      <w:tr w14:paraId="310A3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tcMar>
              <w:top w:w="57" w:type="dxa"/>
              <w:left w:w="108" w:type="dxa"/>
              <w:bottom w:w="57" w:type="dxa"/>
              <w:right w:w="108" w:type="dxa"/>
            </w:tcMar>
            <w:vAlign w:val="center"/>
          </w:tcPr>
          <w:p w14:paraId="5C57CF13">
            <w:pPr>
              <w:keepNext w:val="0"/>
              <w:keepLines/>
              <w:pageBreakBefore w:val="0"/>
              <w:widowControl/>
              <w:kinsoku/>
              <w:wordWrap/>
              <w:overflowPunct/>
              <w:topLinePunct w:val="0"/>
              <w:autoSpaceDE/>
              <w:autoSpaceDN/>
              <w:bidi w:val="0"/>
              <w:adjustRightInd w:val="0"/>
              <w:snapToGrid/>
              <w:spacing w:line="360" w:lineRule="auto"/>
              <w:ind w:left="0" w:leftChars="0" w:firstLine="0" w:firstLineChars="0"/>
              <w:jc w:val="center"/>
              <w:textAlignment w:val="auto"/>
              <w:rPr>
                <w:rFonts w:hint="eastAsia" w:ascii="宋体" w:hAnsi="宋体" w:eastAsia="宋体" w:cs="宋体"/>
                <w:b w:val="0"/>
                <w:color w:val="auto"/>
                <w:sz w:val="21"/>
                <w:szCs w:val="21"/>
                <w:lang w:val="en-US" w:eastAsia="zh-CN"/>
              </w:rPr>
            </w:pPr>
            <w:r>
              <w:rPr>
                <w:rFonts w:hint="eastAsia" w:ascii="宋体" w:hAnsi="宋体" w:eastAsia="宋体" w:cs="宋体"/>
                <w:b w:val="0"/>
                <w:color w:val="auto"/>
                <w:sz w:val="21"/>
                <w:szCs w:val="21"/>
                <w:lang w:val="en-US" w:eastAsia="zh-CN"/>
              </w:rPr>
              <w:t>2023</w:t>
            </w:r>
          </w:p>
        </w:tc>
        <w:tc>
          <w:tcPr>
            <w:tcW w:w="0" w:type="auto"/>
            <w:tcBorders>
              <w:top w:val="nil"/>
              <w:left w:val="nil"/>
              <w:bottom w:val="nil"/>
              <w:right w:val="nil"/>
            </w:tcBorders>
            <w:shd w:val="clear" w:color="auto" w:fill="FFFFFF"/>
            <w:tcMar>
              <w:top w:w="57" w:type="dxa"/>
              <w:left w:w="108" w:type="dxa"/>
              <w:bottom w:w="57" w:type="dxa"/>
              <w:right w:w="108" w:type="dxa"/>
            </w:tcMar>
            <w:vAlign w:val="center"/>
          </w:tcPr>
          <w:p w14:paraId="0F95C46D">
            <w:pPr>
              <w:keepNext w:val="0"/>
              <w:keepLines/>
              <w:pageBreakBefore w:val="0"/>
              <w:widowControl/>
              <w:kinsoku/>
              <w:wordWrap/>
              <w:overflowPunct/>
              <w:topLinePunct w:val="0"/>
              <w:autoSpaceDE/>
              <w:autoSpaceDN/>
              <w:bidi w:val="0"/>
              <w:adjustRightInd w:val="0"/>
              <w:snapToGrid/>
              <w:spacing w:line="360" w:lineRule="auto"/>
              <w:ind w:left="0" w:leftChars="0" w:firstLine="0" w:firstLineChars="0"/>
              <w:jc w:val="center"/>
              <w:textAlignment w:val="auto"/>
              <w:rPr>
                <w:rFonts w:hint="eastAsia" w:ascii="宋体" w:hAnsi="宋体" w:eastAsia="宋体" w:cs="宋体"/>
                <w:b w:val="0"/>
                <w:color w:val="auto"/>
                <w:sz w:val="21"/>
                <w:szCs w:val="21"/>
                <w:lang w:val="en-US" w:eastAsia="zh-CN"/>
              </w:rPr>
            </w:pPr>
            <w:r>
              <w:rPr>
                <w:rFonts w:hint="eastAsia" w:ascii="宋体" w:hAnsi="宋体" w:eastAsia="宋体" w:cs="宋体"/>
                <w:b w:val="0"/>
                <w:color w:val="auto"/>
                <w:sz w:val="21"/>
                <w:szCs w:val="21"/>
                <w:lang w:val="en-US" w:eastAsia="zh-CN"/>
              </w:rPr>
              <w:t>继续发布ESG报告，并结合公司业务转型披露相关环境与治理信息</w:t>
            </w:r>
          </w:p>
        </w:tc>
        <w:tc>
          <w:tcPr>
            <w:tcW w:w="0" w:type="auto"/>
            <w:tcBorders>
              <w:top w:val="nil"/>
              <w:left w:val="nil"/>
              <w:bottom w:val="nil"/>
              <w:right w:val="nil"/>
            </w:tcBorders>
            <w:shd w:val="clear" w:color="auto" w:fill="FFFFFF"/>
            <w:tcMar>
              <w:top w:w="57" w:type="dxa"/>
              <w:left w:w="108" w:type="dxa"/>
              <w:bottom w:w="57" w:type="dxa"/>
              <w:right w:w="108" w:type="dxa"/>
            </w:tcMar>
            <w:vAlign w:val="center"/>
          </w:tcPr>
          <w:p w14:paraId="353E5CA0">
            <w:pPr>
              <w:keepNext w:val="0"/>
              <w:keepLines/>
              <w:pageBreakBefore w:val="0"/>
              <w:widowControl/>
              <w:kinsoku/>
              <w:wordWrap/>
              <w:overflowPunct/>
              <w:topLinePunct w:val="0"/>
              <w:autoSpaceDE/>
              <w:autoSpaceDN/>
              <w:bidi w:val="0"/>
              <w:adjustRightInd w:val="0"/>
              <w:snapToGrid/>
              <w:spacing w:line="360" w:lineRule="auto"/>
              <w:ind w:left="0" w:leftChars="0" w:firstLine="0" w:firstLineChars="0"/>
              <w:jc w:val="center"/>
              <w:textAlignment w:val="auto"/>
              <w:rPr>
                <w:rFonts w:hint="eastAsia" w:ascii="宋体" w:hAnsi="宋体" w:eastAsia="宋体" w:cs="宋体"/>
                <w:b w:val="0"/>
                <w:color w:val="auto"/>
                <w:sz w:val="21"/>
                <w:szCs w:val="21"/>
                <w:lang w:val="en-US" w:eastAsia="zh-CN"/>
              </w:rPr>
            </w:pPr>
            <w:r>
              <w:rPr>
                <w:rFonts w:hint="eastAsia" w:ascii="宋体" w:hAnsi="宋体" w:eastAsia="宋体" w:cs="宋体"/>
                <w:b w:val="0"/>
                <w:color w:val="auto"/>
                <w:sz w:val="21"/>
                <w:szCs w:val="21"/>
                <w:lang w:val="en-US" w:eastAsia="zh-CN"/>
              </w:rPr>
              <w:t>环境绩效等定量指标披露进一步增加</w:t>
            </w:r>
          </w:p>
        </w:tc>
      </w:tr>
      <w:tr w14:paraId="716CD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single" w:color="000000" w:sz="12" w:space="0"/>
              <w:right w:val="nil"/>
            </w:tcBorders>
            <w:shd w:val="clear" w:color="auto" w:fill="FFFFFF"/>
            <w:tcMar>
              <w:top w:w="57" w:type="dxa"/>
              <w:left w:w="108" w:type="dxa"/>
              <w:bottom w:w="57" w:type="dxa"/>
              <w:right w:w="108" w:type="dxa"/>
            </w:tcMar>
            <w:vAlign w:val="center"/>
          </w:tcPr>
          <w:p w14:paraId="3578D8D1">
            <w:pPr>
              <w:keepNext w:val="0"/>
              <w:keepLines/>
              <w:pageBreakBefore w:val="0"/>
              <w:widowControl/>
              <w:kinsoku/>
              <w:wordWrap/>
              <w:overflowPunct/>
              <w:topLinePunct w:val="0"/>
              <w:autoSpaceDE/>
              <w:autoSpaceDN/>
              <w:bidi w:val="0"/>
              <w:adjustRightInd w:val="0"/>
              <w:snapToGrid/>
              <w:spacing w:line="360" w:lineRule="auto"/>
              <w:ind w:left="0" w:leftChars="0" w:firstLine="0" w:firstLineChars="0"/>
              <w:jc w:val="center"/>
              <w:textAlignment w:val="auto"/>
              <w:rPr>
                <w:rFonts w:hint="eastAsia" w:ascii="宋体" w:hAnsi="宋体" w:eastAsia="宋体" w:cs="宋体"/>
                <w:b w:val="0"/>
                <w:color w:val="auto"/>
                <w:sz w:val="21"/>
                <w:szCs w:val="21"/>
                <w:lang w:val="en-US" w:eastAsia="zh-CN"/>
              </w:rPr>
            </w:pPr>
            <w:r>
              <w:rPr>
                <w:rFonts w:hint="eastAsia" w:ascii="宋体" w:hAnsi="宋体" w:eastAsia="宋体" w:cs="宋体"/>
                <w:b w:val="0"/>
                <w:color w:val="auto"/>
                <w:sz w:val="21"/>
                <w:szCs w:val="21"/>
                <w:lang w:val="en-US" w:eastAsia="zh-CN"/>
              </w:rPr>
              <w:t>2024</w:t>
            </w:r>
          </w:p>
        </w:tc>
        <w:tc>
          <w:tcPr>
            <w:tcW w:w="0" w:type="auto"/>
            <w:tcBorders>
              <w:top w:val="nil"/>
              <w:left w:val="nil"/>
              <w:bottom w:val="single" w:color="000000" w:sz="12" w:space="0"/>
              <w:right w:val="nil"/>
            </w:tcBorders>
            <w:shd w:val="clear" w:color="auto" w:fill="FFFFFF"/>
            <w:tcMar>
              <w:top w:w="57" w:type="dxa"/>
              <w:left w:w="108" w:type="dxa"/>
              <w:bottom w:w="57" w:type="dxa"/>
              <w:right w:w="108" w:type="dxa"/>
            </w:tcMar>
            <w:vAlign w:val="center"/>
          </w:tcPr>
          <w:p w14:paraId="1457E0FD">
            <w:pPr>
              <w:keepNext w:val="0"/>
              <w:keepLines/>
              <w:pageBreakBefore w:val="0"/>
              <w:widowControl/>
              <w:kinsoku/>
              <w:wordWrap/>
              <w:overflowPunct/>
              <w:topLinePunct w:val="0"/>
              <w:autoSpaceDE/>
              <w:autoSpaceDN/>
              <w:bidi w:val="0"/>
              <w:adjustRightInd w:val="0"/>
              <w:snapToGrid/>
              <w:spacing w:line="360" w:lineRule="auto"/>
              <w:ind w:left="0" w:leftChars="0" w:firstLine="0" w:firstLineChars="0"/>
              <w:jc w:val="center"/>
              <w:textAlignment w:val="auto"/>
              <w:rPr>
                <w:rFonts w:hint="eastAsia" w:ascii="宋体" w:hAnsi="宋体" w:eastAsia="宋体" w:cs="宋体"/>
                <w:b w:val="0"/>
                <w:color w:val="auto"/>
                <w:sz w:val="21"/>
                <w:szCs w:val="21"/>
                <w:lang w:val="en-US" w:eastAsia="zh-CN"/>
              </w:rPr>
            </w:pPr>
            <w:r>
              <w:rPr>
                <w:rFonts w:hint="eastAsia" w:ascii="宋体" w:hAnsi="宋体" w:eastAsia="宋体" w:cs="宋体"/>
                <w:b w:val="0"/>
                <w:color w:val="auto"/>
                <w:sz w:val="21"/>
                <w:szCs w:val="21"/>
                <w:lang w:val="en-US" w:eastAsia="zh-CN"/>
              </w:rPr>
              <w:t>继续发布ESG报告，并披露范围一、范围二温室气体排放数据</w:t>
            </w:r>
          </w:p>
        </w:tc>
        <w:tc>
          <w:tcPr>
            <w:tcW w:w="0" w:type="auto"/>
            <w:tcBorders>
              <w:top w:val="nil"/>
              <w:left w:val="nil"/>
              <w:bottom w:val="single" w:color="000000" w:sz="12" w:space="0"/>
              <w:right w:val="nil"/>
            </w:tcBorders>
            <w:shd w:val="clear" w:color="auto" w:fill="FFFFFF"/>
            <w:tcMar>
              <w:top w:w="57" w:type="dxa"/>
              <w:left w:w="108" w:type="dxa"/>
              <w:bottom w:w="57" w:type="dxa"/>
              <w:right w:w="108" w:type="dxa"/>
            </w:tcMar>
            <w:vAlign w:val="center"/>
          </w:tcPr>
          <w:p w14:paraId="2E8A26B1">
            <w:pPr>
              <w:keepNext w:val="0"/>
              <w:keepLines/>
              <w:pageBreakBefore w:val="0"/>
              <w:widowControl/>
              <w:kinsoku/>
              <w:wordWrap/>
              <w:overflowPunct/>
              <w:topLinePunct w:val="0"/>
              <w:autoSpaceDE/>
              <w:autoSpaceDN/>
              <w:bidi w:val="0"/>
              <w:adjustRightInd w:val="0"/>
              <w:snapToGrid/>
              <w:spacing w:line="360" w:lineRule="auto"/>
              <w:ind w:left="0" w:leftChars="0" w:firstLine="0" w:firstLineChars="0"/>
              <w:jc w:val="center"/>
              <w:textAlignment w:val="auto"/>
              <w:rPr>
                <w:rFonts w:hint="eastAsia" w:ascii="宋体" w:hAnsi="宋体" w:eastAsia="宋体" w:cs="宋体"/>
                <w:b w:val="0"/>
                <w:color w:val="auto"/>
                <w:sz w:val="21"/>
                <w:szCs w:val="21"/>
                <w:lang w:val="en-US" w:eastAsia="zh-CN"/>
              </w:rPr>
            </w:pPr>
            <w:r>
              <w:rPr>
                <w:rFonts w:hint="eastAsia" w:ascii="宋体" w:hAnsi="宋体" w:eastAsia="宋体" w:cs="宋体"/>
                <w:b w:val="0"/>
                <w:color w:val="auto"/>
                <w:sz w:val="21"/>
                <w:szCs w:val="21"/>
              </w:rPr>
              <w:t>ESG治理、气候变化及关键绩效指标披露进一步细化</w:t>
            </w:r>
          </w:p>
        </w:tc>
      </w:tr>
    </w:tbl>
    <w:p w14:paraId="35C02F80">
      <w:pPr>
        <w:bidi w:val="0"/>
        <w:rPr>
          <w:rFonts w:hint="eastAsia"/>
          <w:sz w:val="24"/>
          <w:szCs w:val="24"/>
          <w:lang w:val="en-US" w:eastAsia="zh-CN"/>
        </w:rPr>
      </w:pPr>
      <w:r>
        <w:rPr>
          <w:rFonts w:hint="eastAsia"/>
          <w:sz w:val="24"/>
          <w:szCs w:val="24"/>
          <w:lang w:val="en-US" w:eastAsia="zh-CN"/>
        </w:rPr>
        <w:t>资料来源：根据天原股份2021-2024年度社会责任及ESG报告</w:t>
      </w:r>
      <w:r>
        <w:rPr>
          <w:rFonts w:hint="eastAsia"/>
          <w:sz w:val="24"/>
          <w:szCs w:val="24"/>
          <w:vertAlign w:val="superscript"/>
          <w:lang w:val="en-US" w:eastAsia="zh-CN"/>
        </w:rPr>
        <w:fldChar w:fldCharType="begin"/>
      </w:r>
      <w:r>
        <w:rPr>
          <w:sz w:val="24"/>
          <w:szCs w:val="24"/>
        </w:rPr>
        <w:instrText xml:space="preserve"> REF _Ref9621 \r \h  \* MERGEFORMAT</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[11]</w:t>
      </w:r>
      <w:r>
        <w:rPr>
          <w:rFonts w:hint="eastAsia"/>
          <w:sz w:val="24"/>
          <w:szCs w:val="24"/>
          <w:vertAlign w:val="superscript"/>
          <w:lang w:val="en-US" w:eastAsia="zh-CN"/>
        </w:rPr>
        <w:fldChar w:fldCharType="end"/>
      </w:r>
      <w:r>
        <w:rPr>
          <w:rFonts w:hint="eastAsia"/>
          <w:sz w:val="24"/>
          <w:szCs w:val="24"/>
          <w:vertAlign w:val="superscript"/>
          <w:lang w:val="en-US" w:eastAsia="zh-CN"/>
        </w:rPr>
        <w:fldChar w:fldCharType="begin"/>
      </w:r>
      <w:r>
        <w:rPr>
          <w:sz w:val="24"/>
          <w:szCs w:val="24"/>
        </w:rPr>
        <w:instrText xml:space="preserve"> REF _Ref9644 \r \h  \* MERGEFORMAT</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[12]</w:t>
      </w:r>
      <w:r>
        <w:rPr>
          <w:rFonts w:hint="eastAsia"/>
          <w:sz w:val="24"/>
          <w:szCs w:val="24"/>
          <w:vertAlign w:val="superscript"/>
          <w:lang w:val="en-US" w:eastAsia="zh-CN"/>
        </w:rPr>
        <w:fldChar w:fldCharType="end"/>
      </w:r>
      <w:r>
        <w:rPr>
          <w:rFonts w:hint="eastAsia"/>
          <w:sz w:val="24"/>
          <w:szCs w:val="24"/>
          <w:vertAlign w:val="superscript"/>
          <w:lang w:val="en-US" w:eastAsia="zh-CN"/>
        </w:rPr>
        <w:fldChar w:fldCharType="begin"/>
      </w:r>
      <w:r>
        <w:rPr>
          <w:sz w:val="24"/>
          <w:szCs w:val="24"/>
        </w:rPr>
        <w:instrText xml:space="preserve"> REF _Ref9667 \r \h  \* MERGEFORMAT</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[13]</w:t>
      </w:r>
      <w:r>
        <w:rPr>
          <w:rFonts w:hint="eastAsia"/>
          <w:sz w:val="24"/>
          <w:szCs w:val="24"/>
          <w:vertAlign w:val="superscript"/>
          <w:lang w:val="en-US" w:eastAsia="zh-CN"/>
        </w:rPr>
        <w:fldChar w:fldCharType="end"/>
      </w:r>
      <w:r>
        <w:rPr>
          <w:rFonts w:hint="eastAsia"/>
          <w:sz w:val="24"/>
          <w:szCs w:val="24"/>
          <w:vertAlign w:val="superscript"/>
          <w:lang w:val="en-US" w:eastAsia="zh-CN"/>
        </w:rPr>
        <w:fldChar w:fldCharType="begin"/>
      </w:r>
      <w:r>
        <w:rPr>
          <w:sz w:val="24"/>
          <w:szCs w:val="24"/>
        </w:rPr>
        <w:instrText xml:space="preserve"> REF _Ref9585 \r \h  \* MERGEFORMAT</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[10]</w:t>
      </w:r>
      <w:r>
        <w:rPr>
          <w:rFonts w:hint="eastAsia"/>
          <w:sz w:val="24"/>
          <w:szCs w:val="24"/>
          <w:vertAlign w:val="superscript"/>
          <w:lang w:val="en-US" w:eastAsia="zh-CN"/>
        </w:rPr>
        <w:fldChar w:fldCharType="end"/>
      </w:r>
      <w:r>
        <w:rPr>
          <w:rFonts w:hint="eastAsia"/>
          <w:sz w:val="24"/>
          <w:szCs w:val="24"/>
          <w:lang w:val="en-US" w:eastAsia="zh-CN"/>
        </w:rPr>
        <w:t>整理。</w:t>
      </w:r>
    </w:p>
    <w:p w14:paraId="15259C25">
      <w:pPr>
        <w:pStyle w:val="4"/>
        <w:bidi w:val="0"/>
        <w:rPr>
          <w:rFonts w:hint="eastAsia" w:ascii="宋体" w:hAnsi="宋体" w:eastAsia="宋体" w:cs="宋体"/>
          <w:color w:val="auto"/>
        </w:rPr>
      </w:pPr>
      <w:bookmarkStart w:id="63" w:name="_Toc23740"/>
      <w:bookmarkStart w:id="64" w:name="_Toc12395"/>
      <w:bookmarkStart w:id="65" w:name="_Toc17736"/>
      <w:r>
        <w:rPr>
          <w:rFonts w:hint="eastAsia" w:ascii="宋体" w:hAnsi="宋体" w:eastAsia="宋体" w:cs="宋体"/>
          <w:color w:val="auto"/>
        </w:rPr>
        <w:t>披露渠道的规范性与时效性</w:t>
      </w:r>
      <w:bookmarkEnd w:id="63"/>
      <w:bookmarkEnd w:id="64"/>
      <w:bookmarkEnd w:id="65"/>
    </w:p>
    <w:p w14:paraId="24F81787">
      <w:pPr>
        <w:bidi w:val="0"/>
        <w:rPr>
          <w:rFonts w:hint="eastAsia" w:ascii="宋体" w:hAnsi="宋体" w:eastAsia="宋体" w:cs="宋体"/>
          <w:color w:val="auto"/>
        </w:rPr>
      </w:pPr>
      <w:r>
        <w:rPr>
          <w:rFonts w:hint="eastAsia" w:ascii="宋体" w:hAnsi="宋体" w:eastAsia="宋体" w:cs="宋体"/>
          <w:color w:val="auto"/>
        </w:rPr>
        <w:t>天原股份相关信息主要在巨潮资讯网、深圳证券交易所网站和公司官方网站等渠道公开。以2024年为例，年度报告在深圳证券交易所网站披露，并同步刊载于《中国证券报》《证券时报》和巨潮资讯网；公司董事会办公室也备置相关报告。2024年ESG报告单独发布，年度报告中的“社会责任情况”还引导投资者查阅巨潮资讯网上的《2024年社会责任报告暨环境、社会及治理（ESG）报告》</w:t>
      </w:r>
      <w:r>
        <w:rPr>
          <w:rFonts w:hint="default" w:ascii="宋体" w:hAnsi="宋体" w:eastAsia="宋体" w:cs="宋体"/>
          <w:color w:val="auto"/>
          <w:vertAlign w:val="superscript"/>
        </w:rPr>
        <w:fldChar w:fldCharType="begin"/>
      </w:r>
      <w:r>
        <w:instrText xml:space="preserve"> REF _Ref9585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[10]</w:t>
      </w:r>
      <w:r>
        <w:rPr>
          <w:rFonts w:hint="default" w:ascii="宋体" w:hAnsi="宋体" w:eastAsia="宋体" w:cs="宋体"/>
          <w:color w:val="auto"/>
          <w:vertAlign w:val="superscript"/>
        </w:rPr>
        <w:fldChar w:fldCharType="end"/>
      </w:r>
      <w:r>
        <w:rPr>
          <w:rFonts w:hint="default" w:ascii="宋体" w:hAnsi="宋体" w:eastAsia="宋体" w:cs="宋体"/>
          <w:color w:val="auto"/>
          <w:vertAlign w:val="superscript"/>
        </w:rPr>
        <w:fldChar w:fldCharType="begin"/>
      </w:r>
      <w:r>
        <w:instrText xml:space="preserve"> REF _Ref29585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[22]</w:t>
      </w:r>
      <w:r>
        <w:rPr>
          <w:rFonts w:hint="default" w:ascii="宋体" w:hAnsi="宋体" w:eastAsia="宋体" w:cs="宋体"/>
          <w:color w:val="auto"/>
          <w:vertAlign w:val="superscript"/>
        </w:rPr>
        <w:fldChar w:fldCharType="end"/>
      </w:r>
      <w:r>
        <w:rPr>
          <w:rFonts w:hint="eastAsia" w:ascii="宋体" w:hAnsi="宋体" w:eastAsia="宋体" w:cs="宋体"/>
          <w:color w:val="auto"/>
        </w:rPr>
        <w:t>。</w:t>
      </w:r>
    </w:p>
    <w:p w14:paraId="5F60D1F2">
      <w:pPr>
        <w:bidi w:val="0"/>
        <w:rPr>
          <w:rFonts w:hint="eastAsia" w:ascii="宋体" w:hAnsi="宋体" w:eastAsia="宋体" w:cs="宋体"/>
          <w:color w:val="auto"/>
        </w:rPr>
      </w:pPr>
      <w:r>
        <w:rPr>
          <w:rFonts w:hint="eastAsia" w:ascii="宋体" w:hAnsi="宋体" w:eastAsia="宋体" w:cs="宋体"/>
          <w:color w:val="auto"/>
        </w:rPr>
        <w:t>在不同披露载体中，年度ESG报告承担主要披露功能，年报、半年报等定期报告则用于补充相关信息。2025年半年度报告还对重大环境行政许可、污染防治设施运行等事项作了阶段性说明</w:t>
      </w:r>
      <w:r>
        <w:rPr>
          <w:rFonts w:hint="default" w:ascii="宋体" w:hAnsi="宋体" w:eastAsia="宋体" w:cs="宋体"/>
          <w:color w:val="auto"/>
          <w:vertAlign w:val="superscript"/>
        </w:rPr>
        <w:fldChar w:fldCharType="begin"/>
      </w:r>
      <w:r>
        <w:instrText xml:space="preserve"> REF _Ref9729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[14]</w:t>
      </w:r>
      <w:r>
        <w:rPr>
          <w:rFonts w:hint="default" w:ascii="宋体" w:hAnsi="宋体" w:eastAsia="宋体" w:cs="宋体"/>
          <w:color w:val="auto"/>
          <w:vertAlign w:val="superscript"/>
        </w:rPr>
        <w:fldChar w:fldCharType="end"/>
      </w:r>
      <w:r>
        <w:rPr>
          <w:rFonts w:hint="eastAsia" w:ascii="宋体" w:hAnsi="宋体" w:eastAsia="宋体" w:cs="宋体"/>
          <w:color w:val="auto"/>
        </w:rPr>
        <w:t>，对年度信息形成一定补充。</w:t>
      </w:r>
    </w:p>
    <w:p w14:paraId="3EE5AA28">
      <w:pPr>
        <w:pStyle w:val="4"/>
        <w:bidi w:val="0"/>
        <w:rPr>
          <w:rFonts w:hint="eastAsia" w:ascii="宋体" w:hAnsi="宋体" w:eastAsia="宋体" w:cs="宋体"/>
          <w:color w:val="auto"/>
        </w:rPr>
      </w:pPr>
      <w:bookmarkStart w:id="66" w:name="_Toc20433"/>
      <w:r>
        <w:rPr>
          <w:rFonts w:hint="eastAsia" w:ascii="宋体" w:hAnsi="宋体" w:eastAsia="宋体" w:cs="宋体"/>
          <w:color w:val="auto"/>
        </w:rPr>
        <w:t>披露载体的外部验证情况</w:t>
      </w:r>
      <w:bookmarkEnd w:id="66"/>
    </w:p>
    <w:p w14:paraId="57BDD04B">
      <w:pPr>
        <w:bidi w:val="0"/>
        <w:rPr>
          <w:rFonts w:hint="eastAsia" w:ascii="宋体" w:hAnsi="宋体" w:eastAsia="宋体" w:cs="宋体"/>
          <w:color w:val="auto"/>
        </w:rPr>
      </w:pPr>
      <w:r>
        <w:rPr>
          <w:rFonts w:hint="eastAsia" w:ascii="宋体" w:hAnsi="宋体" w:eastAsia="宋体" w:cs="宋体"/>
          <w:color w:val="auto"/>
        </w:rPr>
        <w:t>天原股份的ESG信息目前仍以企业内部组织编制和对外发布为主。2022-2024年社会责任暨ESG报告中，尚未见针对整份报告由独立第三方机构出具的鉴证声明</w:t>
      </w:r>
      <w:r>
        <w:rPr>
          <w:rFonts w:hint="default" w:ascii="宋体" w:hAnsi="宋体" w:eastAsia="宋体" w:cs="宋体"/>
          <w:color w:val="auto"/>
          <w:vertAlign w:val="superscript"/>
        </w:rPr>
        <w:fldChar w:fldCharType="begin"/>
      </w:r>
      <w:r>
        <w:instrText xml:space="preserve"> REF _Ref9644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[12]</w:t>
      </w:r>
      <w:r>
        <w:rPr>
          <w:rFonts w:hint="default" w:ascii="宋体" w:hAnsi="宋体" w:eastAsia="宋体" w:cs="宋体"/>
          <w:color w:val="auto"/>
          <w:vertAlign w:val="superscript"/>
        </w:rPr>
        <w:fldChar w:fldCharType="end"/>
      </w:r>
      <w:r>
        <w:rPr>
          <w:rFonts w:hint="default" w:ascii="宋体" w:hAnsi="宋体" w:eastAsia="宋体" w:cs="宋体"/>
          <w:color w:val="auto"/>
          <w:vertAlign w:val="superscript"/>
        </w:rPr>
        <w:fldChar w:fldCharType="begin"/>
      </w:r>
      <w:r>
        <w:instrText xml:space="preserve"> REF _Ref9667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[13]</w:t>
      </w:r>
      <w:r>
        <w:rPr>
          <w:rFonts w:hint="default" w:ascii="宋体" w:hAnsi="宋体" w:eastAsia="宋体" w:cs="宋体"/>
          <w:color w:val="auto"/>
          <w:vertAlign w:val="superscript"/>
        </w:rPr>
        <w:fldChar w:fldCharType="end"/>
      </w:r>
      <w:r>
        <w:rPr>
          <w:rFonts w:hint="default" w:ascii="宋体" w:hAnsi="宋体" w:eastAsia="宋体" w:cs="宋体"/>
          <w:color w:val="auto"/>
          <w:vertAlign w:val="superscript"/>
        </w:rPr>
        <w:fldChar w:fldCharType="begin"/>
      </w:r>
      <w:r>
        <w:instrText xml:space="preserve"> REF _Ref9585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[10]</w:t>
      </w:r>
      <w:r>
        <w:rPr>
          <w:rFonts w:hint="default" w:ascii="宋体" w:hAnsi="宋体" w:eastAsia="宋体" w:cs="宋体"/>
          <w:color w:val="auto"/>
          <w:vertAlign w:val="superscript"/>
        </w:rPr>
        <w:fldChar w:fldCharType="end"/>
      </w:r>
      <w:r>
        <w:rPr>
          <w:rFonts w:hint="eastAsia" w:ascii="宋体" w:hAnsi="宋体" w:eastAsia="宋体" w:cs="宋体"/>
          <w:color w:val="auto"/>
        </w:rPr>
        <w:t>。报告涉及的环境管理体系认证、外部复审等第三方活动，主要针对具体管理体系或专项事项</w:t>
      </w:r>
      <w:r>
        <w:rPr>
          <w:rFonts w:hint="default" w:ascii="宋体" w:hAnsi="宋体" w:eastAsia="宋体" w:cs="宋体"/>
          <w:color w:val="auto"/>
          <w:vertAlign w:val="superscript"/>
        </w:rPr>
        <w:fldChar w:fldCharType="begin"/>
      </w:r>
      <w:r>
        <w:instrText xml:space="preserve"> REF _Ref9644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[12]</w:t>
      </w:r>
      <w:r>
        <w:rPr>
          <w:rFonts w:hint="default" w:ascii="宋体" w:hAnsi="宋体" w:eastAsia="宋体" w:cs="宋体"/>
          <w:color w:val="auto"/>
          <w:vertAlign w:val="superscript"/>
        </w:rPr>
        <w:fldChar w:fldCharType="end"/>
      </w:r>
      <w:r>
        <w:rPr>
          <w:rFonts w:hint="default" w:ascii="宋体" w:hAnsi="宋体" w:eastAsia="宋体" w:cs="宋体"/>
          <w:color w:val="auto"/>
          <w:vertAlign w:val="superscript"/>
        </w:rPr>
        <w:fldChar w:fldCharType="begin"/>
      </w:r>
      <w:r>
        <w:instrText xml:space="preserve"> REF _Ref9667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[13]</w:t>
      </w:r>
      <w:r>
        <w:rPr>
          <w:rFonts w:hint="default" w:ascii="宋体" w:hAnsi="宋体" w:eastAsia="宋体" w:cs="宋体"/>
          <w:color w:val="auto"/>
          <w:vertAlign w:val="superscript"/>
        </w:rPr>
        <w:fldChar w:fldCharType="end"/>
      </w:r>
      <w:r>
        <w:rPr>
          <w:rFonts w:hint="default" w:ascii="宋体" w:hAnsi="宋体" w:eastAsia="宋体" w:cs="宋体"/>
          <w:color w:val="auto"/>
          <w:vertAlign w:val="superscript"/>
        </w:rPr>
        <w:fldChar w:fldCharType="begin"/>
      </w:r>
      <w:r>
        <w:instrText xml:space="preserve"> REF _Ref9585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[10]</w:t>
      </w:r>
      <w:r>
        <w:rPr>
          <w:rFonts w:hint="default" w:ascii="宋体" w:hAnsi="宋体" w:eastAsia="宋体" w:cs="宋体"/>
          <w:color w:val="auto"/>
          <w:vertAlign w:val="superscript"/>
        </w:rPr>
        <w:fldChar w:fldCharType="end"/>
      </w:r>
      <w:r>
        <w:rPr>
          <w:rFonts w:hint="eastAsia" w:cs="宋体"/>
          <w:color w:val="auto"/>
          <w:lang w:eastAsia="zh-CN"/>
        </w:rPr>
        <w:t>。</w:t>
      </w:r>
    </w:p>
    <w:p w14:paraId="474F2769">
      <w:pPr>
        <w:pStyle w:val="3"/>
        <w:bidi w:val="0"/>
        <w:rPr>
          <w:rFonts w:hint="eastAsia" w:ascii="宋体" w:hAnsi="宋体" w:eastAsia="宋体" w:cs="宋体"/>
          <w:color w:val="auto"/>
          <w:highlight w:val="none"/>
        </w:rPr>
      </w:pPr>
      <w:bookmarkStart w:id="67" w:name="_Toc5439"/>
      <w:bookmarkStart w:id="68" w:name="_Toc4386"/>
      <w:bookmarkStart w:id="69" w:name="_Toc8474"/>
      <w:r>
        <w:rPr>
          <w:rFonts w:hint="eastAsia" w:ascii="宋体" w:hAnsi="宋体" w:eastAsia="宋体" w:cs="宋体"/>
          <w:color w:val="auto"/>
          <w:highlight w:val="none"/>
        </w:rPr>
        <w:t>ESG信息披露的具体内容分析</w:t>
      </w:r>
      <w:bookmarkEnd w:id="67"/>
      <w:bookmarkEnd w:id="68"/>
      <w:bookmarkEnd w:id="69"/>
    </w:p>
    <w:p w14:paraId="3F96958D">
      <w:pPr>
        <w:pStyle w:val="4"/>
        <w:bidi w:val="0"/>
        <w:rPr>
          <w:rFonts w:hint="eastAsia" w:ascii="宋体" w:hAnsi="宋体" w:eastAsia="宋体" w:cs="宋体"/>
          <w:color w:val="auto"/>
        </w:rPr>
      </w:pPr>
      <w:bookmarkStart w:id="70" w:name="_Toc9807"/>
      <w:bookmarkStart w:id="71" w:name="_Toc6414"/>
      <w:bookmarkStart w:id="72" w:name="_Toc8384"/>
      <w:r>
        <w:rPr>
          <w:rFonts w:hint="eastAsia" w:ascii="宋体" w:hAnsi="宋体" w:eastAsia="宋体" w:cs="宋体"/>
          <w:color w:val="auto"/>
        </w:rPr>
        <w:t>环境（E）维度：</w:t>
      </w:r>
      <w:bookmarkEnd w:id="70"/>
      <w:bookmarkEnd w:id="71"/>
      <w:r>
        <w:rPr>
          <w:rFonts w:hint="eastAsia" w:ascii="宋体" w:hAnsi="宋体" w:eastAsia="宋体" w:cs="宋体"/>
          <w:color w:val="auto"/>
        </w:rPr>
        <w:t>绿色转型相关信息披露</w:t>
      </w:r>
      <w:bookmarkEnd w:id="72"/>
    </w:p>
    <w:p w14:paraId="276B7CF1">
      <w:pPr>
        <w:bidi w:val="0"/>
        <w:rPr>
          <w:rFonts w:hint="eastAsia" w:ascii="宋体" w:hAnsi="宋体" w:eastAsia="宋体" w:cs="宋体"/>
          <w:color w:val="auto"/>
          <w:lang w:eastAsia="zh-CN"/>
        </w:rPr>
      </w:pPr>
      <w:r>
        <w:rPr>
          <w:rFonts w:hint="eastAsia" w:ascii="宋体" w:hAnsi="宋体" w:eastAsia="宋体" w:cs="宋体"/>
          <w:color w:val="auto"/>
        </w:rPr>
        <w:t>天原股份的环境信息披露已经涉及环保投入、能源消耗、温室气体排放、污染物排放和绿色制造等内容。以2024年披露数据为例，公司环保总投入为10160万元，综合能源消耗总量为80.30万吨标准煤；范围一直接温室气体排放量为152.38万吨二氧化碳当量，范围二间接温室气体排放量为153.43万吨二氧化碳当量，温室气体排放总量为305.81万吨二氧化碳当量</w:t>
      </w:r>
      <w:r>
        <w:rPr>
          <w:rFonts w:hint="default" w:ascii="宋体" w:hAnsi="宋体" w:eastAsia="宋体" w:cs="宋体"/>
          <w:color w:val="auto"/>
          <w:vertAlign w:val="superscript"/>
        </w:rPr>
        <w:fldChar w:fldCharType="begin"/>
      </w:r>
      <w:r>
        <w:instrText xml:space="preserve"> REF _Ref9585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[10]</w:t>
      </w:r>
      <w:r>
        <w:rPr>
          <w:rFonts w:hint="default" w:ascii="宋体" w:hAnsi="宋体" w:eastAsia="宋体" w:cs="宋体"/>
          <w:color w:val="auto"/>
          <w:vertAlign w:val="superscript"/>
        </w:rPr>
        <w:fldChar w:fldCharType="end"/>
      </w:r>
      <w:r>
        <w:rPr>
          <w:rFonts w:hint="eastAsia" w:ascii="宋体" w:hAnsi="宋体" w:eastAsia="宋体" w:cs="宋体"/>
          <w:color w:val="auto"/>
        </w:rPr>
        <w:t>。2022-2024年公开披露的社会责任及ESG报告中，尚未见范围三温室气体排放数据</w:t>
      </w:r>
      <w:r>
        <w:rPr>
          <w:rFonts w:hint="default" w:ascii="宋体" w:hAnsi="宋体" w:eastAsia="宋体" w:cs="宋体"/>
          <w:color w:val="auto"/>
          <w:vertAlign w:val="superscript"/>
        </w:rPr>
        <w:fldChar w:fldCharType="begin"/>
      </w:r>
      <w:r>
        <w:instrText xml:space="preserve"> REF _Ref9644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[12]</w:t>
      </w:r>
      <w:r>
        <w:rPr>
          <w:rFonts w:hint="default" w:ascii="宋体" w:hAnsi="宋体" w:eastAsia="宋体" w:cs="宋体"/>
          <w:color w:val="auto"/>
          <w:vertAlign w:val="superscript"/>
        </w:rPr>
        <w:fldChar w:fldCharType="end"/>
      </w:r>
      <w:r>
        <w:rPr>
          <w:rFonts w:hint="default" w:ascii="宋体" w:hAnsi="宋体" w:eastAsia="宋体" w:cs="宋体"/>
          <w:color w:val="auto"/>
          <w:vertAlign w:val="superscript"/>
        </w:rPr>
        <w:fldChar w:fldCharType="begin"/>
      </w:r>
      <w:r>
        <w:instrText xml:space="preserve"> REF _Ref9667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[13]</w:t>
      </w:r>
      <w:r>
        <w:rPr>
          <w:rFonts w:hint="default" w:ascii="宋体" w:hAnsi="宋体" w:eastAsia="宋体" w:cs="宋体"/>
          <w:color w:val="auto"/>
          <w:vertAlign w:val="superscript"/>
        </w:rPr>
        <w:fldChar w:fldCharType="end"/>
      </w:r>
      <w:r>
        <w:rPr>
          <w:rFonts w:hint="default" w:ascii="宋体" w:hAnsi="宋体" w:eastAsia="宋体" w:cs="宋体"/>
          <w:color w:val="auto"/>
          <w:vertAlign w:val="superscript"/>
        </w:rPr>
        <w:fldChar w:fldCharType="begin"/>
      </w:r>
      <w:r>
        <w:instrText xml:space="preserve"> REF _Ref9585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[10]</w:t>
      </w:r>
      <w:r>
        <w:rPr>
          <w:rFonts w:hint="default" w:ascii="宋体" w:hAnsi="宋体" w:eastAsia="宋体" w:cs="宋体"/>
          <w:color w:val="auto"/>
          <w:vertAlign w:val="superscript"/>
        </w:rPr>
        <w:fldChar w:fldCharType="end"/>
      </w:r>
      <w:r>
        <w:rPr>
          <w:rFonts w:hint="eastAsia" w:cs="宋体"/>
          <w:color w:val="auto"/>
          <w:lang w:eastAsia="zh-CN"/>
        </w:rPr>
        <w:t>。</w:t>
      </w:r>
    </w:p>
    <w:p w14:paraId="22CAFE5C">
      <w:pPr>
        <w:bidi w:val="0"/>
        <w:rPr>
          <w:rFonts w:hint="eastAsia" w:ascii="宋体" w:hAnsi="宋体" w:eastAsia="宋体" w:cs="宋体"/>
          <w:color w:val="auto"/>
        </w:rPr>
      </w:pPr>
      <w:r>
        <w:rPr>
          <w:rFonts w:hint="eastAsia" w:ascii="宋体" w:hAnsi="宋体" w:eastAsia="宋体" w:cs="宋体"/>
          <w:color w:val="auto"/>
        </w:rPr>
        <w:t>2022-2023年相关报告也披露了环保投入、能源消耗及部分碳排放指标</w:t>
      </w:r>
      <w:r>
        <w:rPr>
          <w:rFonts w:hint="default" w:ascii="宋体" w:hAnsi="宋体" w:eastAsia="宋体" w:cs="宋体"/>
          <w:color w:val="auto"/>
          <w:vertAlign w:val="superscript"/>
        </w:rPr>
        <w:fldChar w:fldCharType="begin"/>
      </w:r>
      <w:r>
        <w:instrText xml:space="preserve"> REF _Ref9644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[12]</w:t>
      </w:r>
      <w:r>
        <w:rPr>
          <w:rFonts w:hint="default" w:ascii="宋体" w:hAnsi="宋体" w:eastAsia="宋体" w:cs="宋体"/>
          <w:color w:val="auto"/>
          <w:vertAlign w:val="superscript"/>
        </w:rPr>
        <w:fldChar w:fldCharType="end"/>
      </w:r>
      <w:r>
        <w:rPr>
          <w:rFonts w:hint="default" w:ascii="宋体" w:hAnsi="宋体" w:eastAsia="宋体" w:cs="宋体"/>
          <w:color w:val="auto"/>
          <w:vertAlign w:val="superscript"/>
        </w:rPr>
        <w:fldChar w:fldCharType="begin"/>
      </w:r>
      <w:r>
        <w:instrText xml:space="preserve"> REF _Ref9667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[13]</w:t>
      </w:r>
      <w:r>
        <w:rPr>
          <w:rFonts w:hint="default" w:ascii="宋体" w:hAnsi="宋体" w:eastAsia="宋体" w:cs="宋体"/>
          <w:color w:val="auto"/>
          <w:vertAlign w:val="superscript"/>
        </w:rPr>
        <w:fldChar w:fldCharType="end"/>
      </w:r>
      <w:r>
        <w:rPr>
          <w:rFonts w:hint="eastAsia" w:ascii="宋体" w:hAnsi="宋体" w:eastAsia="宋体" w:cs="宋体"/>
          <w:color w:val="auto"/>
        </w:rPr>
        <w:t>。不过，各年度在披露完整性和统计范围上并不完全一致，本节先列出公司已公开的主要环境信息，跨期变化则在后文“三（四）关键ESG指标的跨期变化分析”中比较。</w:t>
      </w:r>
    </w:p>
    <w:p w14:paraId="68A9C48A">
      <w:pPr>
        <w:pStyle w:val="4"/>
        <w:bidi w:val="0"/>
        <w:rPr>
          <w:rFonts w:hint="eastAsia" w:ascii="宋体" w:hAnsi="宋体" w:eastAsia="宋体" w:cs="宋体"/>
          <w:color w:val="auto"/>
        </w:rPr>
      </w:pPr>
      <w:bookmarkStart w:id="73" w:name="_Toc391"/>
      <w:bookmarkStart w:id="74" w:name="_Toc4544"/>
      <w:bookmarkStart w:id="75" w:name="_Toc22221"/>
      <w:r>
        <w:rPr>
          <w:rFonts w:hint="eastAsia" w:ascii="宋体" w:hAnsi="宋体" w:eastAsia="宋体" w:cs="宋体"/>
          <w:color w:val="auto"/>
        </w:rPr>
        <w:t>社会（S）维度：</w:t>
      </w:r>
      <w:bookmarkEnd w:id="73"/>
      <w:bookmarkEnd w:id="74"/>
      <w:r>
        <w:rPr>
          <w:rFonts w:hint="eastAsia" w:ascii="宋体" w:hAnsi="宋体" w:eastAsia="宋体" w:cs="宋体"/>
          <w:color w:val="auto"/>
        </w:rPr>
        <w:t>安全生产与社会责任披露</w:t>
      </w:r>
      <w:bookmarkEnd w:id="75"/>
    </w:p>
    <w:p w14:paraId="071FEEA5">
      <w:pPr>
        <w:bidi w:val="0"/>
        <w:rPr>
          <w:rFonts w:hint="eastAsia" w:ascii="宋体" w:hAnsi="宋体" w:eastAsia="宋体" w:cs="宋体"/>
          <w:color w:val="auto"/>
          <w:lang w:eastAsia="zh-CN"/>
        </w:rPr>
      </w:pPr>
      <w:r>
        <w:rPr>
          <w:rFonts w:hint="eastAsia" w:ascii="宋体" w:hAnsi="宋体" w:eastAsia="宋体" w:cs="宋体"/>
          <w:color w:val="auto"/>
        </w:rPr>
        <w:t>社会维度的信息主要涉及安全生产、职业健康、员工管理和公益慈善等方面。2024年，公司安全生产总投入为5161.37万元，因工死亡员工人数为0人，职业病发生率为0%</w:t>
      </w:r>
      <w:r>
        <w:rPr>
          <w:rFonts w:hint="default" w:ascii="宋体" w:hAnsi="宋体" w:eastAsia="宋体" w:cs="宋体"/>
          <w:color w:val="auto"/>
          <w:vertAlign w:val="superscript"/>
        </w:rPr>
        <w:fldChar w:fldCharType="begin"/>
      </w:r>
      <w:r>
        <w:instrText xml:space="preserve"> REF _Ref9585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[10]</w:t>
      </w:r>
      <w:r>
        <w:rPr>
          <w:rFonts w:hint="default" w:ascii="宋体" w:hAnsi="宋体" w:eastAsia="宋体" w:cs="宋体"/>
          <w:color w:val="auto"/>
          <w:vertAlign w:val="superscript"/>
        </w:rPr>
        <w:fldChar w:fldCharType="end"/>
      </w:r>
      <w:r>
        <w:rPr>
          <w:rFonts w:hint="eastAsia" w:ascii="宋体" w:hAnsi="宋体" w:eastAsia="宋体" w:cs="宋体"/>
          <w:color w:val="auto"/>
        </w:rPr>
        <w:t>。公司共有5464</w:t>
      </w:r>
      <w:r>
        <w:rPr>
          <w:rFonts w:hint="eastAsia" w:cs="宋体"/>
          <w:color w:val="auto"/>
          <w:lang w:val="en-US" w:eastAsia="zh-CN"/>
        </w:rPr>
        <w:t>名员工</w:t>
      </w:r>
      <w:r>
        <w:rPr>
          <w:rFonts w:hint="eastAsia" w:ascii="宋体" w:hAnsi="宋体" w:eastAsia="宋体" w:cs="宋体"/>
          <w:color w:val="auto"/>
        </w:rPr>
        <w:t>，全年培训总学时为29642小时；公益慈善捐赠总投入为149.48万元</w:t>
      </w:r>
      <w:r>
        <w:rPr>
          <w:rFonts w:hint="eastAsia" w:ascii="宋体" w:hAnsi="宋体" w:eastAsia="宋体" w:cs="宋体"/>
          <w:color w:val="auto"/>
          <w:vertAlign w:val="superscript"/>
        </w:rPr>
        <w:fldChar w:fldCharType="begin"/>
      </w:r>
      <w:r>
        <w:rPr>
          <w:rFonts w:hint="eastAsia" w:ascii="宋体" w:hAnsi="宋体" w:eastAsia="宋体" w:cs="宋体"/>
          <w:color w:val="auto"/>
          <w:vertAlign w:val="superscript"/>
        </w:rPr>
        <w:instrText xml:space="preserve"> REF _Ref9585 \r \h  \* MERGEFORMAT</w:instrText>
      </w:r>
      <w:r>
        <w:rPr>
          <w:rFonts w:hint="eastAsia" w:ascii="宋体" w:hAnsi="宋体" w:eastAsia="宋体" w:cs="宋体"/>
          <w:color w:val="auto"/>
          <w:vertAlign w:val="superscript"/>
        </w:rPr>
        <w:fldChar w:fldCharType="separate"/>
      </w:r>
      <w:r>
        <w:rPr>
          <w:rFonts w:hint="eastAsia" w:ascii="宋体" w:hAnsi="宋体" w:eastAsia="宋体" w:cs="宋体"/>
          <w:color w:val="auto"/>
          <w:vertAlign w:val="superscript"/>
        </w:rPr>
        <w:t>[10]</w:t>
      </w:r>
      <w:r>
        <w:rPr>
          <w:rFonts w:hint="eastAsia" w:ascii="宋体" w:hAnsi="宋体" w:eastAsia="宋体" w:cs="宋体"/>
          <w:color w:val="auto"/>
          <w:vertAlign w:val="superscript"/>
        </w:rPr>
        <w:fldChar w:fldCharType="end"/>
      </w:r>
      <w:r>
        <w:rPr>
          <w:rFonts w:hint="eastAsia" w:cs="宋体"/>
          <w:color w:val="auto"/>
          <w:lang w:eastAsia="zh-CN"/>
        </w:rPr>
        <w:t>。</w:t>
      </w:r>
    </w:p>
    <w:p w14:paraId="626DF065">
      <w:pPr>
        <w:pStyle w:val="4"/>
        <w:bidi w:val="0"/>
        <w:rPr>
          <w:rFonts w:hint="eastAsia" w:ascii="宋体" w:hAnsi="宋体" w:eastAsia="宋体" w:cs="宋体"/>
          <w:color w:val="auto"/>
        </w:rPr>
      </w:pPr>
      <w:bookmarkStart w:id="76" w:name="_Toc20619"/>
      <w:bookmarkStart w:id="77" w:name="_Toc21368"/>
      <w:bookmarkStart w:id="78" w:name="_Toc10019"/>
      <w:r>
        <w:rPr>
          <w:rFonts w:hint="eastAsia" w:ascii="宋体" w:hAnsi="宋体" w:eastAsia="宋体" w:cs="宋体"/>
          <w:color w:val="auto"/>
        </w:rPr>
        <w:t>治理（G）维度：</w:t>
      </w:r>
      <w:bookmarkEnd w:id="76"/>
      <w:bookmarkEnd w:id="77"/>
      <w:r>
        <w:rPr>
          <w:rFonts w:hint="eastAsia" w:ascii="宋体" w:hAnsi="宋体" w:eastAsia="宋体" w:cs="宋体"/>
          <w:color w:val="auto"/>
        </w:rPr>
        <w:t>党建引领与合规内控披露</w:t>
      </w:r>
      <w:bookmarkEnd w:id="78"/>
    </w:p>
    <w:p w14:paraId="3E10F1D2">
      <w:pPr>
        <w:bidi w:val="0"/>
        <w:rPr>
          <w:rFonts w:hint="eastAsia" w:ascii="宋体" w:hAnsi="宋体" w:eastAsia="宋体" w:cs="宋体"/>
          <w:color w:val="auto"/>
        </w:rPr>
      </w:pPr>
      <w:r>
        <w:rPr>
          <w:rFonts w:hint="eastAsia" w:ascii="宋体" w:hAnsi="宋体" w:eastAsia="宋体" w:cs="宋体"/>
          <w:color w:val="auto"/>
        </w:rPr>
        <w:t>天原股份治理维度的披露主要涉及党建治理、董事会运行、风险合规和廉洁监督。2021年报告已涉及董事会及专门委员会运行、风险管理和廉洁从业机制等内容</w:t>
      </w:r>
      <w:r>
        <w:rPr>
          <w:rFonts w:hint="default" w:ascii="宋体" w:hAnsi="宋体" w:eastAsia="宋体" w:cs="宋体"/>
          <w:color w:val="auto"/>
          <w:vertAlign w:val="superscript"/>
        </w:rPr>
        <w:fldChar w:fldCharType="begin"/>
      </w:r>
      <w:r>
        <w:instrText xml:space="preserve"> REF _Ref9621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[11]</w:t>
      </w:r>
      <w:r>
        <w:rPr>
          <w:rFonts w:hint="default" w:ascii="宋体" w:hAnsi="宋体" w:eastAsia="宋体" w:cs="宋体"/>
          <w:color w:val="auto"/>
          <w:vertAlign w:val="superscript"/>
        </w:rPr>
        <w:fldChar w:fldCharType="end"/>
      </w:r>
      <w:r>
        <w:rPr>
          <w:rFonts w:hint="eastAsia" w:ascii="宋体" w:hAnsi="宋体" w:eastAsia="宋体" w:cs="宋体"/>
          <w:color w:val="auto"/>
        </w:rPr>
        <w:t>；2022年进一步列明战略与风险委员会、审计委员会、提名与考核委员会和财务预算委员会等设置，并继续披露反腐败及举报渠道建设情况</w:t>
      </w:r>
      <w:r>
        <w:rPr>
          <w:rFonts w:hint="default" w:ascii="宋体" w:hAnsi="宋体" w:eastAsia="宋体" w:cs="宋体"/>
          <w:color w:val="auto"/>
          <w:vertAlign w:val="superscript"/>
        </w:rPr>
        <w:fldChar w:fldCharType="begin"/>
      </w:r>
      <w:r>
        <w:instrText xml:space="preserve"> REF _Ref9644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[12]</w:t>
      </w:r>
      <w:r>
        <w:rPr>
          <w:rFonts w:hint="default" w:ascii="宋体" w:hAnsi="宋体" w:eastAsia="宋体" w:cs="宋体"/>
          <w:color w:val="auto"/>
          <w:vertAlign w:val="superscript"/>
        </w:rPr>
        <w:fldChar w:fldCharType="end"/>
      </w:r>
      <w:r>
        <w:rPr>
          <w:rFonts w:hint="eastAsia" w:ascii="宋体" w:hAnsi="宋体" w:eastAsia="宋体" w:cs="宋体"/>
          <w:color w:val="auto"/>
        </w:rPr>
        <w:t>。</w:t>
      </w:r>
    </w:p>
    <w:p w14:paraId="6B217BB3">
      <w:pPr>
        <w:bidi w:val="0"/>
        <w:rPr>
          <w:rFonts w:hint="eastAsia" w:ascii="宋体" w:hAnsi="宋体" w:eastAsia="宋体" w:cs="宋体"/>
          <w:color w:val="auto"/>
        </w:rPr>
      </w:pPr>
      <w:r>
        <w:rPr>
          <w:rFonts w:hint="eastAsia" w:ascii="宋体" w:hAnsi="宋体" w:eastAsia="宋体" w:cs="宋体"/>
          <w:color w:val="auto"/>
        </w:rPr>
        <w:t>进入2023-2024年，治理信息更多集中在“清廉天原”、综合监督、廉洁管理和举报渠道等方面</w:t>
      </w:r>
      <w:r>
        <w:rPr>
          <w:rFonts w:hint="eastAsia" w:ascii="宋体" w:hAnsi="宋体" w:eastAsia="宋体" w:cs="宋体"/>
          <w:color w:val="auto"/>
          <w:vertAlign w:val="superscript"/>
        </w:rPr>
        <w:fldChar w:fldCharType="begin"/>
      </w:r>
      <w:r>
        <w:instrText xml:space="preserve"> REF _Ref9667 \r \h  \* MERGEFORMAT</w:instrText>
      </w:r>
      <w:r>
        <w:rPr>
          <w:rFonts w:hint="eastAsia" w:ascii="宋体" w:hAnsi="宋体" w:eastAsia="宋体" w:cs="宋体"/>
          <w:color w:val="auto"/>
          <w:vertAlign w:val="superscript"/>
        </w:rPr>
        <w:fldChar w:fldCharType="separate"/>
      </w:r>
      <w:r>
        <w:rPr>
          <w:rFonts w:hint="eastAsia" w:ascii="宋体" w:hAnsi="宋体" w:eastAsia="宋体" w:cs="宋体"/>
          <w:color w:val="auto"/>
          <w:vertAlign w:val="superscript"/>
        </w:rPr>
        <w:t>[13]</w:t>
      </w:r>
      <w:r>
        <w:rPr>
          <w:rFonts w:hint="eastAsia" w:ascii="宋体" w:hAnsi="宋体" w:eastAsia="宋体" w:cs="宋体"/>
          <w:color w:val="auto"/>
          <w:vertAlign w:val="superscript"/>
        </w:rPr>
        <w:fldChar w:fldCharType="end"/>
      </w:r>
      <w:r>
        <w:rPr>
          <w:rFonts w:hint="default" w:ascii="宋体" w:hAnsi="宋体" w:eastAsia="宋体" w:cs="宋体"/>
          <w:color w:val="auto"/>
          <w:vertAlign w:val="superscript"/>
        </w:rPr>
        <w:fldChar w:fldCharType="begin"/>
      </w:r>
      <w:r>
        <w:instrText xml:space="preserve"> REF _Ref9585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[10]</w:t>
      </w:r>
      <w:r>
        <w:rPr>
          <w:rFonts w:hint="default" w:ascii="宋体" w:hAnsi="宋体" w:eastAsia="宋体" w:cs="宋体"/>
          <w:color w:val="auto"/>
          <w:vertAlign w:val="superscript"/>
        </w:rPr>
        <w:fldChar w:fldCharType="end"/>
      </w:r>
      <w:r>
        <w:rPr>
          <w:rFonts w:hint="eastAsia" w:ascii="宋体" w:hAnsi="宋体" w:eastAsia="宋体" w:cs="宋体"/>
          <w:color w:val="auto"/>
        </w:rPr>
        <w:t>。2023年报告说明员工及相关方可通过电话、官网平台、网络平台和举报箱等渠道反映问题；2024年则继续披露廉洁制度、内部审计以及“六位一体”综合监督体系等内容</w:t>
      </w:r>
      <w:r>
        <w:rPr>
          <w:rFonts w:hint="eastAsia" w:ascii="宋体" w:hAnsi="宋体" w:eastAsia="宋体" w:cs="宋体"/>
          <w:color w:val="auto"/>
          <w:vertAlign w:val="superscript"/>
        </w:rPr>
        <w:fldChar w:fldCharType="begin"/>
      </w:r>
      <w:r>
        <w:instrText xml:space="preserve"> REF _Ref9667 \r \h  \* MERGEFORMAT</w:instrText>
      </w:r>
      <w:r>
        <w:rPr>
          <w:rFonts w:hint="eastAsia" w:ascii="宋体" w:hAnsi="宋体" w:eastAsia="宋体" w:cs="宋体"/>
          <w:color w:val="auto"/>
          <w:vertAlign w:val="superscript"/>
        </w:rPr>
        <w:fldChar w:fldCharType="separate"/>
      </w:r>
      <w:r>
        <w:rPr>
          <w:rFonts w:hint="eastAsia" w:ascii="宋体" w:hAnsi="宋体" w:eastAsia="宋体" w:cs="宋体"/>
          <w:color w:val="auto"/>
          <w:vertAlign w:val="superscript"/>
        </w:rPr>
        <w:t>[13]</w:t>
      </w:r>
      <w:r>
        <w:rPr>
          <w:rFonts w:hint="eastAsia" w:ascii="宋体" w:hAnsi="宋体" w:eastAsia="宋体" w:cs="宋体"/>
          <w:color w:val="auto"/>
          <w:vertAlign w:val="superscript"/>
        </w:rPr>
        <w:fldChar w:fldCharType="end"/>
      </w:r>
      <w:r>
        <w:rPr>
          <w:rFonts w:hint="default" w:ascii="宋体" w:hAnsi="宋体" w:eastAsia="宋体" w:cs="宋体"/>
          <w:color w:val="auto"/>
          <w:vertAlign w:val="superscript"/>
        </w:rPr>
        <w:fldChar w:fldCharType="begin"/>
      </w:r>
      <w:r>
        <w:instrText xml:space="preserve"> REF _Ref9585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[10]</w:t>
      </w:r>
      <w:r>
        <w:rPr>
          <w:rFonts w:hint="default" w:ascii="宋体" w:hAnsi="宋体" w:eastAsia="宋体" w:cs="宋体"/>
          <w:color w:val="auto"/>
          <w:vertAlign w:val="superscript"/>
        </w:rPr>
        <w:fldChar w:fldCharType="end"/>
      </w:r>
      <w:r>
        <w:rPr>
          <w:rFonts w:hint="eastAsia" w:ascii="宋体" w:hAnsi="宋体" w:eastAsia="宋体" w:cs="宋体"/>
          <w:color w:val="auto"/>
        </w:rPr>
        <w:t>。</w:t>
      </w:r>
    </w:p>
    <w:p w14:paraId="353851F3">
      <w:pPr>
        <w:pStyle w:val="3"/>
        <w:bidi w:val="0"/>
        <w:rPr>
          <w:rFonts w:hint="eastAsia"/>
        </w:rPr>
      </w:pPr>
      <w:bookmarkStart w:id="79" w:name="_Toc10782"/>
      <w:r>
        <w:rPr>
          <w:rFonts w:hint="eastAsia"/>
        </w:rPr>
        <w:t>关键ESG指标的跨期变化分析</w:t>
      </w:r>
      <w:bookmarkEnd w:id="79"/>
    </w:p>
    <w:p w14:paraId="4BB5BB65">
      <w:pPr>
        <w:pStyle w:val="4"/>
        <w:bidi w:val="0"/>
        <w:rPr>
          <w:rFonts w:hint="eastAsia"/>
        </w:rPr>
      </w:pPr>
      <w:bookmarkStart w:id="80" w:name="_Toc8938"/>
      <w:r>
        <w:rPr>
          <w:rFonts w:hint="eastAsia"/>
        </w:rPr>
        <w:t>环保投入及其财务比率变化</w:t>
      </w:r>
      <w:bookmarkEnd w:id="80"/>
    </w:p>
    <w:p w14:paraId="6A49EB6B">
      <w:pPr>
        <w:rPr>
          <w:rFonts w:hint="eastAsia"/>
        </w:rPr>
      </w:pPr>
      <w:r>
        <w:rPr>
          <w:rFonts w:hint="eastAsia"/>
        </w:rPr>
        <w:t>为观察环保投入与企业经营规模、资产规模之间的关系，对比2022-2024年环保投入、营业收入和总资产，并计算环保投入占营业收入和总资产的比重</w:t>
      </w:r>
      <w:r>
        <w:rPr>
          <w:rFonts w:hint="default"/>
          <w:vertAlign w:val="superscript"/>
        </w:rPr>
        <w:fldChar w:fldCharType="begin"/>
      </w:r>
      <w:r>
        <w:instrText xml:space="preserve"> REF _Ref21546 \r \h  \* MERGEFORMAT</w:instrText>
      </w:r>
      <w:r>
        <w:rPr>
          <w:rFonts w:hint="default"/>
          <w:vertAlign w:val="superscript"/>
        </w:rPr>
        <w:fldChar w:fldCharType="separate"/>
      </w:r>
      <w:r>
        <w:rPr>
          <w:rFonts w:hint="default"/>
          <w:vertAlign w:val="superscript"/>
        </w:rPr>
        <w:t>[9]</w:t>
      </w:r>
      <w:r>
        <w:rPr>
          <w:rFonts w:hint="default"/>
          <w:vertAlign w:val="superscript"/>
        </w:rPr>
        <w:fldChar w:fldCharType="end"/>
      </w:r>
      <w:r>
        <w:rPr>
          <w:rFonts w:hint="default"/>
          <w:vertAlign w:val="superscript"/>
        </w:rPr>
        <w:fldChar w:fldCharType="begin"/>
      </w:r>
      <w:r>
        <w:instrText xml:space="preserve"> REF _Ref9585 \r \h  \* MERGEFORMAT</w:instrText>
      </w:r>
      <w:r>
        <w:rPr>
          <w:rFonts w:hint="default"/>
          <w:vertAlign w:val="superscript"/>
        </w:rPr>
        <w:fldChar w:fldCharType="separate"/>
      </w:r>
      <w:r>
        <w:rPr>
          <w:rFonts w:hint="default"/>
          <w:vertAlign w:val="superscript"/>
        </w:rPr>
        <w:t>[10]</w:t>
      </w:r>
      <w:r>
        <w:rPr>
          <w:rFonts w:hint="default"/>
          <w:vertAlign w:val="superscript"/>
        </w:rPr>
        <w:fldChar w:fldCharType="end"/>
      </w:r>
      <w:r>
        <w:rPr>
          <w:rFonts w:hint="default"/>
          <w:vertAlign w:val="superscript"/>
        </w:rPr>
        <w:fldChar w:fldCharType="begin"/>
      </w:r>
      <w:r>
        <w:instrText xml:space="preserve"> REF _Ref9644 \r \h  \* MERGEFORMAT</w:instrText>
      </w:r>
      <w:r>
        <w:rPr>
          <w:rFonts w:hint="default"/>
          <w:vertAlign w:val="superscript"/>
        </w:rPr>
        <w:fldChar w:fldCharType="separate"/>
      </w:r>
      <w:r>
        <w:rPr>
          <w:rFonts w:hint="default"/>
          <w:vertAlign w:val="superscript"/>
        </w:rPr>
        <w:t>[12]</w:t>
      </w:r>
      <w:r>
        <w:rPr>
          <w:rFonts w:hint="default"/>
          <w:vertAlign w:val="superscript"/>
        </w:rPr>
        <w:fldChar w:fldCharType="end"/>
      </w:r>
      <w:r>
        <w:rPr>
          <w:rFonts w:hint="default"/>
          <w:vertAlign w:val="superscript"/>
        </w:rPr>
        <w:fldChar w:fldCharType="begin"/>
      </w:r>
      <w:r>
        <w:instrText xml:space="preserve"> REF _Ref9667 \r \h  \* MERGEFORMAT</w:instrText>
      </w:r>
      <w:r>
        <w:rPr>
          <w:rFonts w:hint="default"/>
          <w:vertAlign w:val="superscript"/>
        </w:rPr>
        <w:fldChar w:fldCharType="separate"/>
      </w:r>
      <w:r>
        <w:rPr>
          <w:rFonts w:hint="default"/>
          <w:vertAlign w:val="superscript"/>
        </w:rPr>
        <w:t>[13]</w:t>
      </w:r>
      <w:r>
        <w:rPr>
          <w:rFonts w:hint="default"/>
          <w:vertAlign w:val="superscript"/>
        </w:rPr>
        <w:fldChar w:fldCharType="end"/>
      </w:r>
      <w:r>
        <w:rPr>
          <w:rFonts w:hint="default"/>
          <w:vertAlign w:val="superscript"/>
        </w:rPr>
        <w:fldChar w:fldCharType="begin"/>
      </w:r>
      <w:r>
        <w:instrText xml:space="preserve"> REF _Ref29585 \r \h  \* MERGEFORMAT</w:instrText>
      </w:r>
      <w:r>
        <w:rPr>
          <w:rFonts w:hint="default"/>
          <w:vertAlign w:val="superscript"/>
        </w:rPr>
        <w:fldChar w:fldCharType="separate"/>
      </w:r>
      <w:r>
        <w:rPr>
          <w:rFonts w:hint="default"/>
          <w:vertAlign w:val="superscript"/>
        </w:rPr>
        <w:t>[22]</w:t>
      </w:r>
      <w:r>
        <w:rPr>
          <w:rFonts w:hint="default"/>
          <w:vertAlign w:val="superscript"/>
        </w:rPr>
        <w:fldChar w:fldCharType="end"/>
      </w:r>
      <w:r>
        <w:rPr>
          <w:rFonts w:hint="eastAsia"/>
        </w:rPr>
        <w:t>。表2列示了相关结果。</w:t>
      </w:r>
    </w:p>
    <w:p w14:paraId="1D66ACBD">
      <w:pPr>
        <w:bidi w:val="0"/>
        <w:ind w:left="0" w:leftChars="0" w:firstLine="0" w:firstLineChars="0"/>
        <w:jc w:val="cente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表2</w:t>
      </w:r>
      <w:r>
        <w:rPr>
          <w:rFonts w:hint="eastAsia" w:cs="宋体"/>
          <w:color w:val="auto"/>
          <w:sz w:val="21"/>
          <w:szCs w:val="21"/>
          <w:lang w:val="en-US" w:eastAsia="zh-CN"/>
        </w:rPr>
        <w:t xml:space="preserve"> 天原股份环保投入及财务比率变化（2022-2024年）</w:t>
      </w:r>
    </w:p>
    <w:tbl>
      <w:tblPr>
        <w:tblStyle w:val="2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5"/>
        <w:gridCol w:w="1595"/>
        <w:gridCol w:w="1595"/>
        <w:gridCol w:w="1595"/>
        <w:gridCol w:w="1595"/>
        <w:gridCol w:w="1596"/>
      </w:tblGrid>
      <w:tr w14:paraId="3476EA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595" w:type="dxa"/>
            <w:tcBorders>
              <w:bottom w:val="single" w:color="000000" w:sz="4" w:space="0"/>
              <w:tl2br w:val="nil"/>
              <w:tr2bl w:val="nil"/>
            </w:tcBorders>
            <w:vAlign w:val="center"/>
          </w:tcPr>
          <w:p w14:paraId="79C70B25">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sz w:val="21"/>
                <w:szCs w:val="21"/>
                <w:vertAlign w:val="baseline"/>
              </w:rPr>
            </w:pPr>
            <w:r>
              <w:rPr>
                <w:rFonts w:hint="eastAsia"/>
                <w:sz w:val="21"/>
                <w:szCs w:val="21"/>
                <w:vertAlign w:val="baseline"/>
              </w:rPr>
              <w:t>年份</w:t>
            </w:r>
          </w:p>
        </w:tc>
        <w:tc>
          <w:tcPr>
            <w:tcW w:w="1595" w:type="dxa"/>
            <w:tcBorders>
              <w:bottom w:val="single" w:color="000000" w:sz="4" w:space="0"/>
              <w:tl2br w:val="nil"/>
              <w:tr2bl w:val="nil"/>
            </w:tcBorders>
            <w:vAlign w:val="center"/>
          </w:tcPr>
          <w:p w14:paraId="25ED40A7">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sz w:val="21"/>
                <w:szCs w:val="21"/>
                <w:vertAlign w:val="baseline"/>
              </w:rPr>
            </w:pPr>
            <w:r>
              <w:rPr>
                <w:rFonts w:hint="eastAsia"/>
                <w:sz w:val="21"/>
                <w:szCs w:val="21"/>
                <w:vertAlign w:val="baseline"/>
              </w:rPr>
              <w:t>环保投入（万元）</w:t>
            </w:r>
          </w:p>
        </w:tc>
        <w:tc>
          <w:tcPr>
            <w:tcW w:w="1595" w:type="dxa"/>
            <w:tcBorders>
              <w:bottom w:val="single" w:color="000000" w:sz="4" w:space="0"/>
              <w:tl2br w:val="nil"/>
              <w:tr2bl w:val="nil"/>
            </w:tcBorders>
            <w:vAlign w:val="center"/>
          </w:tcPr>
          <w:p w14:paraId="324E1849">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sz w:val="21"/>
                <w:szCs w:val="21"/>
                <w:vertAlign w:val="baseline"/>
              </w:rPr>
            </w:pPr>
            <w:r>
              <w:rPr>
                <w:rFonts w:hint="eastAsia"/>
                <w:sz w:val="21"/>
                <w:szCs w:val="21"/>
                <w:vertAlign w:val="baseline"/>
              </w:rPr>
              <w:t>营业收入（亿元）</w:t>
            </w:r>
          </w:p>
        </w:tc>
        <w:tc>
          <w:tcPr>
            <w:tcW w:w="1595" w:type="dxa"/>
            <w:tcBorders>
              <w:bottom w:val="single" w:color="000000" w:sz="4" w:space="0"/>
              <w:tl2br w:val="nil"/>
              <w:tr2bl w:val="nil"/>
            </w:tcBorders>
            <w:vAlign w:val="center"/>
          </w:tcPr>
          <w:p w14:paraId="77227B61">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sz w:val="21"/>
                <w:szCs w:val="21"/>
                <w:vertAlign w:val="baseline"/>
              </w:rPr>
            </w:pPr>
            <w:r>
              <w:rPr>
                <w:rFonts w:hint="eastAsia"/>
                <w:sz w:val="21"/>
                <w:szCs w:val="21"/>
                <w:vertAlign w:val="baseline"/>
              </w:rPr>
              <w:t>总资产（亿元）</w:t>
            </w:r>
          </w:p>
        </w:tc>
        <w:tc>
          <w:tcPr>
            <w:tcW w:w="1595" w:type="dxa"/>
            <w:tcBorders>
              <w:bottom w:val="single" w:color="000000" w:sz="4" w:space="0"/>
              <w:tl2br w:val="nil"/>
              <w:tr2bl w:val="nil"/>
            </w:tcBorders>
            <w:vAlign w:val="center"/>
          </w:tcPr>
          <w:p w14:paraId="413956DA">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sz w:val="21"/>
                <w:szCs w:val="21"/>
                <w:vertAlign w:val="baseline"/>
              </w:rPr>
            </w:pPr>
            <w:r>
              <w:rPr>
                <w:rFonts w:hint="eastAsia"/>
                <w:sz w:val="21"/>
                <w:szCs w:val="21"/>
                <w:vertAlign w:val="baseline"/>
              </w:rPr>
              <w:t>环保投入/营业收入（%）</w:t>
            </w:r>
          </w:p>
        </w:tc>
        <w:tc>
          <w:tcPr>
            <w:tcW w:w="1596" w:type="dxa"/>
            <w:tcBorders>
              <w:bottom w:val="single" w:color="000000" w:sz="4" w:space="0"/>
              <w:tl2br w:val="nil"/>
              <w:tr2bl w:val="nil"/>
            </w:tcBorders>
            <w:vAlign w:val="center"/>
          </w:tcPr>
          <w:p w14:paraId="263CBE1E">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sz w:val="21"/>
                <w:szCs w:val="21"/>
                <w:vertAlign w:val="baseline"/>
              </w:rPr>
            </w:pPr>
            <w:r>
              <w:rPr>
                <w:rFonts w:hint="eastAsia"/>
                <w:sz w:val="21"/>
                <w:szCs w:val="21"/>
                <w:vertAlign w:val="baseline"/>
              </w:rPr>
              <w:t>环保投入/总资产（%）</w:t>
            </w:r>
          </w:p>
        </w:tc>
      </w:tr>
      <w:tr w14:paraId="3A1E66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95" w:type="dxa"/>
            <w:tcBorders>
              <w:top w:val="single" w:color="000000" w:sz="4" w:space="0"/>
              <w:tl2br w:val="nil"/>
              <w:tr2bl w:val="nil"/>
            </w:tcBorders>
            <w:vAlign w:val="center"/>
          </w:tcPr>
          <w:p w14:paraId="68F430C4">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sz w:val="21"/>
                <w:szCs w:val="21"/>
                <w:vertAlign w:val="baseline"/>
              </w:rPr>
            </w:pPr>
            <w:r>
              <w:rPr>
                <w:rFonts w:hint="eastAsia"/>
                <w:sz w:val="21"/>
                <w:szCs w:val="21"/>
                <w:vertAlign w:val="baseline"/>
              </w:rPr>
              <w:t>2022</w:t>
            </w:r>
          </w:p>
        </w:tc>
        <w:tc>
          <w:tcPr>
            <w:tcW w:w="1595" w:type="dxa"/>
            <w:tcBorders>
              <w:top w:val="single" w:color="000000" w:sz="4" w:space="0"/>
              <w:tl2br w:val="nil"/>
              <w:tr2bl w:val="nil"/>
            </w:tcBorders>
            <w:vAlign w:val="center"/>
          </w:tcPr>
          <w:p w14:paraId="08F40D16">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default" w:eastAsia="宋体"/>
                <w:sz w:val="21"/>
                <w:szCs w:val="21"/>
                <w:vertAlign w:val="baseline"/>
                <w:lang w:val="en-US" w:eastAsia="zh-CN"/>
              </w:rPr>
            </w:pPr>
            <w:r>
              <w:rPr>
                <w:rFonts w:hint="eastAsia"/>
                <w:sz w:val="21"/>
                <w:szCs w:val="21"/>
                <w:vertAlign w:val="baseline"/>
              </w:rPr>
              <w:t>208</w:t>
            </w:r>
            <w:r>
              <w:rPr>
                <w:rFonts w:hint="eastAsia"/>
                <w:sz w:val="21"/>
                <w:szCs w:val="21"/>
                <w:vertAlign w:val="baseline"/>
                <w:lang w:val="en-US" w:eastAsia="zh-CN"/>
              </w:rPr>
              <w:t>79</w:t>
            </w:r>
          </w:p>
        </w:tc>
        <w:tc>
          <w:tcPr>
            <w:tcW w:w="1595" w:type="dxa"/>
            <w:tcBorders>
              <w:top w:val="single" w:color="000000" w:sz="4" w:space="0"/>
              <w:tl2br w:val="nil"/>
              <w:tr2bl w:val="nil"/>
            </w:tcBorders>
            <w:vAlign w:val="center"/>
          </w:tcPr>
          <w:p w14:paraId="6DE04360">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sz w:val="21"/>
                <w:szCs w:val="21"/>
                <w:vertAlign w:val="baseline"/>
              </w:rPr>
            </w:pPr>
            <w:r>
              <w:rPr>
                <w:rFonts w:hint="eastAsia"/>
                <w:sz w:val="21"/>
                <w:szCs w:val="21"/>
                <w:vertAlign w:val="baseline"/>
              </w:rPr>
              <w:t>203.39</w:t>
            </w:r>
          </w:p>
        </w:tc>
        <w:tc>
          <w:tcPr>
            <w:tcW w:w="1595" w:type="dxa"/>
            <w:tcBorders>
              <w:top w:val="single" w:color="000000" w:sz="4" w:space="0"/>
              <w:tl2br w:val="nil"/>
              <w:tr2bl w:val="nil"/>
            </w:tcBorders>
            <w:vAlign w:val="center"/>
          </w:tcPr>
          <w:p w14:paraId="4249145A">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sz w:val="21"/>
                <w:szCs w:val="21"/>
                <w:vertAlign w:val="baseline"/>
              </w:rPr>
            </w:pPr>
            <w:r>
              <w:rPr>
                <w:rFonts w:hint="eastAsia"/>
                <w:sz w:val="21"/>
                <w:szCs w:val="21"/>
                <w:vertAlign w:val="baseline"/>
              </w:rPr>
              <w:t>154.35</w:t>
            </w:r>
          </w:p>
        </w:tc>
        <w:tc>
          <w:tcPr>
            <w:tcW w:w="1595" w:type="dxa"/>
            <w:tcBorders>
              <w:top w:val="single" w:color="000000" w:sz="4" w:space="0"/>
              <w:tl2br w:val="nil"/>
              <w:tr2bl w:val="nil"/>
            </w:tcBorders>
            <w:vAlign w:val="center"/>
          </w:tcPr>
          <w:p w14:paraId="58940E8F">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eastAsia="宋体"/>
                <w:sz w:val="21"/>
                <w:szCs w:val="21"/>
                <w:vertAlign w:val="baseline"/>
                <w:lang w:val="en-US" w:eastAsia="zh-CN"/>
              </w:rPr>
            </w:pPr>
            <w:r>
              <w:rPr>
                <w:rFonts w:hint="eastAsia"/>
                <w:sz w:val="21"/>
                <w:szCs w:val="21"/>
                <w:vertAlign w:val="baseline"/>
              </w:rPr>
              <w:t>1.0</w:t>
            </w:r>
            <w:r>
              <w:rPr>
                <w:rFonts w:hint="eastAsia"/>
                <w:sz w:val="21"/>
                <w:szCs w:val="21"/>
                <w:vertAlign w:val="baseline"/>
                <w:lang w:val="en-US" w:eastAsia="zh-CN"/>
              </w:rPr>
              <w:t>3</w:t>
            </w:r>
          </w:p>
        </w:tc>
        <w:tc>
          <w:tcPr>
            <w:tcW w:w="1596" w:type="dxa"/>
            <w:tcBorders>
              <w:top w:val="single" w:color="000000" w:sz="4" w:space="0"/>
              <w:tl2br w:val="nil"/>
              <w:tr2bl w:val="nil"/>
            </w:tcBorders>
            <w:vAlign w:val="center"/>
          </w:tcPr>
          <w:p w14:paraId="364623F8">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sz w:val="21"/>
                <w:szCs w:val="21"/>
                <w:vertAlign w:val="baseline"/>
              </w:rPr>
            </w:pPr>
            <w:r>
              <w:rPr>
                <w:rFonts w:hint="eastAsia"/>
                <w:sz w:val="21"/>
                <w:szCs w:val="21"/>
                <w:vertAlign w:val="baseline"/>
              </w:rPr>
              <w:t>1.35</w:t>
            </w:r>
          </w:p>
        </w:tc>
      </w:tr>
      <w:tr w14:paraId="6CFAFE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95" w:type="dxa"/>
            <w:tcBorders>
              <w:tl2br w:val="nil"/>
              <w:tr2bl w:val="nil"/>
            </w:tcBorders>
            <w:vAlign w:val="center"/>
          </w:tcPr>
          <w:p w14:paraId="24B00DA6">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default" w:eastAsia="宋体"/>
                <w:sz w:val="21"/>
                <w:szCs w:val="21"/>
                <w:vertAlign w:val="baseline"/>
                <w:lang w:val="en-US" w:eastAsia="zh-CN"/>
              </w:rPr>
            </w:pPr>
            <w:r>
              <w:rPr>
                <w:rFonts w:hint="eastAsia"/>
                <w:sz w:val="21"/>
                <w:szCs w:val="21"/>
                <w:vertAlign w:val="baseline"/>
                <w:lang w:val="en-US" w:eastAsia="zh-CN"/>
              </w:rPr>
              <w:t>2023</w:t>
            </w:r>
          </w:p>
        </w:tc>
        <w:tc>
          <w:tcPr>
            <w:tcW w:w="1595" w:type="dxa"/>
            <w:tcBorders>
              <w:tl2br w:val="nil"/>
              <w:tr2bl w:val="nil"/>
            </w:tcBorders>
            <w:vAlign w:val="center"/>
          </w:tcPr>
          <w:p w14:paraId="4613D622">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default" w:eastAsia="宋体"/>
                <w:sz w:val="21"/>
                <w:szCs w:val="21"/>
                <w:vertAlign w:val="baseline"/>
                <w:lang w:val="en-US" w:eastAsia="zh-CN"/>
              </w:rPr>
            </w:pPr>
            <w:r>
              <w:rPr>
                <w:rFonts w:hint="eastAsia"/>
                <w:sz w:val="21"/>
                <w:szCs w:val="21"/>
                <w:vertAlign w:val="baseline"/>
              </w:rPr>
              <w:t>16</w:t>
            </w:r>
            <w:r>
              <w:rPr>
                <w:rFonts w:hint="eastAsia"/>
                <w:sz w:val="21"/>
                <w:szCs w:val="21"/>
                <w:vertAlign w:val="baseline"/>
                <w:lang w:val="en-US" w:eastAsia="zh-CN"/>
              </w:rPr>
              <w:t>845</w:t>
            </w:r>
          </w:p>
        </w:tc>
        <w:tc>
          <w:tcPr>
            <w:tcW w:w="1595" w:type="dxa"/>
            <w:tcBorders>
              <w:tl2br w:val="nil"/>
              <w:tr2bl w:val="nil"/>
            </w:tcBorders>
            <w:vAlign w:val="center"/>
          </w:tcPr>
          <w:p w14:paraId="77290D1F">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sz w:val="21"/>
                <w:szCs w:val="21"/>
                <w:vertAlign w:val="baseline"/>
              </w:rPr>
            </w:pPr>
            <w:r>
              <w:rPr>
                <w:rFonts w:hint="eastAsia"/>
                <w:sz w:val="21"/>
                <w:szCs w:val="21"/>
                <w:vertAlign w:val="baseline"/>
              </w:rPr>
              <w:t>183.67</w:t>
            </w:r>
          </w:p>
        </w:tc>
        <w:tc>
          <w:tcPr>
            <w:tcW w:w="1595" w:type="dxa"/>
            <w:tcBorders>
              <w:tl2br w:val="nil"/>
              <w:tr2bl w:val="nil"/>
            </w:tcBorders>
            <w:vAlign w:val="center"/>
          </w:tcPr>
          <w:p w14:paraId="3E535351">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sz w:val="21"/>
                <w:szCs w:val="21"/>
                <w:vertAlign w:val="baseline"/>
              </w:rPr>
            </w:pPr>
            <w:r>
              <w:rPr>
                <w:rFonts w:hint="eastAsia"/>
                <w:sz w:val="21"/>
                <w:szCs w:val="21"/>
                <w:vertAlign w:val="baseline"/>
              </w:rPr>
              <w:t>182.89</w:t>
            </w:r>
          </w:p>
        </w:tc>
        <w:tc>
          <w:tcPr>
            <w:tcW w:w="1595" w:type="dxa"/>
            <w:tcBorders>
              <w:tl2br w:val="nil"/>
              <w:tr2bl w:val="nil"/>
            </w:tcBorders>
            <w:vAlign w:val="center"/>
          </w:tcPr>
          <w:p w14:paraId="4D9DF0C6">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sz w:val="21"/>
                <w:szCs w:val="21"/>
                <w:vertAlign w:val="baseline"/>
              </w:rPr>
            </w:pPr>
            <w:r>
              <w:rPr>
                <w:rFonts w:hint="eastAsia"/>
                <w:sz w:val="21"/>
                <w:szCs w:val="21"/>
                <w:vertAlign w:val="baseline"/>
              </w:rPr>
              <w:t>0.92</w:t>
            </w:r>
          </w:p>
        </w:tc>
        <w:tc>
          <w:tcPr>
            <w:tcW w:w="1596" w:type="dxa"/>
            <w:tcBorders>
              <w:tl2br w:val="nil"/>
              <w:tr2bl w:val="nil"/>
            </w:tcBorders>
            <w:vAlign w:val="center"/>
          </w:tcPr>
          <w:p w14:paraId="5C6E4551">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sz w:val="21"/>
                <w:szCs w:val="21"/>
                <w:vertAlign w:val="baseline"/>
              </w:rPr>
            </w:pPr>
            <w:r>
              <w:rPr>
                <w:rFonts w:hint="eastAsia"/>
                <w:sz w:val="21"/>
                <w:szCs w:val="21"/>
                <w:vertAlign w:val="baseline"/>
              </w:rPr>
              <w:t>0.92</w:t>
            </w:r>
          </w:p>
        </w:tc>
      </w:tr>
      <w:tr w14:paraId="37A01C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95" w:type="dxa"/>
            <w:tcBorders>
              <w:tl2br w:val="nil"/>
              <w:tr2bl w:val="nil"/>
            </w:tcBorders>
            <w:vAlign w:val="center"/>
          </w:tcPr>
          <w:p w14:paraId="6AE38768">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default" w:eastAsia="宋体"/>
                <w:sz w:val="21"/>
                <w:szCs w:val="21"/>
                <w:vertAlign w:val="baseline"/>
                <w:lang w:val="en-US" w:eastAsia="zh-CN"/>
              </w:rPr>
            </w:pPr>
            <w:r>
              <w:rPr>
                <w:rFonts w:hint="eastAsia"/>
                <w:sz w:val="21"/>
                <w:szCs w:val="21"/>
                <w:vertAlign w:val="baseline"/>
                <w:lang w:val="en-US" w:eastAsia="zh-CN"/>
              </w:rPr>
              <w:t>2024</w:t>
            </w:r>
          </w:p>
        </w:tc>
        <w:tc>
          <w:tcPr>
            <w:tcW w:w="1595" w:type="dxa"/>
            <w:tcBorders>
              <w:tl2br w:val="nil"/>
              <w:tr2bl w:val="nil"/>
            </w:tcBorders>
            <w:vAlign w:val="center"/>
          </w:tcPr>
          <w:p w14:paraId="2585990D">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sz w:val="21"/>
                <w:szCs w:val="21"/>
                <w:vertAlign w:val="baseline"/>
              </w:rPr>
            </w:pPr>
            <w:r>
              <w:rPr>
                <w:rFonts w:hint="eastAsia"/>
                <w:sz w:val="21"/>
                <w:szCs w:val="21"/>
                <w:vertAlign w:val="baseline"/>
              </w:rPr>
              <w:t>10160</w:t>
            </w:r>
          </w:p>
        </w:tc>
        <w:tc>
          <w:tcPr>
            <w:tcW w:w="1595" w:type="dxa"/>
            <w:tcBorders>
              <w:tl2br w:val="nil"/>
              <w:tr2bl w:val="nil"/>
            </w:tcBorders>
            <w:vAlign w:val="center"/>
          </w:tcPr>
          <w:p w14:paraId="4F167F5C">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sz w:val="21"/>
                <w:szCs w:val="21"/>
                <w:vertAlign w:val="baseline"/>
              </w:rPr>
            </w:pPr>
            <w:r>
              <w:rPr>
                <w:rFonts w:hint="eastAsia"/>
                <w:sz w:val="21"/>
                <w:szCs w:val="21"/>
                <w:vertAlign w:val="baseline"/>
              </w:rPr>
              <w:t>133.67</w:t>
            </w:r>
          </w:p>
        </w:tc>
        <w:tc>
          <w:tcPr>
            <w:tcW w:w="1595" w:type="dxa"/>
            <w:tcBorders>
              <w:tl2br w:val="nil"/>
              <w:tr2bl w:val="nil"/>
            </w:tcBorders>
            <w:vAlign w:val="center"/>
          </w:tcPr>
          <w:p w14:paraId="3586F3C4">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sz w:val="21"/>
                <w:szCs w:val="21"/>
                <w:vertAlign w:val="baseline"/>
              </w:rPr>
            </w:pPr>
            <w:r>
              <w:rPr>
                <w:rFonts w:hint="eastAsia"/>
                <w:sz w:val="21"/>
                <w:szCs w:val="21"/>
                <w:vertAlign w:val="baseline"/>
              </w:rPr>
              <w:t>196.42</w:t>
            </w:r>
          </w:p>
        </w:tc>
        <w:tc>
          <w:tcPr>
            <w:tcW w:w="1595" w:type="dxa"/>
            <w:tcBorders>
              <w:tl2br w:val="nil"/>
              <w:tr2bl w:val="nil"/>
            </w:tcBorders>
            <w:vAlign w:val="center"/>
          </w:tcPr>
          <w:p w14:paraId="2A720C47">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sz w:val="21"/>
                <w:szCs w:val="21"/>
                <w:vertAlign w:val="baseline"/>
              </w:rPr>
            </w:pPr>
            <w:r>
              <w:rPr>
                <w:rFonts w:hint="eastAsia"/>
                <w:sz w:val="21"/>
                <w:szCs w:val="21"/>
                <w:vertAlign w:val="baseline"/>
              </w:rPr>
              <w:t>0.76</w:t>
            </w:r>
          </w:p>
        </w:tc>
        <w:tc>
          <w:tcPr>
            <w:tcW w:w="1596" w:type="dxa"/>
            <w:tcBorders>
              <w:tl2br w:val="nil"/>
              <w:tr2bl w:val="nil"/>
            </w:tcBorders>
            <w:vAlign w:val="center"/>
          </w:tcPr>
          <w:p w14:paraId="768B8994">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sz w:val="21"/>
                <w:szCs w:val="21"/>
                <w:vertAlign w:val="baseline"/>
              </w:rPr>
            </w:pPr>
            <w:r>
              <w:rPr>
                <w:rFonts w:hint="eastAsia"/>
                <w:sz w:val="21"/>
                <w:szCs w:val="21"/>
                <w:vertAlign w:val="baseline"/>
              </w:rPr>
              <w:t>0.52</w:t>
            </w:r>
          </w:p>
        </w:tc>
      </w:tr>
    </w:tbl>
    <w:p w14:paraId="61E95F98">
      <w:pPr>
        <w:rPr>
          <w:rFonts w:hint="eastAsia"/>
          <w:sz w:val="24"/>
          <w:szCs w:val="24"/>
        </w:rPr>
      </w:pPr>
      <w:r>
        <w:rPr>
          <w:rFonts w:hint="eastAsia"/>
          <w:sz w:val="24"/>
          <w:szCs w:val="24"/>
        </w:rPr>
        <w:t>注：环保投入/营业收入、环保投入/总资产均根据公司公开披露数据计算；2022年总资产采用2023年度报告追溯调整后的可比数据。</w:t>
      </w:r>
    </w:p>
    <w:p w14:paraId="1DF3DD6E">
      <w:pPr>
        <w:rPr>
          <w:rFonts w:hint="eastAsia"/>
          <w:sz w:val="24"/>
          <w:szCs w:val="24"/>
        </w:rPr>
      </w:pPr>
      <w:r>
        <w:rPr>
          <w:rFonts w:hint="eastAsia"/>
          <w:sz w:val="24"/>
          <w:szCs w:val="24"/>
        </w:rPr>
        <w:t>资料来源：根据天原股份2022</w:t>
      </w:r>
      <w:r>
        <w:rPr>
          <w:rFonts w:hint="eastAsia"/>
          <w:sz w:val="24"/>
          <w:szCs w:val="24"/>
          <w:lang w:val="en-US" w:eastAsia="zh-CN"/>
        </w:rPr>
        <w:t>-</w:t>
      </w:r>
      <w:r>
        <w:rPr>
          <w:rFonts w:hint="eastAsia"/>
          <w:sz w:val="24"/>
          <w:szCs w:val="24"/>
        </w:rPr>
        <w:t>2024年度ESG报告</w:t>
      </w:r>
      <w:r>
        <w:rPr>
          <w:rFonts w:hint="eastAsia"/>
          <w:sz w:val="24"/>
          <w:szCs w:val="24"/>
          <w:vertAlign w:val="superscript"/>
        </w:rPr>
        <w:fldChar w:fldCharType="begin"/>
      </w:r>
      <w:r>
        <w:rPr>
          <w:sz w:val="24"/>
          <w:szCs w:val="24"/>
        </w:rPr>
        <w:instrText xml:space="preserve"> REF _Ref9644 \r \h  \* MERGEFORMAT</w:instrText>
      </w:r>
      <w:r>
        <w:rPr>
          <w:rFonts w:hint="eastAsia"/>
          <w:sz w:val="24"/>
          <w:szCs w:val="24"/>
          <w:vertAlign w:val="superscript"/>
        </w:rPr>
        <w:fldChar w:fldCharType="separate"/>
      </w:r>
      <w:r>
        <w:rPr>
          <w:rFonts w:hint="eastAsia"/>
          <w:sz w:val="24"/>
          <w:szCs w:val="24"/>
          <w:vertAlign w:val="superscript"/>
        </w:rPr>
        <w:t>[12]</w:t>
      </w:r>
      <w:r>
        <w:rPr>
          <w:rFonts w:hint="eastAsia"/>
          <w:sz w:val="24"/>
          <w:szCs w:val="24"/>
          <w:vertAlign w:val="superscript"/>
        </w:rPr>
        <w:fldChar w:fldCharType="end"/>
      </w:r>
      <w:r>
        <w:rPr>
          <w:rFonts w:hint="default"/>
          <w:sz w:val="24"/>
          <w:szCs w:val="24"/>
          <w:vertAlign w:val="superscript"/>
        </w:rPr>
        <w:fldChar w:fldCharType="begin"/>
      </w:r>
      <w:r>
        <w:rPr>
          <w:sz w:val="24"/>
          <w:szCs w:val="24"/>
        </w:rPr>
        <w:instrText xml:space="preserve"> REF _Ref9667 \r \h  \* MERGEFORMAT</w:instrText>
      </w:r>
      <w:r>
        <w:rPr>
          <w:rFonts w:hint="default"/>
          <w:sz w:val="24"/>
          <w:szCs w:val="24"/>
          <w:vertAlign w:val="superscript"/>
        </w:rPr>
        <w:fldChar w:fldCharType="separate"/>
      </w:r>
      <w:r>
        <w:rPr>
          <w:rFonts w:hint="default"/>
          <w:sz w:val="24"/>
          <w:szCs w:val="24"/>
          <w:vertAlign w:val="superscript"/>
        </w:rPr>
        <w:t>[13]</w:t>
      </w:r>
      <w:r>
        <w:rPr>
          <w:rFonts w:hint="default"/>
          <w:sz w:val="24"/>
          <w:szCs w:val="24"/>
          <w:vertAlign w:val="superscript"/>
        </w:rPr>
        <w:fldChar w:fldCharType="end"/>
      </w:r>
      <w:r>
        <w:rPr>
          <w:rFonts w:hint="default"/>
          <w:sz w:val="24"/>
          <w:szCs w:val="24"/>
          <w:vertAlign w:val="superscript"/>
        </w:rPr>
        <w:fldChar w:fldCharType="begin"/>
      </w:r>
      <w:r>
        <w:rPr>
          <w:sz w:val="24"/>
          <w:szCs w:val="24"/>
        </w:rPr>
        <w:instrText xml:space="preserve"> REF _Ref9585 \r \h  \* MERGEFORMAT</w:instrText>
      </w:r>
      <w:r>
        <w:rPr>
          <w:rFonts w:hint="default"/>
          <w:sz w:val="24"/>
          <w:szCs w:val="24"/>
          <w:vertAlign w:val="superscript"/>
        </w:rPr>
        <w:fldChar w:fldCharType="separate"/>
      </w:r>
      <w:r>
        <w:rPr>
          <w:rFonts w:hint="default"/>
          <w:sz w:val="24"/>
          <w:szCs w:val="24"/>
          <w:vertAlign w:val="superscript"/>
        </w:rPr>
        <w:t>[10]</w:t>
      </w:r>
      <w:r>
        <w:rPr>
          <w:rFonts w:hint="default"/>
          <w:sz w:val="24"/>
          <w:szCs w:val="24"/>
          <w:vertAlign w:val="superscript"/>
        </w:rPr>
        <w:fldChar w:fldCharType="end"/>
      </w:r>
      <w:r>
        <w:rPr>
          <w:rFonts w:hint="eastAsia"/>
          <w:sz w:val="24"/>
          <w:szCs w:val="24"/>
        </w:rPr>
        <w:t>及2023、2024年度报告</w:t>
      </w:r>
      <w:r>
        <w:rPr>
          <w:rFonts w:hint="eastAsia"/>
          <w:sz w:val="24"/>
          <w:szCs w:val="24"/>
          <w:vertAlign w:val="superscript"/>
        </w:rPr>
        <w:fldChar w:fldCharType="begin"/>
      </w:r>
      <w:r>
        <w:rPr>
          <w:sz w:val="24"/>
          <w:szCs w:val="24"/>
        </w:rPr>
        <w:instrText xml:space="preserve"> REF _Ref21546 \r \h  \* MERGEFORMAT</w:instrText>
      </w:r>
      <w:r>
        <w:rPr>
          <w:rFonts w:hint="eastAsia"/>
          <w:sz w:val="24"/>
          <w:szCs w:val="24"/>
          <w:vertAlign w:val="superscript"/>
        </w:rPr>
        <w:fldChar w:fldCharType="separate"/>
      </w:r>
      <w:r>
        <w:rPr>
          <w:rFonts w:hint="eastAsia"/>
          <w:sz w:val="24"/>
          <w:szCs w:val="24"/>
          <w:vertAlign w:val="superscript"/>
        </w:rPr>
        <w:t>[9]</w:t>
      </w:r>
      <w:r>
        <w:rPr>
          <w:rFonts w:hint="eastAsia"/>
          <w:sz w:val="24"/>
          <w:szCs w:val="24"/>
          <w:vertAlign w:val="superscript"/>
        </w:rPr>
        <w:fldChar w:fldCharType="end"/>
      </w:r>
      <w:r>
        <w:rPr>
          <w:rFonts w:hint="default"/>
          <w:sz w:val="24"/>
          <w:szCs w:val="24"/>
          <w:vertAlign w:val="superscript"/>
        </w:rPr>
        <w:fldChar w:fldCharType="begin"/>
      </w:r>
      <w:r>
        <w:rPr>
          <w:sz w:val="24"/>
          <w:szCs w:val="24"/>
        </w:rPr>
        <w:instrText xml:space="preserve"> REF _Ref29585 \r \h  \* MERGEFORMAT</w:instrText>
      </w:r>
      <w:r>
        <w:rPr>
          <w:rFonts w:hint="default"/>
          <w:sz w:val="24"/>
          <w:szCs w:val="24"/>
          <w:vertAlign w:val="superscript"/>
        </w:rPr>
        <w:fldChar w:fldCharType="separate"/>
      </w:r>
      <w:r>
        <w:rPr>
          <w:rFonts w:hint="default"/>
          <w:sz w:val="24"/>
          <w:szCs w:val="24"/>
          <w:vertAlign w:val="superscript"/>
        </w:rPr>
        <w:t>[22]</w:t>
      </w:r>
      <w:r>
        <w:rPr>
          <w:rFonts w:hint="default"/>
          <w:sz w:val="24"/>
          <w:szCs w:val="24"/>
          <w:vertAlign w:val="superscript"/>
        </w:rPr>
        <w:fldChar w:fldCharType="end"/>
      </w:r>
      <w:r>
        <w:rPr>
          <w:rFonts w:hint="eastAsia"/>
          <w:sz w:val="24"/>
          <w:szCs w:val="24"/>
        </w:rPr>
        <w:t>整理计算。</w:t>
      </w:r>
    </w:p>
    <w:p w14:paraId="4D97ADF6">
      <w:pPr>
        <w:bidi w:val="0"/>
        <w:rPr>
          <w:rFonts w:hint="eastAsia"/>
        </w:rPr>
      </w:pPr>
      <w:r>
        <w:rPr>
          <w:rFonts w:hint="eastAsia"/>
          <w:sz w:val="24"/>
          <w:szCs w:val="24"/>
        </w:rPr>
        <w:t>2022-2024年，天原股份环保投入从20879万元降至10160万元，连续两年减少；环保投入占营业收入的比重由1.03%降至0.76%，占总资产的比重则由1.35%降至0.52%。这期间营业收入总体下降，总资产持续增加，而两个比率显示，环保投入相对于经营规模和资产规模的占比均有所下降。</w:t>
      </w:r>
    </w:p>
    <w:p w14:paraId="70B10AFF">
      <w:pPr>
        <w:pStyle w:val="4"/>
        <w:bidi w:val="0"/>
        <w:rPr>
          <w:rFonts w:hint="eastAsia"/>
        </w:rPr>
      </w:pPr>
      <w:bookmarkStart w:id="81" w:name="_Toc23103"/>
      <w:r>
        <w:rPr>
          <w:rFonts w:hint="eastAsia"/>
        </w:rPr>
        <w:t>碳排放与能源消耗指标变化</w:t>
      </w:r>
      <w:bookmarkEnd w:id="81"/>
    </w:p>
    <w:p w14:paraId="73678A09">
      <w:pPr>
        <w:rPr>
          <w:rFonts w:hint="eastAsia"/>
          <w:lang w:eastAsia="zh-CN"/>
        </w:rPr>
      </w:pPr>
      <w:r>
        <w:rPr>
          <w:rFonts w:hint="eastAsia"/>
        </w:rPr>
        <w:t>天原股份在2022年ESG报告中披露了天然气、柴油和外购电力等分项能源数据，但尚未给出综合能源消耗总量，也未披露公司层面的范围一、范围二及温室气体排放总量</w:t>
      </w:r>
      <w:r>
        <w:rPr>
          <w:rFonts w:hint="default"/>
          <w:vertAlign w:val="superscript"/>
        </w:rPr>
        <w:fldChar w:fldCharType="begin"/>
      </w:r>
      <w:r>
        <w:instrText xml:space="preserve"> REF _Ref9644 \r \h  \* MERGEFORMAT</w:instrText>
      </w:r>
      <w:r>
        <w:rPr>
          <w:rFonts w:hint="default"/>
          <w:vertAlign w:val="superscript"/>
        </w:rPr>
        <w:fldChar w:fldCharType="separate"/>
      </w:r>
      <w:r>
        <w:rPr>
          <w:rFonts w:hint="default"/>
          <w:vertAlign w:val="superscript"/>
        </w:rPr>
        <w:t>[12]</w:t>
      </w:r>
      <w:r>
        <w:rPr>
          <w:rFonts w:hint="default"/>
          <w:vertAlign w:val="superscript"/>
        </w:rPr>
        <w:fldChar w:fldCharType="end"/>
      </w:r>
      <w:r>
        <w:rPr>
          <w:rFonts w:hint="eastAsia"/>
          <w:lang w:eastAsia="zh-CN"/>
        </w:rPr>
        <w:t>。</w:t>
      </w:r>
    </w:p>
    <w:p w14:paraId="761A6779">
      <w:pPr>
        <w:rPr>
          <w:rFonts w:hint="eastAsia"/>
          <w:lang w:eastAsia="zh-CN"/>
        </w:rPr>
      </w:pPr>
      <w:r>
        <w:rPr>
          <w:rFonts w:hint="eastAsia"/>
          <w:lang w:eastAsia="zh-CN"/>
        </w:rPr>
        <w:t>到2023年，公司披露的相关数据更为完整：综合能源消耗总量为87.76万吨标准煤，范围一温室气体排放量为152.89万吨二氧化碳当量，范围二为154.11万吨二氧化碳当量，温室气体排放总量为307.00万吨二氧化碳当量</w:t>
      </w:r>
      <w:r>
        <w:rPr>
          <w:rFonts w:hint="eastAsia"/>
          <w:vertAlign w:val="superscript"/>
          <w:lang w:eastAsia="zh-CN"/>
        </w:rPr>
        <w:fldChar w:fldCharType="begin"/>
      </w:r>
      <w:r>
        <w:instrText xml:space="preserve"> REF _Ref9667 \r \h  \* MERGEFORMAT</w:instrText>
      </w:r>
      <w:r>
        <w:rPr>
          <w:rFonts w:hint="eastAsia"/>
          <w:vertAlign w:val="superscript"/>
          <w:lang w:eastAsia="zh-CN"/>
        </w:rPr>
        <w:fldChar w:fldCharType="separate"/>
      </w:r>
      <w:r>
        <w:rPr>
          <w:rFonts w:hint="eastAsia"/>
          <w:vertAlign w:val="superscript"/>
          <w:lang w:eastAsia="zh-CN"/>
        </w:rPr>
        <w:t>[13]</w:t>
      </w:r>
      <w:r>
        <w:rPr>
          <w:rFonts w:hint="eastAsia"/>
          <w:vertAlign w:val="superscript"/>
          <w:lang w:eastAsia="zh-CN"/>
        </w:rPr>
        <w:fldChar w:fldCharType="end"/>
      </w:r>
      <w:r>
        <w:rPr>
          <w:rFonts w:hint="eastAsia"/>
          <w:lang w:eastAsia="zh-CN"/>
        </w:rPr>
        <w:t>。2024年对应数据分别为80.30万吨标准煤、152.38万吨二氧化碳当量、153.43万吨二氧化碳当量和305.81万吨二氧化碳当量</w:t>
      </w:r>
      <w:r>
        <w:rPr>
          <w:rFonts w:hint="eastAsia"/>
          <w:vertAlign w:val="superscript"/>
          <w:lang w:eastAsia="zh-CN"/>
        </w:rPr>
        <w:fldChar w:fldCharType="begin"/>
      </w:r>
      <w:r>
        <w:instrText xml:space="preserve"> REF _Ref9585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lang w:eastAsia="zh-CN"/>
        </w:rPr>
        <w:t>。</w:t>
      </w:r>
    </w:p>
    <w:p w14:paraId="6DF953FB">
      <w:pPr>
        <w:rPr>
          <w:rFonts w:hint="eastAsia"/>
          <w:lang w:eastAsia="zh-CN"/>
        </w:rPr>
      </w:pPr>
      <w:r>
        <w:rPr>
          <w:rFonts w:hint="eastAsia"/>
          <w:lang w:eastAsia="zh-CN"/>
        </w:rPr>
        <w:t>2023年和2024年的能源消耗及温室气体排放统计范围并不完全一致，2024年部分统计对象有所调整和扩展</w:t>
      </w:r>
      <w:r>
        <w:rPr>
          <w:rFonts w:hint="eastAsia"/>
          <w:vertAlign w:val="superscript"/>
          <w:lang w:eastAsia="zh-CN"/>
        </w:rPr>
        <w:fldChar w:fldCharType="begin"/>
      </w:r>
      <w:r>
        <w:instrText xml:space="preserve"> REF _Ref9585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vertAlign w:val="superscript"/>
          <w:lang w:eastAsia="zh-CN"/>
        </w:rPr>
        <w:fldChar w:fldCharType="begin"/>
      </w:r>
      <w:r>
        <w:instrText xml:space="preserve"> REF _Ref9667 \r \h  \* MERGEFORMAT</w:instrText>
      </w:r>
      <w:r>
        <w:rPr>
          <w:rFonts w:hint="eastAsia"/>
          <w:vertAlign w:val="superscript"/>
          <w:lang w:eastAsia="zh-CN"/>
        </w:rPr>
        <w:fldChar w:fldCharType="separate"/>
      </w:r>
      <w:r>
        <w:rPr>
          <w:rFonts w:hint="eastAsia"/>
          <w:vertAlign w:val="superscript"/>
          <w:lang w:eastAsia="zh-CN"/>
        </w:rPr>
        <w:t>[13]</w:t>
      </w:r>
      <w:r>
        <w:rPr>
          <w:rFonts w:hint="eastAsia"/>
          <w:vertAlign w:val="superscript"/>
          <w:lang w:eastAsia="zh-CN"/>
        </w:rPr>
        <w:fldChar w:fldCharType="end"/>
      </w:r>
      <w:r>
        <w:rPr>
          <w:rFonts w:hint="eastAsia"/>
          <w:lang w:eastAsia="zh-CN"/>
        </w:rPr>
        <w:t>。因此，两年数据更适合用于观察披露情况及总体变化，不宜作为严格同口径同比数据。相关情况汇总于表3。</w:t>
      </w:r>
    </w:p>
    <w:p w14:paraId="3852D43B">
      <w:pPr>
        <w:ind w:left="0" w:leftChars="0" w:firstLine="0" w:firstLineChars="0"/>
        <w:jc w:val="center"/>
        <w:rPr>
          <w:rFonts w:hint="eastAsia"/>
          <w:sz w:val="21"/>
          <w:szCs w:val="21"/>
          <w:lang w:eastAsia="zh-CN"/>
        </w:rPr>
      </w:pPr>
      <w:r>
        <w:rPr>
          <w:rFonts w:hint="eastAsia"/>
          <w:sz w:val="21"/>
          <w:szCs w:val="21"/>
          <w:lang w:eastAsia="zh-CN"/>
        </w:rPr>
        <w:t>表</w:t>
      </w:r>
      <w:r>
        <w:rPr>
          <w:rFonts w:hint="eastAsia"/>
          <w:sz w:val="21"/>
          <w:szCs w:val="21"/>
          <w:lang w:val="en-US" w:eastAsia="zh-CN"/>
        </w:rPr>
        <w:t>3 天原股份能源消耗及温室气体排放披露情况（2022-2024年）</w:t>
      </w:r>
    </w:p>
    <w:tbl>
      <w:tblPr>
        <w:tblStyle w:val="2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14"/>
        <w:gridCol w:w="1914"/>
        <w:gridCol w:w="1914"/>
        <w:gridCol w:w="1914"/>
        <w:gridCol w:w="1915"/>
      </w:tblGrid>
      <w:tr w14:paraId="3EA0BC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4" w:type="dxa"/>
            <w:tcBorders>
              <w:bottom w:val="single" w:color="000000" w:sz="4" w:space="0"/>
              <w:tl2br w:val="nil"/>
              <w:tr2bl w:val="nil"/>
            </w:tcBorders>
            <w:vAlign w:val="center"/>
          </w:tcPr>
          <w:p w14:paraId="1ACD0BA1">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sz w:val="21"/>
                <w:szCs w:val="21"/>
                <w:vertAlign w:val="baseline"/>
                <w:lang w:val="en-US" w:eastAsia="zh-CN"/>
              </w:rPr>
            </w:pPr>
            <w:r>
              <w:rPr>
                <w:rFonts w:hint="eastAsia"/>
                <w:sz w:val="21"/>
                <w:szCs w:val="21"/>
                <w:vertAlign w:val="baseline"/>
                <w:lang w:val="en-US" w:eastAsia="zh-CN"/>
              </w:rPr>
              <w:t>年份</w:t>
            </w:r>
          </w:p>
        </w:tc>
        <w:tc>
          <w:tcPr>
            <w:tcW w:w="1914" w:type="dxa"/>
            <w:tcBorders>
              <w:bottom w:val="single" w:color="000000" w:sz="4" w:space="0"/>
              <w:tl2br w:val="nil"/>
              <w:tr2bl w:val="nil"/>
            </w:tcBorders>
            <w:vAlign w:val="center"/>
          </w:tcPr>
          <w:p w14:paraId="07377615">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sz w:val="21"/>
                <w:szCs w:val="21"/>
                <w:vertAlign w:val="baseline"/>
                <w:lang w:val="en-US" w:eastAsia="zh-CN"/>
              </w:rPr>
            </w:pPr>
            <w:r>
              <w:rPr>
                <w:rFonts w:hint="eastAsia"/>
                <w:sz w:val="21"/>
                <w:szCs w:val="21"/>
                <w:vertAlign w:val="baseline"/>
                <w:lang w:val="en-US" w:eastAsia="zh-CN"/>
              </w:rPr>
              <w:t>综合能源消耗总量（万吨标准煤）</w:t>
            </w:r>
          </w:p>
        </w:tc>
        <w:tc>
          <w:tcPr>
            <w:tcW w:w="1914" w:type="dxa"/>
            <w:tcBorders>
              <w:bottom w:val="single" w:color="000000" w:sz="4" w:space="0"/>
              <w:tl2br w:val="nil"/>
              <w:tr2bl w:val="nil"/>
            </w:tcBorders>
            <w:vAlign w:val="center"/>
          </w:tcPr>
          <w:p w14:paraId="5A564A2F">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sz w:val="21"/>
                <w:szCs w:val="21"/>
                <w:vertAlign w:val="baseline"/>
                <w:lang w:val="en-US" w:eastAsia="zh-CN"/>
              </w:rPr>
            </w:pPr>
            <w:r>
              <w:rPr>
                <w:rFonts w:hint="eastAsia"/>
                <w:sz w:val="21"/>
                <w:szCs w:val="21"/>
                <w:vertAlign w:val="baseline"/>
                <w:lang w:val="en-US" w:eastAsia="zh-CN"/>
              </w:rPr>
              <w:t>范围一温室气体排放量（万吨CO</w:t>
            </w:r>
            <w:r>
              <w:rPr>
                <w:rFonts w:hint="eastAsia"/>
                <w:sz w:val="21"/>
                <w:szCs w:val="21"/>
                <w:vertAlign w:val="subscript"/>
                <w:lang w:val="en-US" w:eastAsia="zh-CN"/>
              </w:rPr>
              <w:t>2</w:t>
            </w:r>
            <w:r>
              <w:rPr>
                <w:rFonts w:hint="eastAsia"/>
                <w:sz w:val="21"/>
                <w:szCs w:val="21"/>
                <w:vertAlign w:val="baseline"/>
                <w:lang w:val="en-US" w:eastAsia="zh-CN"/>
              </w:rPr>
              <w:t>e）</w:t>
            </w:r>
          </w:p>
        </w:tc>
        <w:tc>
          <w:tcPr>
            <w:tcW w:w="1914" w:type="dxa"/>
            <w:tcBorders>
              <w:bottom w:val="single" w:color="000000" w:sz="4" w:space="0"/>
              <w:tl2br w:val="nil"/>
              <w:tr2bl w:val="nil"/>
            </w:tcBorders>
            <w:vAlign w:val="center"/>
          </w:tcPr>
          <w:p w14:paraId="27C184F0">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sz w:val="21"/>
                <w:szCs w:val="21"/>
                <w:vertAlign w:val="baseline"/>
                <w:lang w:val="en-US" w:eastAsia="zh-CN"/>
              </w:rPr>
            </w:pPr>
            <w:r>
              <w:rPr>
                <w:rFonts w:hint="eastAsia"/>
                <w:sz w:val="21"/>
                <w:szCs w:val="21"/>
                <w:vertAlign w:val="baseline"/>
                <w:lang w:val="en-US" w:eastAsia="zh-CN"/>
              </w:rPr>
              <w:t>范围二温室气体排放量（万吨CO</w:t>
            </w:r>
            <w:r>
              <w:rPr>
                <w:rFonts w:hint="eastAsia"/>
                <w:sz w:val="21"/>
                <w:szCs w:val="21"/>
                <w:vertAlign w:val="subscript"/>
                <w:lang w:val="en-US" w:eastAsia="zh-CN"/>
              </w:rPr>
              <w:t>2</w:t>
            </w:r>
            <w:r>
              <w:rPr>
                <w:rFonts w:hint="eastAsia"/>
                <w:sz w:val="21"/>
                <w:szCs w:val="21"/>
                <w:vertAlign w:val="baseline"/>
                <w:lang w:val="en-US" w:eastAsia="zh-CN"/>
              </w:rPr>
              <w:t>e）</w:t>
            </w:r>
          </w:p>
        </w:tc>
        <w:tc>
          <w:tcPr>
            <w:tcW w:w="1915" w:type="dxa"/>
            <w:tcBorders>
              <w:bottom w:val="single" w:color="000000" w:sz="4" w:space="0"/>
              <w:tl2br w:val="nil"/>
              <w:tr2bl w:val="nil"/>
            </w:tcBorders>
            <w:vAlign w:val="center"/>
          </w:tcPr>
          <w:p w14:paraId="3AC8AF11">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sz w:val="21"/>
                <w:szCs w:val="21"/>
                <w:vertAlign w:val="baseline"/>
                <w:lang w:val="en-US" w:eastAsia="zh-CN"/>
              </w:rPr>
            </w:pPr>
            <w:r>
              <w:rPr>
                <w:rFonts w:hint="eastAsia"/>
                <w:sz w:val="21"/>
                <w:szCs w:val="21"/>
                <w:vertAlign w:val="baseline"/>
                <w:lang w:val="en-US" w:eastAsia="zh-CN"/>
              </w:rPr>
              <w:t>温室气体排放总量（万吨CO</w:t>
            </w:r>
            <w:r>
              <w:rPr>
                <w:rFonts w:hint="eastAsia"/>
                <w:sz w:val="21"/>
                <w:szCs w:val="21"/>
                <w:vertAlign w:val="subscript"/>
                <w:lang w:val="en-US" w:eastAsia="zh-CN"/>
              </w:rPr>
              <w:t>2</w:t>
            </w:r>
            <w:r>
              <w:rPr>
                <w:rFonts w:hint="eastAsia"/>
                <w:sz w:val="21"/>
                <w:szCs w:val="21"/>
                <w:vertAlign w:val="baseline"/>
                <w:lang w:val="en-US" w:eastAsia="zh-CN"/>
              </w:rPr>
              <w:t>e）</w:t>
            </w:r>
          </w:p>
        </w:tc>
      </w:tr>
      <w:tr w14:paraId="14EB82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4" w:type="dxa"/>
            <w:tcBorders>
              <w:top w:val="single" w:color="000000" w:sz="4" w:space="0"/>
              <w:tl2br w:val="nil"/>
              <w:tr2bl w:val="nil"/>
            </w:tcBorders>
            <w:vAlign w:val="center"/>
          </w:tcPr>
          <w:p w14:paraId="649BC5B1">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default"/>
                <w:sz w:val="21"/>
                <w:szCs w:val="21"/>
                <w:vertAlign w:val="baseline"/>
                <w:lang w:val="en-US" w:eastAsia="zh-CN"/>
              </w:rPr>
            </w:pPr>
            <w:r>
              <w:rPr>
                <w:rFonts w:hint="eastAsia"/>
                <w:sz w:val="21"/>
                <w:szCs w:val="21"/>
                <w:vertAlign w:val="baseline"/>
                <w:lang w:val="en-US" w:eastAsia="zh-CN"/>
              </w:rPr>
              <w:t>2022</w:t>
            </w:r>
          </w:p>
        </w:tc>
        <w:tc>
          <w:tcPr>
            <w:tcW w:w="1914" w:type="dxa"/>
            <w:tcBorders>
              <w:top w:val="single" w:color="000000" w:sz="4" w:space="0"/>
              <w:tl2br w:val="nil"/>
              <w:tr2bl w:val="nil"/>
            </w:tcBorders>
            <w:vAlign w:val="center"/>
          </w:tcPr>
          <w:p w14:paraId="1935E362">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sz w:val="21"/>
                <w:szCs w:val="21"/>
                <w:vertAlign w:val="baseline"/>
                <w:lang w:val="en-US" w:eastAsia="zh-CN"/>
              </w:rPr>
            </w:pPr>
            <w:r>
              <w:rPr>
                <w:rFonts w:hint="eastAsia"/>
                <w:sz w:val="21"/>
                <w:szCs w:val="21"/>
                <w:vertAlign w:val="baseline"/>
                <w:lang w:val="en-US" w:eastAsia="zh-CN"/>
              </w:rPr>
              <w:t>未披露</w:t>
            </w:r>
          </w:p>
        </w:tc>
        <w:tc>
          <w:tcPr>
            <w:tcW w:w="1914" w:type="dxa"/>
            <w:tcBorders>
              <w:top w:val="single" w:color="000000" w:sz="4" w:space="0"/>
              <w:tl2br w:val="nil"/>
              <w:tr2bl w:val="nil"/>
            </w:tcBorders>
            <w:vAlign w:val="center"/>
          </w:tcPr>
          <w:p w14:paraId="599F7CDA">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sz w:val="21"/>
                <w:szCs w:val="21"/>
                <w:vertAlign w:val="baseline"/>
                <w:lang w:val="en-US" w:eastAsia="zh-CN"/>
              </w:rPr>
            </w:pPr>
            <w:r>
              <w:rPr>
                <w:rFonts w:hint="eastAsia"/>
                <w:sz w:val="21"/>
                <w:szCs w:val="21"/>
                <w:vertAlign w:val="baseline"/>
                <w:lang w:val="en-US" w:eastAsia="zh-CN"/>
              </w:rPr>
              <w:t>未披露</w:t>
            </w:r>
          </w:p>
        </w:tc>
        <w:tc>
          <w:tcPr>
            <w:tcW w:w="1914" w:type="dxa"/>
            <w:tcBorders>
              <w:top w:val="single" w:color="000000" w:sz="4" w:space="0"/>
              <w:tl2br w:val="nil"/>
              <w:tr2bl w:val="nil"/>
            </w:tcBorders>
            <w:vAlign w:val="center"/>
          </w:tcPr>
          <w:p w14:paraId="092D1A41">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sz w:val="21"/>
                <w:szCs w:val="21"/>
                <w:vertAlign w:val="baseline"/>
                <w:lang w:val="en-US" w:eastAsia="zh-CN"/>
              </w:rPr>
            </w:pPr>
            <w:r>
              <w:rPr>
                <w:rFonts w:hint="eastAsia"/>
                <w:sz w:val="21"/>
                <w:szCs w:val="21"/>
                <w:vertAlign w:val="baseline"/>
                <w:lang w:val="en-US" w:eastAsia="zh-CN"/>
              </w:rPr>
              <w:t>未披露</w:t>
            </w:r>
          </w:p>
        </w:tc>
        <w:tc>
          <w:tcPr>
            <w:tcW w:w="1915" w:type="dxa"/>
            <w:tcBorders>
              <w:top w:val="single" w:color="000000" w:sz="4" w:space="0"/>
              <w:tl2br w:val="nil"/>
              <w:tr2bl w:val="nil"/>
            </w:tcBorders>
            <w:vAlign w:val="center"/>
          </w:tcPr>
          <w:p w14:paraId="25E7045F">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sz w:val="21"/>
                <w:szCs w:val="21"/>
                <w:vertAlign w:val="baseline"/>
                <w:lang w:val="en-US" w:eastAsia="zh-CN"/>
              </w:rPr>
            </w:pPr>
            <w:r>
              <w:rPr>
                <w:rFonts w:hint="eastAsia"/>
                <w:sz w:val="21"/>
                <w:szCs w:val="21"/>
                <w:vertAlign w:val="baseline"/>
                <w:lang w:val="en-US" w:eastAsia="zh-CN"/>
              </w:rPr>
              <w:t>未披露</w:t>
            </w:r>
          </w:p>
        </w:tc>
      </w:tr>
      <w:tr w14:paraId="7F8689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4" w:type="dxa"/>
            <w:tcBorders>
              <w:tl2br w:val="nil"/>
              <w:tr2bl w:val="nil"/>
            </w:tcBorders>
            <w:vAlign w:val="center"/>
          </w:tcPr>
          <w:p w14:paraId="717C43B6">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default"/>
                <w:sz w:val="21"/>
                <w:szCs w:val="21"/>
                <w:vertAlign w:val="baseline"/>
                <w:lang w:val="en-US" w:eastAsia="zh-CN"/>
              </w:rPr>
            </w:pPr>
            <w:r>
              <w:rPr>
                <w:rFonts w:hint="eastAsia"/>
                <w:sz w:val="21"/>
                <w:szCs w:val="21"/>
                <w:vertAlign w:val="baseline"/>
                <w:lang w:val="en-US" w:eastAsia="zh-CN"/>
              </w:rPr>
              <w:t>2023</w:t>
            </w:r>
          </w:p>
        </w:tc>
        <w:tc>
          <w:tcPr>
            <w:tcW w:w="1914" w:type="dxa"/>
            <w:tcBorders>
              <w:tl2br w:val="nil"/>
              <w:tr2bl w:val="nil"/>
            </w:tcBorders>
            <w:vAlign w:val="center"/>
          </w:tcPr>
          <w:p w14:paraId="6F626705">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sz w:val="21"/>
                <w:szCs w:val="21"/>
                <w:vertAlign w:val="baseline"/>
                <w:lang w:val="en-US" w:eastAsia="zh-CN"/>
              </w:rPr>
            </w:pPr>
            <w:r>
              <w:rPr>
                <w:rFonts w:hint="eastAsia"/>
                <w:sz w:val="21"/>
                <w:szCs w:val="21"/>
                <w:vertAlign w:val="baseline"/>
                <w:lang w:val="en-US" w:eastAsia="zh-CN"/>
              </w:rPr>
              <w:t>87.76</w:t>
            </w:r>
          </w:p>
        </w:tc>
        <w:tc>
          <w:tcPr>
            <w:tcW w:w="1914" w:type="dxa"/>
            <w:tcBorders>
              <w:tl2br w:val="nil"/>
              <w:tr2bl w:val="nil"/>
            </w:tcBorders>
            <w:vAlign w:val="center"/>
          </w:tcPr>
          <w:p w14:paraId="18642B78">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sz w:val="21"/>
                <w:szCs w:val="21"/>
                <w:vertAlign w:val="baseline"/>
                <w:lang w:val="en-US" w:eastAsia="zh-CN"/>
              </w:rPr>
            </w:pPr>
            <w:r>
              <w:rPr>
                <w:rFonts w:hint="eastAsia"/>
                <w:sz w:val="21"/>
                <w:szCs w:val="21"/>
                <w:vertAlign w:val="baseline"/>
                <w:lang w:val="en-US" w:eastAsia="zh-CN"/>
              </w:rPr>
              <w:t>152.89</w:t>
            </w:r>
          </w:p>
        </w:tc>
        <w:tc>
          <w:tcPr>
            <w:tcW w:w="1914" w:type="dxa"/>
            <w:tcBorders>
              <w:tl2br w:val="nil"/>
              <w:tr2bl w:val="nil"/>
            </w:tcBorders>
            <w:vAlign w:val="center"/>
          </w:tcPr>
          <w:p w14:paraId="65371CF1">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sz w:val="21"/>
                <w:szCs w:val="21"/>
                <w:vertAlign w:val="baseline"/>
                <w:lang w:val="en-US" w:eastAsia="zh-CN"/>
              </w:rPr>
            </w:pPr>
            <w:r>
              <w:rPr>
                <w:rFonts w:hint="eastAsia"/>
                <w:sz w:val="21"/>
                <w:szCs w:val="21"/>
                <w:vertAlign w:val="baseline"/>
                <w:lang w:val="en-US" w:eastAsia="zh-CN"/>
              </w:rPr>
              <w:t>154.11</w:t>
            </w:r>
          </w:p>
        </w:tc>
        <w:tc>
          <w:tcPr>
            <w:tcW w:w="1915" w:type="dxa"/>
            <w:tcBorders>
              <w:tl2br w:val="nil"/>
              <w:tr2bl w:val="nil"/>
            </w:tcBorders>
            <w:vAlign w:val="center"/>
          </w:tcPr>
          <w:p w14:paraId="225D4063">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sz w:val="21"/>
                <w:szCs w:val="21"/>
                <w:vertAlign w:val="baseline"/>
                <w:lang w:val="en-US" w:eastAsia="zh-CN"/>
              </w:rPr>
            </w:pPr>
            <w:r>
              <w:rPr>
                <w:rFonts w:hint="eastAsia"/>
                <w:sz w:val="21"/>
                <w:szCs w:val="21"/>
                <w:vertAlign w:val="baseline"/>
                <w:lang w:val="en-US" w:eastAsia="zh-CN"/>
              </w:rPr>
              <w:t>307.00</w:t>
            </w:r>
          </w:p>
        </w:tc>
      </w:tr>
      <w:tr w14:paraId="2F569B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4" w:type="dxa"/>
            <w:tcBorders>
              <w:tl2br w:val="nil"/>
              <w:tr2bl w:val="nil"/>
            </w:tcBorders>
            <w:vAlign w:val="center"/>
          </w:tcPr>
          <w:p w14:paraId="6A443030">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default"/>
                <w:sz w:val="21"/>
                <w:szCs w:val="21"/>
                <w:vertAlign w:val="baseline"/>
                <w:lang w:val="en-US" w:eastAsia="zh-CN"/>
              </w:rPr>
            </w:pPr>
            <w:r>
              <w:rPr>
                <w:rFonts w:hint="eastAsia"/>
                <w:sz w:val="21"/>
                <w:szCs w:val="21"/>
                <w:vertAlign w:val="baseline"/>
                <w:lang w:val="en-US" w:eastAsia="zh-CN"/>
              </w:rPr>
              <w:t>2024</w:t>
            </w:r>
          </w:p>
        </w:tc>
        <w:tc>
          <w:tcPr>
            <w:tcW w:w="1914" w:type="dxa"/>
            <w:tcBorders>
              <w:tl2br w:val="nil"/>
              <w:tr2bl w:val="nil"/>
            </w:tcBorders>
            <w:vAlign w:val="center"/>
          </w:tcPr>
          <w:p w14:paraId="7B9C9D70">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sz w:val="21"/>
                <w:szCs w:val="21"/>
                <w:vertAlign w:val="baseline"/>
                <w:lang w:val="en-US" w:eastAsia="zh-CN"/>
              </w:rPr>
            </w:pPr>
            <w:r>
              <w:rPr>
                <w:rFonts w:hint="eastAsia"/>
                <w:sz w:val="21"/>
                <w:szCs w:val="21"/>
                <w:vertAlign w:val="baseline"/>
                <w:lang w:val="en-US" w:eastAsia="zh-CN"/>
              </w:rPr>
              <w:t>80.30</w:t>
            </w:r>
          </w:p>
        </w:tc>
        <w:tc>
          <w:tcPr>
            <w:tcW w:w="1914" w:type="dxa"/>
            <w:tcBorders>
              <w:tl2br w:val="nil"/>
              <w:tr2bl w:val="nil"/>
            </w:tcBorders>
            <w:vAlign w:val="center"/>
          </w:tcPr>
          <w:p w14:paraId="79F256E9">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sz w:val="21"/>
                <w:szCs w:val="21"/>
                <w:vertAlign w:val="baseline"/>
                <w:lang w:val="en-US" w:eastAsia="zh-CN"/>
              </w:rPr>
            </w:pPr>
            <w:r>
              <w:rPr>
                <w:rFonts w:hint="eastAsia"/>
                <w:sz w:val="21"/>
                <w:szCs w:val="21"/>
                <w:vertAlign w:val="baseline"/>
                <w:lang w:val="en-US" w:eastAsia="zh-CN"/>
              </w:rPr>
              <w:t>152.38</w:t>
            </w:r>
          </w:p>
        </w:tc>
        <w:tc>
          <w:tcPr>
            <w:tcW w:w="1914" w:type="dxa"/>
            <w:tcBorders>
              <w:tl2br w:val="nil"/>
              <w:tr2bl w:val="nil"/>
            </w:tcBorders>
            <w:vAlign w:val="center"/>
          </w:tcPr>
          <w:p w14:paraId="7AD9851F">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sz w:val="21"/>
                <w:szCs w:val="21"/>
                <w:vertAlign w:val="baseline"/>
                <w:lang w:val="en-US" w:eastAsia="zh-CN"/>
              </w:rPr>
            </w:pPr>
            <w:r>
              <w:rPr>
                <w:rFonts w:hint="eastAsia"/>
                <w:sz w:val="21"/>
                <w:szCs w:val="21"/>
                <w:vertAlign w:val="baseline"/>
                <w:lang w:val="en-US" w:eastAsia="zh-CN"/>
              </w:rPr>
              <w:t>153.43</w:t>
            </w:r>
          </w:p>
        </w:tc>
        <w:tc>
          <w:tcPr>
            <w:tcW w:w="1915" w:type="dxa"/>
            <w:tcBorders>
              <w:tl2br w:val="nil"/>
              <w:tr2bl w:val="nil"/>
            </w:tcBorders>
            <w:vAlign w:val="center"/>
          </w:tcPr>
          <w:p w14:paraId="60A41D3B">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sz w:val="21"/>
                <w:szCs w:val="21"/>
                <w:vertAlign w:val="baseline"/>
                <w:lang w:val="en-US" w:eastAsia="zh-CN"/>
              </w:rPr>
            </w:pPr>
            <w:r>
              <w:rPr>
                <w:rFonts w:hint="eastAsia"/>
                <w:sz w:val="21"/>
                <w:szCs w:val="21"/>
                <w:vertAlign w:val="baseline"/>
                <w:lang w:val="en-US" w:eastAsia="zh-CN"/>
              </w:rPr>
              <w:t>305.81</w:t>
            </w:r>
          </w:p>
        </w:tc>
      </w:tr>
    </w:tbl>
    <w:p w14:paraId="30D33EC6">
      <w:pPr>
        <w:bidi w:val="0"/>
        <w:rPr>
          <w:rFonts w:hint="eastAsia"/>
          <w:sz w:val="24"/>
          <w:szCs w:val="24"/>
          <w:lang w:val="en-US" w:eastAsia="zh-CN"/>
        </w:rPr>
      </w:pPr>
      <w:r>
        <w:rPr>
          <w:rFonts w:hint="eastAsia"/>
          <w:sz w:val="24"/>
          <w:szCs w:val="24"/>
          <w:lang w:val="en-US" w:eastAsia="zh-CN"/>
        </w:rPr>
        <w:t>注：2022年报告未披露综合能源消耗总量及范围一、范围二和温室气体排放总量；2023-2024年相关指标的统计范围存在调整，因此两年数据仅用于观察披露及总体变化情况，不视为完全同口径可比数据。</w:t>
      </w:r>
    </w:p>
    <w:p w14:paraId="243F1382">
      <w:pPr>
        <w:bidi w:val="0"/>
        <w:rPr>
          <w:rFonts w:hint="eastAsia"/>
          <w:sz w:val="24"/>
          <w:szCs w:val="24"/>
          <w:lang w:val="en-US" w:eastAsia="zh-CN"/>
        </w:rPr>
      </w:pPr>
      <w:r>
        <w:rPr>
          <w:rFonts w:hint="eastAsia"/>
          <w:sz w:val="24"/>
          <w:szCs w:val="24"/>
          <w:lang w:val="en-US" w:eastAsia="zh-CN"/>
        </w:rPr>
        <w:t>资料来源：根据天原股份2022-2024年度ESG报告</w:t>
      </w:r>
      <w:r>
        <w:rPr>
          <w:rFonts w:hint="eastAsia"/>
          <w:sz w:val="24"/>
          <w:szCs w:val="24"/>
          <w:vertAlign w:val="superscript"/>
          <w:lang w:val="en-US" w:eastAsia="zh-CN"/>
        </w:rPr>
        <w:fldChar w:fldCharType="begin"/>
      </w:r>
      <w:r>
        <w:rPr>
          <w:sz w:val="24"/>
          <w:szCs w:val="24"/>
        </w:rPr>
        <w:instrText xml:space="preserve"> REF _Ref9644 \r \h  \* MERGEFORMAT</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[12]</w:t>
      </w:r>
      <w:r>
        <w:rPr>
          <w:rFonts w:hint="eastAsia"/>
          <w:sz w:val="24"/>
          <w:szCs w:val="24"/>
          <w:vertAlign w:val="superscript"/>
          <w:lang w:val="en-US" w:eastAsia="zh-CN"/>
        </w:rPr>
        <w:fldChar w:fldCharType="end"/>
      </w:r>
      <w:r>
        <w:rPr>
          <w:rFonts w:hint="eastAsia"/>
          <w:sz w:val="24"/>
          <w:szCs w:val="24"/>
          <w:vertAlign w:val="superscript"/>
          <w:lang w:val="en-US" w:eastAsia="zh-CN"/>
        </w:rPr>
        <w:fldChar w:fldCharType="begin"/>
      </w:r>
      <w:r>
        <w:rPr>
          <w:sz w:val="24"/>
          <w:szCs w:val="24"/>
        </w:rPr>
        <w:instrText xml:space="preserve"> REF _Ref9667 \r \h  \* MERGEFORMAT</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[13]</w:t>
      </w:r>
      <w:r>
        <w:rPr>
          <w:rFonts w:hint="eastAsia"/>
          <w:sz w:val="24"/>
          <w:szCs w:val="24"/>
          <w:vertAlign w:val="superscript"/>
          <w:lang w:val="en-US" w:eastAsia="zh-CN"/>
        </w:rPr>
        <w:fldChar w:fldCharType="end"/>
      </w:r>
      <w:r>
        <w:rPr>
          <w:rFonts w:hint="eastAsia"/>
          <w:sz w:val="24"/>
          <w:szCs w:val="24"/>
          <w:vertAlign w:val="superscript"/>
          <w:lang w:val="en-US" w:eastAsia="zh-CN"/>
        </w:rPr>
        <w:fldChar w:fldCharType="begin"/>
      </w:r>
      <w:r>
        <w:rPr>
          <w:sz w:val="24"/>
          <w:szCs w:val="24"/>
        </w:rPr>
        <w:instrText xml:space="preserve"> REF _Ref9585 \r \h  \* MERGEFORMAT</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[10]</w:t>
      </w:r>
      <w:r>
        <w:rPr>
          <w:rFonts w:hint="eastAsia"/>
          <w:sz w:val="24"/>
          <w:szCs w:val="24"/>
          <w:vertAlign w:val="superscript"/>
          <w:lang w:val="en-US" w:eastAsia="zh-CN"/>
        </w:rPr>
        <w:fldChar w:fldCharType="end"/>
      </w:r>
      <w:r>
        <w:rPr>
          <w:rFonts w:hint="eastAsia"/>
          <w:sz w:val="24"/>
          <w:szCs w:val="24"/>
          <w:lang w:val="en-US" w:eastAsia="zh-CN"/>
        </w:rPr>
        <w:t>整理。</w:t>
      </w:r>
    </w:p>
    <w:p w14:paraId="7B0BFA02">
      <w:pPr>
        <w:pStyle w:val="2"/>
        <w:bidi w:val="0"/>
        <w:rPr>
          <w:rFonts w:hint="eastAsia" w:ascii="宋体" w:hAnsi="宋体" w:eastAsia="宋体" w:cs="宋体"/>
          <w:color w:val="auto"/>
        </w:rPr>
      </w:pPr>
      <w:bookmarkStart w:id="82" w:name="_Toc7658"/>
      <w:bookmarkStart w:id="83" w:name="_Toc13139"/>
      <w:bookmarkStart w:id="84" w:name="_Toc6726"/>
      <w:r>
        <w:rPr>
          <w:rFonts w:hint="eastAsia" w:ascii="宋体" w:hAnsi="宋体" w:eastAsia="宋体" w:cs="宋体"/>
          <w:color w:val="auto"/>
        </w:rPr>
        <w:t>“双碳</w:t>
      </w:r>
      <w:r>
        <w:rPr>
          <w:rFonts w:hint="eastAsia" w:ascii="宋体" w:hAnsi="宋体" w:eastAsia="宋体" w:cs="宋体"/>
          <w:color w:val="auto"/>
          <w:lang w:eastAsia="zh-CN"/>
        </w:rPr>
        <w:t>”</w:t>
      </w:r>
      <w:r>
        <w:rPr>
          <w:rFonts w:hint="eastAsia" w:ascii="宋体" w:hAnsi="宋体" w:eastAsia="宋体" w:cs="宋体"/>
          <w:color w:val="auto"/>
        </w:rPr>
        <w:t>背景下天原股份ESG信息披露存在的问题分析</w:t>
      </w:r>
      <w:bookmarkEnd w:id="82"/>
      <w:bookmarkEnd w:id="83"/>
      <w:bookmarkEnd w:id="84"/>
    </w:p>
    <w:p w14:paraId="4000A2B8">
      <w:pPr>
        <w:pStyle w:val="3"/>
        <w:bidi w:val="0"/>
        <w:rPr>
          <w:rFonts w:hint="eastAsia" w:ascii="宋体" w:hAnsi="宋体" w:eastAsia="宋体" w:cs="宋体"/>
          <w:color w:val="auto"/>
        </w:rPr>
      </w:pPr>
      <w:bookmarkStart w:id="85" w:name="_Toc12603"/>
      <w:bookmarkStart w:id="86" w:name="_Toc27500"/>
      <w:bookmarkStart w:id="87" w:name="_Toc1682"/>
      <w:r>
        <w:rPr>
          <w:rFonts w:hint="eastAsia" w:ascii="宋体" w:hAnsi="宋体" w:eastAsia="宋体" w:cs="宋体"/>
          <w:color w:val="auto"/>
        </w:rPr>
        <w:t>碳排放信息量化与核算不足</w:t>
      </w:r>
      <w:bookmarkEnd w:id="85"/>
      <w:bookmarkEnd w:id="86"/>
      <w:bookmarkEnd w:id="87"/>
    </w:p>
    <w:p w14:paraId="416DF7C5">
      <w:pPr>
        <w:pStyle w:val="4"/>
        <w:bidi w:val="0"/>
        <w:rPr>
          <w:rFonts w:hint="eastAsia" w:ascii="宋体" w:hAnsi="宋体" w:eastAsia="宋体" w:cs="宋体"/>
          <w:color w:val="auto"/>
        </w:rPr>
      </w:pPr>
      <w:bookmarkStart w:id="88" w:name="_Toc10258"/>
      <w:bookmarkStart w:id="89" w:name="_Toc17641"/>
      <w:bookmarkStart w:id="90" w:name="_Toc24888"/>
      <w:r>
        <w:rPr>
          <w:rFonts w:hint="eastAsia" w:ascii="宋体" w:hAnsi="宋体" w:eastAsia="宋体" w:cs="宋体"/>
          <w:color w:val="auto"/>
        </w:rPr>
        <w:t>范围三（Scope</w:t>
      </w:r>
      <w:r>
        <w:rPr>
          <w:rFonts w:hint="eastAsia" w:cs="宋体"/>
          <w:color w:val="auto"/>
          <w:lang w:val="en-US" w:eastAsia="zh-CN"/>
        </w:rPr>
        <w:t xml:space="preserve"> </w:t>
      </w:r>
      <w:r>
        <w:rPr>
          <w:rFonts w:hint="eastAsia" w:ascii="宋体" w:hAnsi="宋体" w:eastAsia="宋体" w:cs="宋体"/>
          <w:color w:val="auto"/>
        </w:rPr>
        <w:t>3）</w:t>
      </w:r>
      <w:bookmarkEnd w:id="88"/>
      <w:bookmarkEnd w:id="89"/>
      <w:r>
        <w:rPr>
          <w:rFonts w:hint="eastAsia" w:ascii="宋体" w:hAnsi="宋体" w:eastAsia="宋体" w:cs="宋体"/>
          <w:color w:val="auto"/>
        </w:rPr>
        <w:t>碳排放数据缺失</w:t>
      </w:r>
      <w:bookmarkEnd w:id="90"/>
    </w:p>
    <w:p w14:paraId="6BE008E4">
      <w:pPr>
        <w:bidi w:val="0"/>
        <w:rPr>
          <w:rFonts w:hint="eastAsia" w:ascii="宋体" w:hAnsi="宋体" w:eastAsia="宋体" w:cs="宋体"/>
          <w:color w:val="auto"/>
        </w:rPr>
      </w:pPr>
      <w:r>
        <w:rPr>
          <w:rFonts w:hint="eastAsia" w:ascii="宋体" w:hAnsi="宋体" w:eastAsia="宋体" w:cs="宋体"/>
          <w:color w:val="auto"/>
        </w:rPr>
        <w:t>如第三章所示，天原股份2022-2024年公开披露的社会责任及ESG报告中，尚未见范围三（Scope</w:t>
      </w:r>
      <w:r>
        <w:rPr>
          <w:rFonts w:hint="eastAsia" w:cs="宋体"/>
          <w:color w:val="auto"/>
          <w:lang w:val="en-US" w:eastAsia="zh-CN"/>
        </w:rPr>
        <w:t xml:space="preserve"> </w:t>
      </w:r>
      <w:r>
        <w:rPr>
          <w:rFonts w:hint="eastAsia" w:ascii="宋体" w:hAnsi="宋体" w:eastAsia="宋体" w:cs="宋体"/>
          <w:color w:val="auto"/>
        </w:rPr>
        <w:t>3）温室气体排放数据</w:t>
      </w:r>
      <w:r>
        <w:rPr>
          <w:rFonts w:hint="default" w:ascii="宋体" w:hAnsi="宋体" w:eastAsia="宋体" w:cs="宋体"/>
          <w:color w:val="auto"/>
          <w:vertAlign w:val="superscript"/>
        </w:rPr>
        <w:fldChar w:fldCharType="begin"/>
      </w:r>
      <w:r>
        <w:instrText xml:space="preserve"> REF _Ref9644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[12]</w:t>
      </w:r>
      <w:r>
        <w:rPr>
          <w:rFonts w:hint="default" w:ascii="宋体" w:hAnsi="宋体" w:eastAsia="宋体" w:cs="宋体"/>
          <w:color w:val="auto"/>
          <w:vertAlign w:val="superscript"/>
        </w:rPr>
        <w:fldChar w:fldCharType="end"/>
      </w:r>
      <w:r>
        <w:rPr>
          <w:rFonts w:hint="default" w:ascii="宋体" w:hAnsi="宋体" w:eastAsia="宋体" w:cs="宋体"/>
          <w:color w:val="auto"/>
          <w:vertAlign w:val="superscript"/>
        </w:rPr>
        <w:fldChar w:fldCharType="begin"/>
      </w:r>
      <w:r>
        <w:instrText xml:space="preserve"> REF _Ref9667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[13]</w:t>
      </w:r>
      <w:r>
        <w:rPr>
          <w:rFonts w:hint="default" w:ascii="宋体" w:hAnsi="宋体" w:eastAsia="宋体" w:cs="宋体"/>
          <w:color w:val="auto"/>
          <w:vertAlign w:val="superscript"/>
        </w:rPr>
        <w:fldChar w:fldCharType="end"/>
      </w:r>
      <w:r>
        <w:rPr>
          <w:rFonts w:hint="default" w:ascii="宋体" w:hAnsi="宋体" w:eastAsia="宋体" w:cs="宋体"/>
          <w:color w:val="auto"/>
          <w:vertAlign w:val="superscript"/>
        </w:rPr>
        <w:fldChar w:fldCharType="begin"/>
      </w:r>
      <w:r>
        <w:instrText xml:space="preserve"> REF _Ref9585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[10]</w:t>
      </w:r>
      <w:r>
        <w:rPr>
          <w:rFonts w:hint="default" w:ascii="宋体" w:hAnsi="宋体" w:eastAsia="宋体" w:cs="宋体"/>
          <w:color w:val="auto"/>
          <w:vertAlign w:val="superscript"/>
        </w:rPr>
        <w:fldChar w:fldCharType="end"/>
      </w:r>
      <w:r>
        <w:rPr>
          <w:rFonts w:hint="eastAsia" w:ascii="宋体" w:hAnsi="宋体" w:eastAsia="宋体" w:cs="宋体"/>
          <w:color w:val="auto"/>
        </w:rPr>
        <w:t>。</w:t>
      </w:r>
    </w:p>
    <w:p w14:paraId="692D506C">
      <w:pPr>
        <w:bidi w:val="0"/>
        <w:rPr>
          <w:rFonts w:hint="eastAsia" w:ascii="宋体" w:hAnsi="宋体" w:eastAsia="宋体" w:cs="宋体"/>
          <w:color w:val="auto"/>
        </w:rPr>
      </w:pPr>
      <w:r>
        <w:rPr>
          <w:rFonts w:hint="eastAsia" w:ascii="宋体" w:hAnsi="宋体" w:eastAsia="宋体" w:cs="宋体"/>
          <w:color w:val="auto"/>
        </w:rPr>
        <w:t>与此相比，宁德时代在2024年ESG报告中已单独披露范围三温室气体排放总量为112350996.78吨二氧化碳当量，并说明其依据实质性、行业特性、业务关系、数据可得性和披露成本，对部分范围三类别进行核算与披露</w:t>
      </w:r>
      <w:r>
        <w:rPr>
          <w:rFonts w:hint="default" w:ascii="宋体" w:hAnsi="宋体" w:eastAsia="宋体" w:cs="宋体"/>
          <w:color w:val="auto"/>
          <w:vertAlign w:val="superscript"/>
        </w:rPr>
        <w:fldChar w:fldCharType="begin"/>
      </w:r>
      <w:r>
        <w:instrText xml:space="preserve"> REF _Ref9925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[16]</w:t>
      </w:r>
      <w:r>
        <w:rPr>
          <w:rFonts w:hint="default" w:ascii="宋体" w:hAnsi="宋体" w:eastAsia="宋体" w:cs="宋体"/>
          <w:color w:val="auto"/>
          <w:vertAlign w:val="superscript"/>
        </w:rPr>
        <w:fldChar w:fldCharType="end"/>
      </w:r>
      <w:r>
        <w:rPr>
          <w:rFonts w:hint="eastAsia" w:ascii="宋体" w:hAnsi="宋体" w:eastAsia="宋体" w:cs="宋体"/>
          <w:color w:val="auto"/>
        </w:rPr>
        <w:t>。</w:t>
      </w:r>
    </w:p>
    <w:p w14:paraId="7BC931E7">
      <w:pPr>
        <w:bidi w:val="0"/>
        <w:rPr>
          <w:rFonts w:hint="eastAsia" w:ascii="宋体" w:hAnsi="宋体" w:eastAsia="宋体" w:cs="宋体"/>
          <w:color w:val="auto"/>
        </w:rPr>
      </w:pPr>
      <w:r>
        <w:rPr>
          <w:rFonts w:hint="eastAsia" w:ascii="宋体" w:hAnsi="宋体" w:eastAsia="宋体" w:cs="宋体"/>
          <w:color w:val="auto"/>
        </w:rPr>
        <w:t>天原股份范围三数据缺失的问题，不宜仅理解为“报告中少披露了一项指标”。范围三排放涉及原材料采购、运输、供应链生产活动及产品使用等价值链环节，相关数据分散在企业外部主体和内部不同业务部门之间。从天原股份现有披露看，公司已能够对部分自身运营边界内的直接和间接排放进行核算，但现有报告尚不能表明其已形成覆盖上下游价值链的数据获取、归集和统一核算机制。供应商数据、物流数据以及不同业务板块排放信息尤其需要跨主体、跨部门汇总，若数据口径不统一或归集链条不完整，就会增加范围三核算难度。</w:t>
      </w:r>
    </w:p>
    <w:p w14:paraId="2A35BD9A">
      <w:pPr>
        <w:bidi w:val="0"/>
        <w:rPr>
          <w:rFonts w:hint="eastAsia" w:ascii="宋体" w:hAnsi="宋体" w:eastAsia="宋体" w:cs="宋体"/>
          <w:color w:val="auto"/>
        </w:rPr>
      </w:pPr>
      <w:r>
        <w:rPr>
          <w:rFonts w:hint="eastAsia" w:ascii="宋体" w:hAnsi="宋体" w:eastAsia="宋体" w:cs="宋体"/>
          <w:color w:val="auto"/>
        </w:rPr>
        <w:t>从利益相关者理论看，上下游供应商、客户及其他价值链主体同样与企业低碳转型密切相关。若披露边界长期停留在企业自身经营活动，外部利益相关者就难以完整判断其产业链层面的碳排放责任和转型风险。因此，天原股份当前范围三披露不足，既表现为信息边界尚未延伸至价值链，也反映出现有非财务数据归集和跨部门核算基础仍需完善。</w:t>
      </w:r>
    </w:p>
    <w:p w14:paraId="056F7589">
      <w:pPr>
        <w:pStyle w:val="4"/>
        <w:bidi w:val="0"/>
        <w:rPr>
          <w:rFonts w:hint="eastAsia" w:ascii="宋体" w:hAnsi="宋体" w:eastAsia="宋体" w:cs="宋体"/>
          <w:color w:val="auto"/>
        </w:rPr>
      </w:pPr>
      <w:bookmarkStart w:id="91" w:name="_Toc17555"/>
      <w:r>
        <w:rPr>
          <w:rFonts w:hint="eastAsia" w:ascii="宋体" w:hAnsi="宋体" w:eastAsia="宋体" w:cs="宋体"/>
          <w:color w:val="auto"/>
        </w:rPr>
        <w:t>系统性量化减排目标不足</w:t>
      </w:r>
      <w:bookmarkEnd w:id="91"/>
    </w:p>
    <w:p w14:paraId="18EE13C8">
      <w:pPr>
        <w:bidi w:val="0"/>
        <w:rPr>
          <w:rFonts w:hint="eastAsia" w:ascii="宋体" w:hAnsi="宋体" w:eastAsia="宋体" w:cs="宋体"/>
          <w:color w:val="auto"/>
        </w:rPr>
      </w:pPr>
      <w:r>
        <w:rPr>
          <w:rFonts w:hint="eastAsia" w:ascii="宋体" w:hAnsi="宋体" w:eastAsia="宋体" w:cs="宋体"/>
          <w:color w:val="auto"/>
        </w:rPr>
        <w:t>天原股份并非完全缺乏量化减排目标。2022年ESG报告已提出，到2025年完成“十四五”能耗“双控”目标，实现工业增加值能耗下降13.5%，并将二氧化碳减排列为主要目标之一</w:t>
      </w:r>
      <w:r>
        <w:rPr>
          <w:rFonts w:hint="default" w:ascii="宋体" w:hAnsi="宋体" w:eastAsia="宋体" w:cs="宋体"/>
          <w:color w:val="auto"/>
          <w:vertAlign w:val="superscript"/>
        </w:rPr>
        <w:fldChar w:fldCharType="begin"/>
      </w:r>
      <w:r>
        <w:instrText xml:space="preserve"> REF _Ref9644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[12]</w:t>
      </w:r>
      <w:r>
        <w:rPr>
          <w:rFonts w:hint="default" w:ascii="宋体" w:hAnsi="宋体" w:eastAsia="宋体" w:cs="宋体"/>
          <w:color w:val="auto"/>
          <w:vertAlign w:val="superscript"/>
        </w:rPr>
        <w:fldChar w:fldCharType="end"/>
      </w:r>
      <w:r>
        <w:rPr>
          <w:rFonts w:hint="eastAsia" w:ascii="宋体" w:hAnsi="宋体" w:eastAsia="宋体" w:cs="宋体"/>
          <w:color w:val="auto"/>
        </w:rPr>
        <w:t>。2023</w:t>
      </w:r>
      <w:r>
        <w:rPr>
          <w:rFonts w:hint="eastAsia" w:cs="宋体"/>
          <w:color w:val="auto"/>
          <w:lang w:val="en-US" w:eastAsia="zh-CN"/>
        </w:rPr>
        <w:t>-</w:t>
      </w:r>
      <w:r>
        <w:rPr>
          <w:rFonts w:hint="eastAsia" w:ascii="宋体" w:hAnsi="宋体" w:eastAsia="宋体" w:cs="宋体"/>
          <w:color w:val="auto"/>
        </w:rPr>
        <w:t>2024年报告又进一步提出，以2020年为基准，到2024年单位生产总值二氧化碳排放下降12%，到2025年下降18%；2024年公司还披露已将碳排放目标纳入绩效考核，并按月开展考核和评估</w:t>
      </w:r>
      <w:r>
        <w:rPr>
          <w:rFonts w:hint="default" w:ascii="宋体" w:hAnsi="宋体" w:eastAsia="宋体" w:cs="宋体"/>
          <w:color w:val="auto"/>
          <w:vertAlign w:val="superscript"/>
        </w:rPr>
        <w:fldChar w:fldCharType="begin"/>
      </w:r>
      <w:r>
        <w:instrText xml:space="preserve"> REF _Ref9667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[13]</w:t>
      </w:r>
      <w:r>
        <w:rPr>
          <w:rFonts w:hint="default" w:ascii="宋体" w:hAnsi="宋体" w:eastAsia="宋体" w:cs="宋体"/>
          <w:color w:val="auto"/>
          <w:vertAlign w:val="superscript"/>
        </w:rPr>
        <w:fldChar w:fldCharType="end"/>
      </w:r>
      <w:r>
        <w:rPr>
          <w:rFonts w:hint="default" w:ascii="宋体" w:hAnsi="宋体" w:eastAsia="宋体" w:cs="宋体"/>
          <w:color w:val="auto"/>
          <w:vertAlign w:val="superscript"/>
        </w:rPr>
        <w:fldChar w:fldCharType="begin"/>
      </w:r>
      <w:r>
        <w:instrText xml:space="preserve"> REF _Ref9585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[10]</w:t>
      </w:r>
      <w:r>
        <w:rPr>
          <w:rFonts w:hint="default" w:ascii="宋体" w:hAnsi="宋体" w:eastAsia="宋体" w:cs="宋体"/>
          <w:color w:val="auto"/>
          <w:vertAlign w:val="superscript"/>
        </w:rPr>
        <w:fldChar w:fldCharType="end"/>
      </w:r>
      <w:r>
        <w:rPr>
          <w:rFonts w:hint="eastAsia" w:ascii="宋体" w:hAnsi="宋体" w:eastAsia="宋体" w:cs="宋体"/>
          <w:color w:val="auto"/>
        </w:rPr>
        <w:t>。</w:t>
      </w:r>
    </w:p>
    <w:p w14:paraId="17FD81E0">
      <w:pPr>
        <w:bidi w:val="0"/>
        <w:rPr>
          <w:rFonts w:hint="eastAsia" w:ascii="宋体" w:hAnsi="宋体" w:eastAsia="宋体" w:cs="宋体"/>
          <w:color w:val="auto"/>
        </w:rPr>
      </w:pPr>
      <w:r>
        <w:rPr>
          <w:rFonts w:hint="eastAsia" w:ascii="宋体" w:hAnsi="宋体" w:eastAsia="宋体" w:cs="宋体"/>
          <w:color w:val="auto"/>
        </w:rPr>
        <w:t>现有目标体系的系统性仍显不足。现有公开目标主要集中在2024</w:t>
      </w:r>
      <w:r>
        <w:rPr>
          <w:rFonts w:hint="eastAsia" w:cs="宋体"/>
          <w:color w:val="auto"/>
          <w:lang w:val="en-US" w:eastAsia="zh-CN"/>
        </w:rPr>
        <w:t>-</w:t>
      </w:r>
      <w:r>
        <w:rPr>
          <w:rFonts w:hint="eastAsia" w:ascii="宋体" w:hAnsi="宋体" w:eastAsia="宋体" w:cs="宋体"/>
          <w:color w:val="auto"/>
        </w:rPr>
        <w:t>2025年，尚未见2025年以后覆盖集团长期低碳转型的连续目标安排。目前量化指标主要以单位产出碳排放强度和能耗强度为主，对集团温室气体绝对排放总量的阶段性控制目标披露较少；报告虽然提出“实现排放强度和总量双降”以及“经济增长与碳排放脱钩”，但尚未形成清晰的绝对排放量年度或阶段性量化路径</w:t>
      </w:r>
      <w:r>
        <w:rPr>
          <w:rFonts w:hint="default" w:ascii="宋体" w:hAnsi="宋体" w:eastAsia="宋体" w:cs="宋体"/>
          <w:color w:val="auto"/>
        </w:rPr>
        <w:fldChar w:fldCharType="begin"/>
      </w:r>
      <w:r>
        <w:rPr>
          <w:rFonts w:hint="default" w:ascii="宋体" w:hAnsi="宋体" w:eastAsia="宋体" w:cs="宋体"/>
          <w:color w:val="auto"/>
        </w:rPr>
        <w:instrText xml:space="preserve"> REF _Ref9644 \r \h </w:instrText>
      </w:r>
      <w:r>
        <w:rPr>
          <w:rFonts w:hint="default" w:ascii="宋体" w:hAnsi="宋体" w:eastAsia="宋体" w:cs="宋体"/>
          <w:color w:val="auto"/>
        </w:rPr>
        <w:fldChar w:fldCharType="separate"/>
      </w:r>
      <w:r>
        <w:rPr>
          <w:rFonts w:hint="default" w:ascii="宋体" w:hAnsi="宋体" w:eastAsia="宋体" w:cs="宋体"/>
          <w:color w:val="auto"/>
        </w:rPr>
        <w:t>[12]</w:t>
      </w:r>
      <w:r>
        <w:rPr>
          <w:rFonts w:hint="default" w:ascii="宋体" w:hAnsi="宋体" w:eastAsia="宋体" w:cs="宋体"/>
          <w:color w:val="auto"/>
        </w:rPr>
        <w:fldChar w:fldCharType="end"/>
      </w:r>
      <w:r>
        <w:rPr>
          <w:rFonts w:hint="default" w:ascii="宋体" w:hAnsi="宋体" w:eastAsia="宋体" w:cs="宋体"/>
          <w:color w:val="auto"/>
          <w:vertAlign w:val="superscript"/>
        </w:rPr>
        <w:fldChar w:fldCharType="begin"/>
      </w:r>
      <w:r>
        <w:instrText xml:space="preserve"> REF _Ref9667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[13]</w:t>
      </w:r>
      <w:r>
        <w:rPr>
          <w:rFonts w:hint="default" w:ascii="宋体" w:hAnsi="宋体" w:eastAsia="宋体" w:cs="宋体"/>
          <w:color w:val="auto"/>
          <w:vertAlign w:val="superscript"/>
        </w:rPr>
        <w:fldChar w:fldCharType="end"/>
      </w:r>
      <w:r>
        <w:rPr>
          <w:rFonts w:hint="eastAsia" w:ascii="宋体" w:hAnsi="宋体" w:eastAsia="宋体" w:cs="宋体"/>
          <w:color w:val="auto"/>
        </w:rPr>
        <w:t>。此外，结合前文可见，公司2023</w:t>
      </w:r>
      <w:r>
        <w:rPr>
          <w:rFonts w:hint="eastAsia" w:cs="宋体"/>
          <w:color w:val="auto"/>
          <w:lang w:val="en-US" w:eastAsia="zh-CN"/>
        </w:rPr>
        <w:t>-</w:t>
      </w:r>
      <w:r>
        <w:rPr>
          <w:rFonts w:hint="eastAsia" w:ascii="宋体" w:hAnsi="宋体" w:eastAsia="宋体" w:cs="宋体"/>
          <w:color w:val="auto"/>
        </w:rPr>
        <w:t>2024年温室气体统计范围存在调整，减排目标的具体覆盖边界和跨期评价基础也仍需进一步明确。</w:t>
      </w:r>
    </w:p>
    <w:p w14:paraId="3EBA01F8">
      <w:pPr>
        <w:bidi w:val="0"/>
        <w:rPr>
          <w:rFonts w:hint="eastAsia" w:ascii="宋体" w:hAnsi="宋体" w:eastAsia="宋体" w:cs="宋体"/>
          <w:color w:val="auto"/>
        </w:rPr>
      </w:pPr>
      <w:r>
        <w:rPr>
          <w:rFonts w:hint="eastAsia" w:ascii="宋体" w:hAnsi="宋体" w:eastAsia="宋体" w:cs="宋体"/>
          <w:color w:val="auto"/>
        </w:rPr>
        <w:t>相比之下，宁德时代已提出“2025年实现核心运营碳中和、2035年实现价值链碳中和”，并围绕该目标设置“零碳”设计、工厂、供应、制造、电力及循环生态等专项路径</w:t>
      </w:r>
      <w:r>
        <w:rPr>
          <w:rFonts w:hint="default" w:ascii="宋体" w:hAnsi="宋体" w:eastAsia="宋体" w:cs="宋体"/>
          <w:color w:val="auto"/>
          <w:vertAlign w:val="superscript"/>
        </w:rPr>
        <w:fldChar w:fldCharType="begin"/>
      </w:r>
      <w:r>
        <w:instrText xml:space="preserve"> REF _Ref9925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[16]</w:t>
      </w:r>
      <w:r>
        <w:rPr>
          <w:rFonts w:hint="default" w:ascii="宋体" w:hAnsi="宋体" w:eastAsia="宋体" w:cs="宋体"/>
          <w:color w:val="auto"/>
          <w:vertAlign w:val="superscript"/>
        </w:rPr>
        <w:fldChar w:fldCharType="end"/>
      </w:r>
      <w:r>
        <w:rPr>
          <w:rFonts w:hint="eastAsia" w:ascii="宋体" w:hAnsi="宋体" w:eastAsia="宋体" w:cs="宋体"/>
          <w:color w:val="auto"/>
        </w:rPr>
        <w:t>。对比可见，天原股份目前的量化目标更多集中于“十四五”阶段，长期目标期限、绝对排放约束和覆盖层级仍不够完整。从可持续发展理论看，低碳转型强调资源利用、环境保护与企业长期经营之间的持续协调，因此减排目标只有形成跨期、分层且可跟踪的体系，才能更充分反映企业长期转型进程。</w:t>
      </w:r>
    </w:p>
    <w:p w14:paraId="30425D1F">
      <w:pPr>
        <w:pStyle w:val="4"/>
        <w:bidi w:val="0"/>
        <w:rPr>
          <w:rFonts w:hint="eastAsia" w:ascii="宋体" w:hAnsi="宋体" w:eastAsia="宋体" w:cs="宋体"/>
          <w:color w:val="auto"/>
        </w:rPr>
      </w:pPr>
      <w:bookmarkStart w:id="92" w:name="_Toc2764"/>
      <w:r>
        <w:rPr>
          <w:rFonts w:hint="eastAsia" w:ascii="宋体" w:hAnsi="宋体" w:eastAsia="宋体" w:cs="宋体"/>
          <w:color w:val="auto"/>
        </w:rPr>
        <w:t>非财务数据归集与业财衔接仍不充分</w:t>
      </w:r>
      <w:bookmarkEnd w:id="92"/>
    </w:p>
    <w:p w14:paraId="25A6DBE9">
      <w:pPr>
        <w:bidi w:val="0"/>
        <w:rPr>
          <w:rFonts w:hint="eastAsia" w:ascii="宋体" w:hAnsi="宋体" w:eastAsia="宋体" w:cs="宋体"/>
          <w:color w:val="auto"/>
        </w:rPr>
      </w:pPr>
      <w:r>
        <w:rPr>
          <w:rFonts w:hint="eastAsia" w:ascii="宋体" w:hAnsi="宋体" w:eastAsia="宋体" w:cs="宋体"/>
          <w:color w:val="auto"/>
        </w:rPr>
        <w:t>从公开披露情况看，天原股份已经建立一定的碳排放数据管理基础。2022年年报提到，公司通过能源消耗台账、生产统计报表和月度跟踪分析等方式加强碳排放数据质量控制</w:t>
      </w:r>
      <w:r>
        <w:rPr>
          <w:rFonts w:hint="default" w:ascii="宋体" w:hAnsi="宋体" w:eastAsia="宋体" w:cs="宋体"/>
          <w:color w:val="auto"/>
          <w:vertAlign w:val="superscript"/>
        </w:rPr>
        <w:fldChar w:fldCharType="begin"/>
      </w:r>
      <w:r>
        <w:instrText xml:space="preserve"> REF _Ref13238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[23]</w:t>
      </w:r>
      <w:r>
        <w:rPr>
          <w:rFonts w:hint="default" w:ascii="宋体" w:hAnsi="宋体" w:eastAsia="宋体" w:cs="宋体"/>
          <w:color w:val="auto"/>
          <w:vertAlign w:val="superscript"/>
        </w:rPr>
        <w:fldChar w:fldCharType="end"/>
      </w:r>
      <w:r>
        <w:rPr>
          <w:rFonts w:hint="eastAsia" w:ascii="宋体" w:hAnsi="宋体" w:eastAsia="宋体" w:cs="宋体"/>
          <w:color w:val="auto"/>
        </w:rPr>
        <w:t>；2023年ESG报告进一步披露，公司制定温室气体监测和核算方案，并组织多家子公司开展碳盘查</w:t>
      </w:r>
      <w:r>
        <w:rPr>
          <w:rFonts w:hint="default" w:ascii="宋体" w:hAnsi="宋体" w:eastAsia="宋体" w:cs="宋体"/>
          <w:color w:val="auto"/>
          <w:vertAlign w:val="superscript"/>
        </w:rPr>
        <w:fldChar w:fldCharType="begin"/>
      </w:r>
      <w:r>
        <w:instrText xml:space="preserve"> REF _Ref9667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[13]</w:t>
      </w:r>
      <w:r>
        <w:rPr>
          <w:rFonts w:hint="default" w:ascii="宋体" w:hAnsi="宋体" w:eastAsia="宋体" w:cs="宋体"/>
          <w:color w:val="auto"/>
          <w:vertAlign w:val="superscript"/>
        </w:rPr>
        <w:fldChar w:fldCharType="end"/>
      </w:r>
      <w:r>
        <w:rPr>
          <w:rFonts w:hint="eastAsia" w:ascii="宋体" w:hAnsi="宋体" w:eastAsia="宋体" w:cs="宋体"/>
          <w:color w:val="auto"/>
        </w:rPr>
        <w:t>。现有公开数据的统计边界、跨期可比性以及与财务信息之间的衔接仍不够充分。</w:t>
      </w:r>
    </w:p>
    <w:p w14:paraId="5010F8E1">
      <w:pPr>
        <w:bidi w:val="0"/>
        <w:rPr>
          <w:rFonts w:hint="eastAsia" w:ascii="宋体" w:hAnsi="宋体" w:eastAsia="宋体" w:cs="宋体"/>
          <w:color w:val="auto"/>
        </w:rPr>
      </w:pPr>
      <w:r>
        <w:rPr>
          <w:rFonts w:hint="eastAsia" w:ascii="宋体" w:hAnsi="宋体" w:eastAsia="宋体" w:cs="宋体"/>
          <w:color w:val="auto"/>
        </w:rPr>
        <w:t>如第三章表3所示，天原股份相关环境数据的统计边界和跨期口径尚未完全一致</w:t>
      </w:r>
      <w:r>
        <w:rPr>
          <w:rFonts w:hint="default" w:ascii="宋体" w:hAnsi="宋体" w:eastAsia="宋体" w:cs="宋体"/>
          <w:color w:val="auto"/>
          <w:vertAlign w:val="superscript"/>
        </w:rPr>
        <w:fldChar w:fldCharType="begin"/>
      </w:r>
      <w:r>
        <w:instrText xml:space="preserve"> REF _Ref9667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[13]</w:t>
      </w:r>
      <w:r>
        <w:rPr>
          <w:rFonts w:hint="default" w:ascii="宋体" w:hAnsi="宋体" w:eastAsia="宋体" w:cs="宋体"/>
          <w:color w:val="auto"/>
          <w:vertAlign w:val="superscript"/>
        </w:rPr>
        <w:fldChar w:fldCharType="end"/>
      </w:r>
      <w:r>
        <w:rPr>
          <w:rFonts w:hint="default" w:ascii="宋体" w:hAnsi="宋体" w:eastAsia="宋体" w:cs="宋体"/>
          <w:color w:val="auto"/>
          <w:vertAlign w:val="superscript"/>
        </w:rPr>
        <w:fldChar w:fldCharType="begin"/>
      </w:r>
      <w:r>
        <w:instrText xml:space="preserve"> REF _Ref9585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[10]</w:t>
      </w:r>
      <w:r>
        <w:rPr>
          <w:rFonts w:hint="default" w:ascii="宋体" w:hAnsi="宋体" w:eastAsia="宋体" w:cs="宋体"/>
          <w:color w:val="auto"/>
          <w:vertAlign w:val="superscript"/>
        </w:rPr>
        <w:fldChar w:fldCharType="end"/>
      </w:r>
      <w:r>
        <w:rPr>
          <w:rFonts w:hint="eastAsia" w:ascii="宋体" w:hAnsi="宋体" w:eastAsia="宋体" w:cs="宋体"/>
          <w:color w:val="auto"/>
        </w:rPr>
        <w:t>。不同分子公司、业务板块及年度之间的统计范围存在差异，即使单一年度数据能够汇总，这些差异也会影响跨期比较，并进一步增加环境绩效与经营成果对应分析的难度。</w:t>
      </w:r>
    </w:p>
    <w:p w14:paraId="615B9180">
      <w:pPr>
        <w:bidi w:val="0"/>
        <w:rPr>
          <w:rFonts w:hint="eastAsia" w:ascii="宋体" w:hAnsi="宋体" w:eastAsia="宋体" w:cs="宋体"/>
          <w:color w:val="auto"/>
        </w:rPr>
      </w:pPr>
      <w:r>
        <w:rPr>
          <w:rFonts w:hint="eastAsia" w:ascii="宋体" w:hAnsi="宋体" w:eastAsia="宋体" w:cs="宋体"/>
          <w:color w:val="auto"/>
        </w:rPr>
        <w:t>如第三章表2所示，公司已披露环保投入及相关财务数据</w:t>
      </w:r>
      <w:r>
        <w:rPr>
          <w:rFonts w:hint="default" w:ascii="宋体" w:hAnsi="宋体" w:eastAsia="宋体" w:cs="宋体"/>
          <w:color w:val="auto"/>
          <w:vertAlign w:val="superscript"/>
        </w:rPr>
        <w:fldChar w:fldCharType="begin"/>
      </w:r>
      <w:r>
        <w:instrText xml:space="preserve"> REF _Ref21546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[9]</w:t>
      </w:r>
      <w:r>
        <w:rPr>
          <w:rFonts w:hint="default" w:ascii="宋体" w:hAnsi="宋体" w:eastAsia="宋体" w:cs="宋体"/>
          <w:color w:val="auto"/>
          <w:vertAlign w:val="superscript"/>
        </w:rPr>
        <w:fldChar w:fldCharType="end"/>
      </w:r>
      <w:r>
        <w:rPr>
          <w:rFonts w:hint="default" w:ascii="宋体" w:hAnsi="宋体" w:eastAsia="宋体" w:cs="宋体"/>
          <w:color w:val="auto"/>
          <w:vertAlign w:val="superscript"/>
        </w:rPr>
        <w:fldChar w:fldCharType="begin"/>
      </w:r>
      <w:r>
        <w:instrText xml:space="preserve"> REF _Ref29585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[22]</w:t>
      </w:r>
      <w:r>
        <w:rPr>
          <w:rFonts w:hint="default" w:ascii="宋体" w:hAnsi="宋体" w:eastAsia="宋体" w:cs="宋体"/>
          <w:color w:val="auto"/>
          <w:vertAlign w:val="superscript"/>
        </w:rPr>
        <w:fldChar w:fldCharType="end"/>
      </w:r>
      <w:r>
        <w:rPr>
          <w:rFonts w:hint="default" w:ascii="宋体" w:hAnsi="宋体" w:eastAsia="宋体" w:cs="宋体"/>
          <w:color w:val="auto"/>
          <w:vertAlign w:val="superscript"/>
        </w:rPr>
        <w:fldChar w:fldCharType="begin"/>
      </w:r>
      <w:r>
        <w:rPr>
          <w:rFonts w:hint="default" w:ascii="宋体" w:hAnsi="宋体" w:eastAsia="宋体" w:cs="宋体"/>
          <w:color w:val="auto"/>
          <w:vertAlign w:val="superscript"/>
        </w:rPr>
        <w:instrText xml:space="preserve"> REF _Ref9644 \r \h </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[12]</w:t>
      </w:r>
      <w:r>
        <w:rPr>
          <w:rFonts w:hint="default" w:ascii="宋体" w:hAnsi="宋体" w:eastAsia="宋体" w:cs="宋体"/>
          <w:color w:val="auto"/>
          <w:vertAlign w:val="superscript"/>
        </w:rPr>
        <w:fldChar w:fldCharType="end"/>
      </w:r>
      <w:r>
        <w:rPr>
          <w:rFonts w:hint="default" w:ascii="宋体" w:hAnsi="宋体" w:eastAsia="宋体" w:cs="宋体"/>
          <w:color w:val="auto"/>
          <w:vertAlign w:val="superscript"/>
        </w:rPr>
        <w:fldChar w:fldCharType="begin"/>
      </w:r>
      <w:r>
        <w:rPr>
          <w:rFonts w:hint="default" w:ascii="宋体" w:hAnsi="宋体" w:eastAsia="宋体" w:cs="宋体"/>
          <w:color w:val="auto"/>
          <w:vertAlign w:val="superscript"/>
        </w:rPr>
        <w:instrText xml:space="preserve"> REF _Ref9667 \r \h </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[13]</w:t>
      </w:r>
      <w:r>
        <w:rPr>
          <w:rFonts w:hint="default" w:ascii="宋体" w:hAnsi="宋体" w:eastAsia="宋体" w:cs="宋体"/>
          <w:color w:val="auto"/>
          <w:vertAlign w:val="superscript"/>
        </w:rPr>
        <w:fldChar w:fldCharType="end"/>
      </w:r>
      <w:r>
        <w:rPr>
          <w:rFonts w:hint="default" w:ascii="宋体" w:hAnsi="宋体" w:eastAsia="宋体" w:cs="宋体"/>
          <w:color w:val="auto"/>
          <w:vertAlign w:val="superscript"/>
        </w:rPr>
        <w:fldChar w:fldCharType="begin"/>
      </w:r>
      <w:r>
        <w:rPr>
          <w:rFonts w:hint="default" w:ascii="宋体" w:hAnsi="宋体" w:eastAsia="宋体" w:cs="宋体"/>
          <w:color w:val="auto"/>
          <w:vertAlign w:val="superscript"/>
        </w:rPr>
        <w:instrText xml:space="preserve"> REF _Ref9585 \r \h </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[10]</w:t>
      </w:r>
      <w:r>
        <w:rPr>
          <w:rFonts w:hint="default" w:ascii="宋体" w:hAnsi="宋体" w:eastAsia="宋体" w:cs="宋体"/>
          <w:color w:val="auto"/>
          <w:vertAlign w:val="superscript"/>
        </w:rPr>
        <w:fldChar w:fldCharType="end"/>
      </w:r>
      <w:r>
        <w:rPr>
          <w:rFonts w:hint="eastAsia" w:ascii="宋体" w:hAnsi="宋体" w:eastAsia="宋体" w:cs="宋体"/>
          <w:color w:val="auto"/>
        </w:rPr>
        <w:t>。但现有公开报告尚未形成环保投入与营业成本、期间费用及相关资产项目等财务报表科目的系统勾稽说明，表2中的“环保投入/营业收入”和“环保投入/总资产”仍需将ESG环境数据与年报财务数据重新匹配后才能计算。这表明现有披露在环境数据和财务数据之间仍缺少直接、稳定的关联口径，不利于判断低碳投入对成本、资产和经营绩效的具体影响。</w:t>
      </w:r>
    </w:p>
    <w:p w14:paraId="54FA4B69">
      <w:pPr>
        <w:pStyle w:val="3"/>
        <w:bidi w:val="0"/>
        <w:rPr>
          <w:rFonts w:hint="eastAsia" w:ascii="宋体" w:hAnsi="宋体" w:eastAsia="宋体" w:cs="宋体"/>
          <w:color w:val="auto"/>
        </w:rPr>
      </w:pPr>
      <w:bookmarkStart w:id="93" w:name="_Toc18613"/>
      <w:r>
        <w:rPr>
          <w:rFonts w:hint="eastAsia" w:ascii="宋体" w:hAnsi="宋体" w:eastAsia="宋体" w:cs="宋体"/>
          <w:color w:val="auto"/>
        </w:rPr>
        <w:t>第三方鉴证与披露可靠性不足</w:t>
      </w:r>
      <w:bookmarkEnd w:id="93"/>
    </w:p>
    <w:p w14:paraId="08119DDA">
      <w:pPr>
        <w:pStyle w:val="4"/>
        <w:bidi w:val="0"/>
        <w:rPr>
          <w:rFonts w:hint="eastAsia" w:ascii="宋体" w:hAnsi="宋体" w:eastAsia="宋体" w:cs="宋体"/>
          <w:color w:val="auto"/>
        </w:rPr>
      </w:pPr>
      <w:bookmarkStart w:id="94" w:name="_Toc30961"/>
      <w:r>
        <w:rPr>
          <w:rFonts w:hint="eastAsia" w:ascii="宋体" w:hAnsi="宋体" w:eastAsia="宋体" w:cs="宋体"/>
          <w:color w:val="auto"/>
        </w:rPr>
        <w:t>内部自主编制下外部验证不足</w:t>
      </w:r>
      <w:bookmarkEnd w:id="94"/>
    </w:p>
    <w:p w14:paraId="507D8537">
      <w:pPr>
        <w:bidi w:val="0"/>
        <w:rPr>
          <w:rFonts w:hint="eastAsia" w:ascii="宋体" w:hAnsi="宋体" w:eastAsia="宋体" w:cs="宋体"/>
          <w:color w:val="auto"/>
        </w:rPr>
      </w:pPr>
      <w:r>
        <w:rPr>
          <w:rFonts w:hint="eastAsia" w:ascii="宋体" w:hAnsi="宋体" w:eastAsia="宋体" w:cs="宋体"/>
          <w:color w:val="auto"/>
        </w:rPr>
        <w:t>如第三章所示，天原股份现有ESG信息主要由内部治理体系组织形成，2022-2024年公开披露的社会责任及ESG报告中，尚未见针对整份报告由独立第三方机构出具的鉴证声明</w:t>
      </w:r>
      <w:r>
        <w:rPr>
          <w:rFonts w:hint="default" w:ascii="宋体" w:hAnsi="宋体" w:eastAsia="宋体" w:cs="宋体"/>
          <w:color w:val="auto"/>
          <w:vertAlign w:val="superscript"/>
        </w:rPr>
        <w:fldChar w:fldCharType="begin"/>
      </w:r>
      <w:r>
        <w:instrText xml:space="preserve"> REF _Ref9644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[12]</w:t>
      </w:r>
      <w:r>
        <w:rPr>
          <w:rFonts w:hint="default" w:ascii="宋体" w:hAnsi="宋体" w:eastAsia="宋体" w:cs="宋体"/>
          <w:color w:val="auto"/>
          <w:vertAlign w:val="superscript"/>
        </w:rPr>
        <w:fldChar w:fldCharType="end"/>
      </w:r>
      <w:r>
        <w:rPr>
          <w:rFonts w:hint="default" w:ascii="宋体" w:hAnsi="宋体" w:eastAsia="宋体" w:cs="宋体"/>
          <w:color w:val="auto"/>
          <w:vertAlign w:val="superscript"/>
        </w:rPr>
        <w:fldChar w:fldCharType="begin"/>
      </w:r>
      <w:r>
        <w:instrText xml:space="preserve"> REF _Ref9667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[13]</w:t>
      </w:r>
      <w:r>
        <w:rPr>
          <w:rFonts w:hint="default" w:ascii="宋体" w:hAnsi="宋体" w:eastAsia="宋体" w:cs="宋体"/>
          <w:color w:val="auto"/>
          <w:vertAlign w:val="superscript"/>
        </w:rPr>
        <w:fldChar w:fldCharType="end"/>
      </w:r>
      <w:r>
        <w:rPr>
          <w:rFonts w:hint="default" w:ascii="宋体" w:hAnsi="宋体" w:eastAsia="宋体" w:cs="宋体"/>
          <w:color w:val="auto"/>
          <w:vertAlign w:val="superscript"/>
        </w:rPr>
        <w:fldChar w:fldCharType="begin"/>
      </w:r>
      <w:r>
        <w:instrText xml:space="preserve"> REF _Ref9585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[10]</w:t>
      </w:r>
      <w:r>
        <w:rPr>
          <w:rFonts w:hint="default" w:ascii="宋体" w:hAnsi="宋体" w:eastAsia="宋体" w:cs="宋体"/>
          <w:color w:val="auto"/>
          <w:vertAlign w:val="superscript"/>
        </w:rPr>
        <w:fldChar w:fldCharType="end"/>
      </w:r>
      <w:r>
        <w:rPr>
          <w:rFonts w:hint="eastAsia" w:ascii="宋体" w:hAnsi="宋体" w:eastAsia="宋体" w:cs="宋体"/>
          <w:color w:val="auto"/>
        </w:rPr>
        <w:t>。</w:t>
      </w:r>
    </w:p>
    <w:p w14:paraId="2E451786">
      <w:pPr>
        <w:bidi w:val="0"/>
        <w:rPr>
          <w:rFonts w:hint="eastAsia" w:ascii="宋体" w:hAnsi="宋体" w:eastAsia="宋体" w:cs="宋体"/>
          <w:color w:val="auto"/>
        </w:rPr>
      </w:pPr>
      <w:r>
        <w:rPr>
          <w:rFonts w:hint="eastAsia" w:ascii="宋体" w:hAnsi="宋体" w:eastAsia="宋体" w:cs="宋体"/>
          <w:color w:val="auto"/>
        </w:rPr>
        <w:t>以企业自主披露为主，并不意味着信息本身必然失真，但由于信息的采集、汇总和发布主要由企业内部完成，外部使用者难以独立判断相关数据的完整性和准确性。对于温室气体排放、能源消耗等专业性较强的非财务信息，如果缺少外部验证，投资者和其他利益相关者对其可靠程度的判断就更多依赖企业自身披露。</w:t>
      </w:r>
    </w:p>
    <w:p w14:paraId="5B968269">
      <w:pPr>
        <w:bidi w:val="0"/>
        <w:rPr>
          <w:rFonts w:hint="eastAsia" w:ascii="宋体" w:hAnsi="宋体" w:eastAsia="宋体" w:cs="宋体"/>
          <w:color w:val="auto"/>
        </w:rPr>
      </w:pPr>
      <w:r>
        <w:rPr>
          <w:rFonts w:hint="eastAsia" w:ascii="宋体" w:hAnsi="宋体" w:eastAsia="宋体" w:cs="宋体"/>
          <w:color w:val="auto"/>
        </w:rPr>
        <w:t>从信号传递理论看，企业主动披露ESG信息可以向市场传递经营和转型信号，但信息不对称仍然存在时，单纯依靠内部自主披露，其信号可信度可能受到一定限制。因此，天原股份当前披露模式的主要不足，不在于“内部编制”本身，而在于外部使用者缺少独立验证信息来辅助判断其披露质量。</w:t>
      </w:r>
    </w:p>
    <w:p w14:paraId="03200136">
      <w:pPr>
        <w:pStyle w:val="4"/>
        <w:bidi w:val="0"/>
        <w:rPr>
          <w:rFonts w:hint="eastAsia" w:ascii="宋体" w:hAnsi="宋体" w:eastAsia="宋体" w:cs="宋体"/>
          <w:color w:val="auto"/>
        </w:rPr>
      </w:pPr>
      <w:bookmarkStart w:id="95" w:name="_Toc5960"/>
      <w:r>
        <w:rPr>
          <w:rFonts w:hint="eastAsia" w:ascii="宋体" w:hAnsi="宋体" w:eastAsia="宋体" w:cs="宋体"/>
          <w:color w:val="auto"/>
        </w:rPr>
        <w:t>独立第三方鉴证机制缺失</w:t>
      </w:r>
      <w:bookmarkEnd w:id="95"/>
    </w:p>
    <w:p w14:paraId="74E9EAE8">
      <w:pPr>
        <w:bidi w:val="0"/>
        <w:rPr>
          <w:rFonts w:hint="eastAsia" w:ascii="宋体" w:hAnsi="宋体" w:eastAsia="宋体" w:cs="宋体"/>
          <w:color w:val="auto"/>
        </w:rPr>
      </w:pPr>
      <w:r>
        <w:rPr>
          <w:rFonts w:hint="eastAsia" w:ascii="宋体" w:hAnsi="宋体" w:eastAsia="宋体" w:cs="宋体"/>
          <w:color w:val="auto"/>
        </w:rPr>
        <w:t>与天原股份现有披露安排相比，万华化学2024年ESG报告已经引入独立第三方鉴证，并在报告中附有相应的鉴证声明</w:t>
      </w:r>
      <w:r>
        <w:rPr>
          <w:rFonts w:hint="default" w:ascii="宋体" w:hAnsi="宋体" w:eastAsia="宋体" w:cs="宋体"/>
          <w:color w:val="auto"/>
          <w:vertAlign w:val="superscript"/>
        </w:rPr>
        <w:fldChar w:fldCharType="begin"/>
      </w:r>
      <w:r>
        <w:instrText xml:space="preserve"> REF _Ref10020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[17]</w:t>
      </w:r>
      <w:r>
        <w:rPr>
          <w:rFonts w:hint="default" w:ascii="宋体" w:hAnsi="宋体" w:eastAsia="宋体" w:cs="宋体"/>
          <w:color w:val="auto"/>
          <w:vertAlign w:val="superscript"/>
        </w:rPr>
        <w:fldChar w:fldCharType="end"/>
      </w:r>
      <w:r>
        <w:rPr>
          <w:rFonts w:hint="eastAsia" w:ascii="宋体" w:hAnsi="宋体" w:eastAsia="宋体" w:cs="宋体"/>
          <w:color w:val="auto"/>
        </w:rPr>
        <w:t>。因此，两者的差异不仅体现在“有没有第三方参与”，更体现在是否形成了可以由外部机构明确说明鉴证对象、鉴证范围和保证程度的验证安排。</w:t>
      </w:r>
    </w:p>
    <w:p w14:paraId="0CB14F66">
      <w:pPr>
        <w:bidi w:val="0"/>
        <w:rPr>
          <w:rFonts w:hint="eastAsia" w:ascii="宋体" w:hAnsi="宋体" w:eastAsia="宋体" w:cs="宋体"/>
          <w:color w:val="auto"/>
        </w:rPr>
      </w:pPr>
      <w:r>
        <w:rPr>
          <w:rFonts w:hint="eastAsia" w:ascii="宋体" w:hAnsi="宋体" w:eastAsia="宋体" w:cs="宋体"/>
          <w:color w:val="auto"/>
        </w:rPr>
        <w:t>这一缺口值得关注，因为温室气体排放、能源消耗等ESG信息具有较强的专业性和计量属性，外部使用者较难仅凭企业自主披露判断相关数据的可靠程度。因此，第三方鉴证的作用不仅取决于是否存在外部验证，还取决于具体鉴证对象、鉴证范围和保证水平。与财务报表审计相比，ESG鉴证的形式和内容存在较大差异。Gipper等的研究表明，不同企业在鉴证指标范围、保证水平以及鉴证机构类型等方面存在明显差异</w:t>
      </w:r>
      <w:r>
        <w:rPr>
          <w:rFonts w:hint="default" w:ascii="宋体" w:hAnsi="宋体" w:eastAsia="宋体" w:cs="宋体"/>
          <w:color w:val="auto"/>
          <w:vertAlign w:val="superscript"/>
        </w:rPr>
        <w:fldChar w:fldCharType="begin"/>
      </w:r>
      <w:r>
        <w:instrText xml:space="preserve"> REF _Ref28500 \r \h  \* MERGEFORMAT</w:instrText>
      </w:r>
      <w:r>
        <w:rPr>
          <w:rFonts w:hint="default" w:ascii="宋体" w:hAnsi="宋体" w:eastAsia="宋体" w:cs="宋体"/>
          <w:color w:val="auto"/>
          <w:vertAlign w:val="superscript"/>
        </w:rPr>
        <w:fldChar w:fldCharType="separate"/>
      </w:r>
      <w:r>
        <w:rPr>
          <w:rFonts w:hint="default" w:ascii="宋体" w:hAnsi="宋体" w:eastAsia="宋体" w:cs="宋体"/>
          <w:color w:val="auto"/>
          <w:vertAlign w:val="superscript"/>
        </w:rPr>
        <w:t>[20]</w:t>
      </w:r>
      <w:r>
        <w:rPr>
          <w:rFonts w:hint="default" w:ascii="宋体" w:hAnsi="宋体" w:eastAsia="宋体" w:cs="宋体"/>
          <w:color w:val="auto"/>
          <w:vertAlign w:val="superscript"/>
        </w:rPr>
        <w:fldChar w:fldCharType="end"/>
      </w:r>
      <w:r>
        <w:rPr>
          <w:rFonts w:hint="eastAsia" w:ascii="宋体" w:hAnsi="宋体" w:eastAsia="宋体" w:cs="宋体"/>
          <w:color w:val="auto"/>
        </w:rPr>
        <w:t>。</w:t>
      </w:r>
    </w:p>
    <w:p w14:paraId="2DF7EBC8">
      <w:pPr>
        <w:bidi w:val="0"/>
        <w:rPr>
          <w:rFonts w:hint="eastAsia" w:ascii="宋体" w:hAnsi="宋体" w:eastAsia="宋体" w:cs="宋体"/>
          <w:color w:val="auto"/>
        </w:rPr>
      </w:pPr>
      <w:r>
        <w:rPr>
          <w:rFonts w:hint="eastAsia" w:ascii="宋体" w:hAnsi="宋体" w:eastAsia="宋体" w:cs="宋体"/>
          <w:color w:val="auto"/>
        </w:rPr>
        <w:t>基于前述外部鉴证现状，目前尚无法进一步识别哪些关键ESG指标接受了外部验证、验证覆盖到何种范围，以及采用何种保证水平。对于温室气体排放、能源消耗、环保投入等需要较强计量基础的数据，这种外部验证信息的缺失，会减少报告使用者判断数据可靠程度时可依据的信息。但这只能说明天原股份在外部鉴证机制方面存在空缺，不能据此直接认定其披露数据存在失真，也不能简单推导“有鉴证就一定提高披露质量”。天原股份与万华化学在ESG报告外部鉴证安排上的主要差异见表4。</w:t>
      </w:r>
    </w:p>
    <w:p w14:paraId="26FCE80B">
      <w:pPr>
        <w:bidi w:val="0"/>
        <w:ind w:left="0" w:leftChars="0" w:firstLine="0" w:firstLineChars="0"/>
        <w:jc w:val="center"/>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表</w:t>
      </w:r>
      <w:r>
        <w:rPr>
          <w:rFonts w:hint="eastAsia" w:cs="宋体"/>
          <w:color w:val="auto"/>
          <w:sz w:val="21"/>
          <w:szCs w:val="21"/>
          <w:lang w:val="en-US" w:eastAsia="zh-CN"/>
        </w:rPr>
        <w:t xml:space="preserve">4 </w:t>
      </w:r>
      <w:r>
        <w:rPr>
          <w:rFonts w:hint="eastAsia" w:ascii="宋体" w:hAnsi="宋体" w:eastAsia="宋体" w:cs="宋体"/>
          <w:color w:val="auto"/>
          <w:sz w:val="21"/>
          <w:szCs w:val="21"/>
          <w:lang w:eastAsia="zh-CN"/>
        </w:rPr>
        <w:t>天原股份与万华化学ESG报告第三方鉴证安排对比</w:t>
      </w:r>
    </w:p>
    <w:tbl>
      <w:tblPr>
        <w:tblStyle w:val="2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90"/>
        <w:gridCol w:w="3190"/>
        <w:gridCol w:w="3191"/>
      </w:tblGrid>
      <w:tr w14:paraId="149040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90" w:type="dxa"/>
            <w:tcBorders>
              <w:bottom w:val="single" w:color="000000" w:sz="4" w:space="0"/>
              <w:tl2br w:val="nil"/>
              <w:tr2bl w:val="nil"/>
            </w:tcBorders>
            <w:vAlign w:val="center"/>
          </w:tcPr>
          <w:p w14:paraId="35752DA0">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eastAsia="zh-CN"/>
              </w:rPr>
            </w:pPr>
            <w:r>
              <w:rPr>
                <w:rFonts w:hint="eastAsia" w:ascii="宋体" w:hAnsi="宋体" w:eastAsia="宋体" w:cs="宋体"/>
                <w:color w:val="auto"/>
                <w:sz w:val="21"/>
                <w:szCs w:val="21"/>
                <w:vertAlign w:val="baseline"/>
                <w:lang w:eastAsia="zh-CN"/>
              </w:rPr>
              <w:t>对比项目</w:t>
            </w:r>
          </w:p>
        </w:tc>
        <w:tc>
          <w:tcPr>
            <w:tcW w:w="3190" w:type="dxa"/>
            <w:tcBorders>
              <w:bottom w:val="single" w:color="000000" w:sz="4" w:space="0"/>
              <w:tl2br w:val="nil"/>
              <w:tr2bl w:val="nil"/>
            </w:tcBorders>
            <w:vAlign w:val="center"/>
          </w:tcPr>
          <w:p w14:paraId="2D68ABD1">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eastAsia="zh-CN"/>
              </w:rPr>
            </w:pPr>
            <w:r>
              <w:rPr>
                <w:rFonts w:hint="eastAsia" w:ascii="宋体" w:hAnsi="宋体" w:eastAsia="宋体" w:cs="宋体"/>
                <w:color w:val="auto"/>
                <w:sz w:val="21"/>
                <w:szCs w:val="21"/>
                <w:vertAlign w:val="baseline"/>
                <w:lang w:eastAsia="zh-CN"/>
              </w:rPr>
              <w:t>天原股份</w:t>
            </w:r>
          </w:p>
        </w:tc>
        <w:tc>
          <w:tcPr>
            <w:tcW w:w="3191" w:type="dxa"/>
            <w:tcBorders>
              <w:bottom w:val="single" w:color="000000" w:sz="4" w:space="0"/>
              <w:tl2br w:val="nil"/>
              <w:tr2bl w:val="nil"/>
            </w:tcBorders>
            <w:vAlign w:val="center"/>
          </w:tcPr>
          <w:p w14:paraId="373F920D">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eastAsia="zh-CN"/>
              </w:rPr>
            </w:pPr>
            <w:r>
              <w:rPr>
                <w:rFonts w:hint="eastAsia" w:ascii="宋体" w:hAnsi="宋体" w:eastAsia="宋体" w:cs="宋体"/>
                <w:color w:val="auto"/>
                <w:sz w:val="21"/>
                <w:szCs w:val="21"/>
                <w:vertAlign w:val="baseline"/>
                <w:lang w:eastAsia="zh-CN"/>
              </w:rPr>
              <w:t>万华化学</w:t>
            </w:r>
          </w:p>
        </w:tc>
      </w:tr>
      <w:tr w14:paraId="71BE21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90" w:type="dxa"/>
            <w:tcBorders>
              <w:top w:val="single" w:color="000000" w:sz="4" w:space="0"/>
              <w:tl2br w:val="nil"/>
              <w:tr2bl w:val="nil"/>
            </w:tcBorders>
            <w:vAlign w:val="center"/>
          </w:tcPr>
          <w:p w14:paraId="6DE95CBD">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eastAsia="zh-CN"/>
              </w:rPr>
            </w:pPr>
            <w:r>
              <w:rPr>
                <w:rFonts w:hint="eastAsia" w:ascii="宋体" w:hAnsi="宋体" w:eastAsia="宋体" w:cs="宋体"/>
                <w:color w:val="auto"/>
                <w:sz w:val="21"/>
                <w:szCs w:val="21"/>
                <w:vertAlign w:val="baseline"/>
                <w:lang w:eastAsia="zh-CN"/>
              </w:rPr>
              <w:t>独立第三方鉴证声明</w:t>
            </w:r>
          </w:p>
        </w:tc>
        <w:tc>
          <w:tcPr>
            <w:tcW w:w="3190" w:type="dxa"/>
            <w:tcBorders>
              <w:top w:val="single" w:color="000000" w:sz="4" w:space="0"/>
              <w:tl2br w:val="nil"/>
              <w:tr2bl w:val="nil"/>
            </w:tcBorders>
            <w:vAlign w:val="center"/>
          </w:tcPr>
          <w:p w14:paraId="6BD98374">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eastAsia="zh-CN"/>
              </w:rPr>
            </w:pPr>
            <w:r>
              <w:rPr>
                <w:rFonts w:hint="eastAsia" w:ascii="宋体" w:hAnsi="宋体" w:eastAsia="宋体" w:cs="宋体"/>
                <w:color w:val="auto"/>
                <w:sz w:val="21"/>
                <w:szCs w:val="21"/>
                <w:vertAlign w:val="baseline"/>
                <w:lang w:eastAsia="zh-CN"/>
              </w:rPr>
              <w:t>2021</w:t>
            </w:r>
            <w:r>
              <w:rPr>
                <w:rFonts w:hint="eastAsia" w:cs="宋体"/>
                <w:color w:val="auto"/>
                <w:sz w:val="21"/>
                <w:szCs w:val="21"/>
                <w:vertAlign w:val="baseline"/>
                <w:lang w:val="en-US" w:eastAsia="zh-CN"/>
              </w:rPr>
              <w:t>-</w:t>
            </w:r>
            <w:r>
              <w:rPr>
                <w:rFonts w:hint="eastAsia" w:ascii="宋体" w:hAnsi="宋体" w:eastAsia="宋体" w:cs="宋体"/>
                <w:color w:val="auto"/>
                <w:sz w:val="21"/>
                <w:szCs w:val="21"/>
                <w:vertAlign w:val="baseline"/>
                <w:lang w:eastAsia="zh-CN"/>
              </w:rPr>
              <w:t>2024年报告中未见针对整份报告的独立第三方鉴证声明</w:t>
            </w:r>
          </w:p>
        </w:tc>
        <w:tc>
          <w:tcPr>
            <w:tcW w:w="3191" w:type="dxa"/>
            <w:tcBorders>
              <w:top w:val="single" w:color="000000" w:sz="4" w:space="0"/>
              <w:tl2br w:val="nil"/>
              <w:tr2bl w:val="nil"/>
            </w:tcBorders>
            <w:vAlign w:val="center"/>
          </w:tcPr>
          <w:p w14:paraId="006CF401">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eastAsia="zh-CN"/>
              </w:rPr>
            </w:pPr>
            <w:r>
              <w:rPr>
                <w:rFonts w:hint="eastAsia" w:ascii="宋体" w:hAnsi="宋体" w:eastAsia="宋体" w:cs="宋体"/>
                <w:color w:val="auto"/>
                <w:sz w:val="21"/>
                <w:szCs w:val="21"/>
                <w:vertAlign w:val="baseline"/>
                <w:lang w:eastAsia="zh-CN"/>
              </w:rPr>
              <w:t>有</w:t>
            </w:r>
          </w:p>
        </w:tc>
      </w:tr>
      <w:tr w14:paraId="0651E6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90" w:type="dxa"/>
            <w:tcBorders>
              <w:tl2br w:val="nil"/>
              <w:tr2bl w:val="nil"/>
            </w:tcBorders>
            <w:shd w:val="clear" w:color="auto" w:fill="auto"/>
            <w:vAlign w:val="center"/>
          </w:tcPr>
          <w:p w14:paraId="1113ED10">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highlight w:val="none"/>
                <w:vertAlign w:val="baseline"/>
                <w:lang w:eastAsia="zh-CN"/>
              </w:rPr>
            </w:pPr>
            <w:r>
              <w:rPr>
                <w:rFonts w:hint="eastAsia" w:ascii="宋体" w:hAnsi="宋体" w:eastAsia="宋体" w:cs="宋体"/>
                <w:color w:val="auto"/>
                <w:sz w:val="21"/>
                <w:szCs w:val="21"/>
                <w:vertAlign w:val="baseline"/>
                <w:lang w:eastAsia="zh-CN"/>
              </w:rPr>
              <w:t>鉴证机构</w:t>
            </w:r>
          </w:p>
        </w:tc>
        <w:tc>
          <w:tcPr>
            <w:tcW w:w="3190" w:type="dxa"/>
            <w:tcBorders>
              <w:tl2br w:val="nil"/>
              <w:tr2bl w:val="nil"/>
            </w:tcBorders>
            <w:vAlign w:val="center"/>
          </w:tcPr>
          <w:p w14:paraId="43D68E4F">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eastAsia="zh-CN"/>
              </w:rPr>
            </w:pPr>
            <w:r>
              <w:rPr>
                <w:rFonts w:hint="eastAsia" w:ascii="宋体" w:hAnsi="宋体" w:eastAsia="宋体" w:cs="宋体"/>
                <w:color w:val="auto"/>
                <w:sz w:val="21"/>
                <w:szCs w:val="21"/>
                <w:vertAlign w:val="baseline"/>
                <w:lang w:eastAsia="zh-CN"/>
              </w:rPr>
              <w:t>未见披露</w:t>
            </w:r>
          </w:p>
        </w:tc>
        <w:tc>
          <w:tcPr>
            <w:tcW w:w="3191" w:type="dxa"/>
            <w:tcBorders>
              <w:tl2br w:val="nil"/>
              <w:tr2bl w:val="nil"/>
            </w:tcBorders>
            <w:vAlign w:val="center"/>
          </w:tcPr>
          <w:p w14:paraId="7C3A9270">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eastAsia="zh-CN"/>
              </w:rPr>
            </w:pPr>
            <w:r>
              <w:rPr>
                <w:rFonts w:hint="eastAsia" w:ascii="宋体" w:hAnsi="宋体" w:eastAsia="宋体" w:cs="宋体"/>
                <w:color w:val="auto"/>
                <w:sz w:val="21"/>
                <w:szCs w:val="21"/>
                <w:vertAlign w:val="baseline"/>
                <w:lang w:eastAsia="zh-CN"/>
              </w:rPr>
              <w:t>SGS通标标准技术服务有限公司</w:t>
            </w:r>
          </w:p>
        </w:tc>
      </w:tr>
      <w:tr w14:paraId="190B9E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90" w:type="dxa"/>
            <w:tcBorders>
              <w:tl2br w:val="nil"/>
              <w:tr2bl w:val="nil"/>
            </w:tcBorders>
            <w:shd w:val="clear" w:color="auto" w:fill="auto"/>
            <w:vAlign w:val="center"/>
          </w:tcPr>
          <w:p w14:paraId="15C2D7C9">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highlight w:val="none"/>
                <w:vertAlign w:val="baseline"/>
                <w:lang w:eastAsia="zh-CN"/>
              </w:rPr>
            </w:pPr>
            <w:r>
              <w:rPr>
                <w:rFonts w:hint="eastAsia" w:ascii="宋体" w:hAnsi="宋体" w:eastAsia="宋体" w:cs="宋体"/>
                <w:color w:val="auto"/>
                <w:sz w:val="21"/>
                <w:szCs w:val="21"/>
                <w:vertAlign w:val="baseline"/>
                <w:lang w:eastAsia="zh-CN"/>
              </w:rPr>
              <w:t>鉴证对象及范围</w:t>
            </w:r>
          </w:p>
        </w:tc>
        <w:tc>
          <w:tcPr>
            <w:tcW w:w="3190" w:type="dxa"/>
            <w:tcBorders>
              <w:tl2br w:val="nil"/>
              <w:tr2bl w:val="nil"/>
            </w:tcBorders>
            <w:vAlign w:val="center"/>
          </w:tcPr>
          <w:p w14:paraId="69EBB2E2">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eastAsia="zh-CN"/>
              </w:rPr>
            </w:pPr>
            <w:r>
              <w:rPr>
                <w:rFonts w:hint="eastAsia" w:ascii="宋体" w:hAnsi="宋体" w:eastAsia="宋体" w:cs="宋体"/>
                <w:color w:val="auto"/>
                <w:sz w:val="21"/>
                <w:szCs w:val="21"/>
                <w:vertAlign w:val="baseline"/>
                <w:lang w:eastAsia="zh-CN"/>
              </w:rPr>
              <w:t>未见披露</w:t>
            </w:r>
          </w:p>
        </w:tc>
        <w:tc>
          <w:tcPr>
            <w:tcW w:w="3191" w:type="dxa"/>
            <w:tcBorders>
              <w:tl2br w:val="nil"/>
              <w:tr2bl w:val="nil"/>
            </w:tcBorders>
            <w:vAlign w:val="center"/>
          </w:tcPr>
          <w:p w14:paraId="4EEC25DE">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eastAsia="zh-CN"/>
              </w:rPr>
            </w:pPr>
            <w:r>
              <w:rPr>
                <w:rFonts w:hint="eastAsia" w:ascii="宋体" w:hAnsi="宋体" w:eastAsia="宋体" w:cs="宋体"/>
                <w:color w:val="auto"/>
                <w:sz w:val="21"/>
                <w:szCs w:val="21"/>
                <w:vertAlign w:val="baseline"/>
                <w:lang w:eastAsia="zh-CN"/>
              </w:rPr>
              <w:t>对《2024年度环境、社会及治理报告》中文版进行独立验证，主要验证可持续发展绩效信息的准确性、可靠性及报告对GRI Standards 2021的参照情况</w:t>
            </w:r>
          </w:p>
        </w:tc>
      </w:tr>
      <w:tr w14:paraId="4F72BF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90" w:type="dxa"/>
            <w:tcBorders>
              <w:tl2br w:val="nil"/>
              <w:tr2bl w:val="nil"/>
            </w:tcBorders>
            <w:shd w:val="clear" w:color="auto" w:fill="auto"/>
            <w:vAlign w:val="center"/>
          </w:tcPr>
          <w:p w14:paraId="66144959">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highlight w:val="none"/>
                <w:vertAlign w:val="baseline"/>
                <w:lang w:eastAsia="zh-CN"/>
              </w:rPr>
            </w:pPr>
            <w:r>
              <w:rPr>
                <w:rFonts w:hint="eastAsia" w:ascii="宋体" w:hAnsi="宋体" w:eastAsia="宋体" w:cs="宋体"/>
                <w:color w:val="auto"/>
                <w:sz w:val="21"/>
                <w:szCs w:val="21"/>
                <w:vertAlign w:val="baseline"/>
                <w:lang w:eastAsia="zh-CN"/>
              </w:rPr>
              <w:t>鉴证依据</w:t>
            </w:r>
          </w:p>
        </w:tc>
        <w:tc>
          <w:tcPr>
            <w:tcW w:w="3190" w:type="dxa"/>
            <w:tcBorders>
              <w:tl2br w:val="nil"/>
              <w:tr2bl w:val="nil"/>
            </w:tcBorders>
            <w:vAlign w:val="center"/>
          </w:tcPr>
          <w:p w14:paraId="08BA34AE">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eastAsia="zh-CN"/>
              </w:rPr>
            </w:pPr>
            <w:r>
              <w:rPr>
                <w:rFonts w:hint="eastAsia" w:ascii="宋体" w:hAnsi="宋体" w:eastAsia="宋体" w:cs="宋体"/>
                <w:color w:val="auto"/>
                <w:sz w:val="21"/>
                <w:szCs w:val="21"/>
                <w:vertAlign w:val="baseline"/>
                <w:lang w:eastAsia="zh-CN"/>
              </w:rPr>
              <w:t>未见披露</w:t>
            </w:r>
          </w:p>
        </w:tc>
        <w:tc>
          <w:tcPr>
            <w:tcW w:w="3191" w:type="dxa"/>
            <w:tcBorders>
              <w:tl2br w:val="nil"/>
              <w:tr2bl w:val="nil"/>
            </w:tcBorders>
            <w:vAlign w:val="center"/>
          </w:tcPr>
          <w:p w14:paraId="24D0EC99">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eastAsia="zh-CN"/>
              </w:rPr>
            </w:pPr>
            <w:r>
              <w:rPr>
                <w:rFonts w:hint="eastAsia" w:ascii="宋体" w:hAnsi="宋体" w:eastAsia="宋体" w:cs="宋体"/>
                <w:color w:val="auto"/>
                <w:sz w:val="21"/>
                <w:szCs w:val="21"/>
                <w:vertAlign w:val="baseline"/>
                <w:lang w:eastAsia="zh-CN"/>
              </w:rPr>
              <w:t>AA1000AS v3（类型2）</w:t>
            </w:r>
          </w:p>
        </w:tc>
      </w:tr>
      <w:tr w14:paraId="7C1956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90" w:type="dxa"/>
            <w:tcBorders>
              <w:tl2br w:val="nil"/>
              <w:tr2bl w:val="nil"/>
            </w:tcBorders>
            <w:vAlign w:val="center"/>
          </w:tcPr>
          <w:p w14:paraId="3A01C92A">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eastAsia="zh-CN"/>
              </w:rPr>
            </w:pPr>
            <w:r>
              <w:rPr>
                <w:rFonts w:hint="eastAsia" w:ascii="宋体" w:hAnsi="宋体" w:eastAsia="宋体" w:cs="宋体"/>
                <w:color w:val="auto"/>
                <w:sz w:val="21"/>
                <w:szCs w:val="21"/>
                <w:vertAlign w:val="baseline"/>
                <w:lang w:eastAsia="zh-CN"/>
              </w:rPr>
              <w:t>保证水平</w:t>
            </w:r>
          </w:p>
        </w:tc>
        <w:tc>
          <w:tcPr>
            <w:tcW w:w="3190" w:type="dxa"/>
            <w:tcBorders>
              <w:tl2br w:val="nil"/>
              <w:tr2bl w:val="nil"/>
            </w:tcBorders>
            <w:vAlign w:val="center"/>
          </w:tcPr>
          <w:p w14:paraId="0C8E04FB">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eastAsia="zh-CN"/>
              </w:rPr>
            </w:pPr>
            <w:r>
              <w:rPr>
                <w:rFonts w:hint="eastAsia" w:ascii="宋体" w:hAnsi="宋体" w:eastAsia="宋体" w:cs="宋体"/>
                <w:color w:val="auto"/>
                <w:sz w:val="21"/>
                <w:szCs w:val="21"/>
                <w:vertAlign w:val="baseline"/>
                <w:lang w:eastAsia="zh-CN"/>
              </w:rPr>
              <w:t>未见披露</w:t>
            </w:r>
          </w:p>
        </w:tc>
        <w:tc>
          <w:tcPr>
            <w:tcW w:w="3191" w:type="dxa"/>
            <w:tcBorders>
              <w:tl2br w:val="nil"/>
              <w:tr2bl w:val="nil"/>
            </w:tcBorders>
            <w:vAlign w:val="center"/>
          </w:tcPr>
          <w:p w14:paraId="444DE6A3">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eastAsia="zh-CN"/>
              </w:rPr>
            </w:pPr>
            <w:r>
              <w:rPr>
                <w:rFonts w:hint="eastAsia" w:ascii="宋体" w:hAnsi="宋体" w:eastAsia="宋体" w:cs="宋体"/>
                <w:color w:val="auto"/>
                <w:sz w:val="21"/>
                <w:szCs w:val="21"/>
                <w:vertAlign w:val="baseline"/>
                <w:lang w:eastAsia="zh-CN"/>
              </w:rPr>
              <w:t>中度</w:t>
            </w:r>
          </w:p>
        </w:tc>
      </w:tr>
      <w:tr w14:paraId="2DCE2A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90" w:type="dxa"/>
            <w:tcBorders>
              <w:tl2br w:val="nil"/>
              <w:tr2bl w:val="nil"/>
            </w:tcBorders>
            <w:vAlign w:val="center"/>
          </w:tcPr>
          <w:p w14:paraId="6F44A72C">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eastAsia="zh-CN"/>
              </w:rPr>
            </w:pPr>
            <w:r>
              <w:rPr>
                <w:rFonts w:hint="eastAsia" w:ascii="宋体" w:hAnsi="宋体" w:eastAsia="宋体" w:cs="宋体"/>
                <w:color w:val="auto"/>
                <w:sz w:val="21"/>
                <w:szCs w:val="21"/>
                <w:vertAlign w:val="baseline"/>
                <w:lang w:eastAsia="zh-CN"/>
              </w:rPr>
              <w:t>鉴证结论</w:t>
            </w:r>
          </w:p>
        </w:tc>
        <w:tc>
          <w:tcPr>
            <w:tcW w:w="3190" w:type="dxa"/>
            <w:tcBorders>
              <w:tl2br w:val="nil"/>
              <w:tr2bl w:val="nil"/>
            </w:tcBorders>
            <w:vAlign w:val="center"/>
          </w:tcPr>
          <w:p w14:paraId="66D3ADCF">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eastAsia="zh-CN"/>
              </w:rPr>
            </w:pPr>
            <w:r>
              <w:rPr>
                <w:rFonts w:hint="eastAsia" w:ascii="宋体" w:hAnsi="宋体" w:eastAsia="宋体" w:cs="宋体"/>
                <w:color w:val="auto"/>
                <w:sz w:val="21"/>
                <w:szCs w:val="21"/>
                <w:vertAlign w:val="baseline"/>
                <w:lang w:eastAsia="zh-CN"/>
              </w:rPr>
              <w:t>未见披露</w:t>
            </w:r>
          </w:p>
        </w:tc>
        <w:tc>
          <w:tcPr>
            <w:tcW w:w="3191" w:type="dxa"/>
            <w:tcBorders>
              <w:tl2br w:val="nil"/>
              <w:tr2bl w:val="nil"/>
            </w:tcBorders>
            <w:vAlign w:val="center"/>
          </w:tcPr>
          <w:p w14:paraId="07B86006">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eastAsia="zh-CN"/>
              </w:rPr>
            </w:pPr>
            <w:r>
              <w:rPr>
                <w:rFonts w:hint="eastAsia" w:ascii="宋体" w:hAnsi="宋体" w:eastAsia="宋体" w:cs="宋体"/>
                <w:color w:val="auto"/>
                <w:sz w:val="21"/>
                <w:szCs w:val="21"/>
                <w:vertAlign w:val="baseline"/>
                <w:lang w:eastAsia="zh-CN"/>
              </w:rPr>
              <w:t>对报告信息和数据的准确性、可靠性及公正、中肯陈述给予正面验证结论</w:t>
            </w:r>
          </w:p>
        </w:tc>
      </w:tr>
    </w:tbl>
    <w:p w14:paraId="114757A1">
      <w:pPr>
        <w:bidi w:val="0"/>
        <w:rPr>
          <w:rFonts w:hint="eastAsia" w:ascii="宋体" w:hAnsi="宋体" w:eastAsia="宋体" w:cs="宋体"/>
          <w:color w:val="auto"/>
          <w:sz w:val="24"/>
          <w:szCs w:val="24"/>
        </w:rPr>
      </w:pPr>
      <w:r>
        <w:rPr>
          <w:rFonts w:hint="eastAsia" w:eastAsia="宋体"/>
          <w:sz w:val="24"/>
          <w:szCs w:val="24"/>
          <w:lang w:eastAsia="zh-CN"/>
        </w:rPr>
        <w:t>资料来源：根据天原股份2021</w:t>
      </w:r>
      <w:r>
        <w:rPr>
          <w:rFonts w:hint="eastAsia" w:ascii="宋体" w:eastAsia="宋体"/>
          <w:sz w:val="24"/>
          <w:szCs w:val="24"/>
          <w:lang w:val="en-US" w:eastAsia="zh-CN"/>
        </w:rPr>
        <w:t>-</w:t>
      </w:r>
      <w:r>
        <w:rPr>
          <w:rFonts w:hint="eastAsia" w:eastAsia="宋体"/>
          <w:sz w:val="24"/>
          <w:szCs w:val="24"/>
          <w:lang w:eastAsia="zh-CN"/>
        </w:rPr>
        <w:t>2024</w:t>
      </w:r>
      <w:r>
        <w:rPr>
          <w:rFonts w:hint="eastAsia"/>
          <w:sz w:val="24"/>
          <w:szCs w:val="24"/>
          <w:lang w:val="en-US" w:eastAsia="zh-CN"/>
        </w:rPr>
        <w:t>年度</w:t>
      </w:r>
      <w:r>
        <w:rPr>
          <w:rFonts w:hint="eastAsia" w:eastAsia="宋体"/>
          <w:sz w:val="24"/>
          <w:szCs w:val="24"/>
          <w:lang w:eastAsia="zh-CN"/>
        </w:rPr>
        <w:t>社会责任及ESG报告</w:t>
      </w:r>
      <w:r>
        <w:rPr>
          <w:rFonts w:hint="eastAsia" w:eastAsia="宋体"/>
          <w:sz w:val="24"/>
          <w:szCs w:val="24"/>
          <w:vertAlign w:val="superscript"/>
          <w:lang w:eastAsia="zh-CN"/>
        </w:rPr>
        <w:fldChar w:fldCharType="begin"/>
      </w:r>
      <w:r>
        <w:rPr>
          <w:sz w:val="24"/>
          <w:szCs w:val="24"/>
        </w:rPr>
        <w:instrText xml:space="preserve"> REF _Ref9585 \r \h  \* MERGEFORMAT</w:instrText>
      </w:r>
      <w:r>
        <w:rPr>
          <w:rFonts w:hint="eastAsia" w:eastAsia="宋体"/>
          <w:sz w:val="24"/>
          <w:szCs w:val="24"/>
          <w:vertAlign w:val="superscript"/>
          <w:lang w:eastAsia="zh-CN"/>
        </w:rPr>
        <w:fldChar w:fldCharType="separate"/>
      </w:r>
      <w:r>
        <w:rPr>
          <w:rFonts w:hint="eastAsia" w:eastAsia="宋体"/>
          <w:sz w:val="24"/>
          <w:szCs w:val="24"/>
          <w:vertAlign w:val="superscript"/>
          <w:lang w:eastAsia="zh-CN"/>
        </w:rPr>
        <w:t>[10]</w:t>
      </w:r>
      <w:r>
        <w:rPr>
          <w:rFonts w:hint="eastAsia" w:eastAsia="宋体"/>
          <w:sz w:val="24"/>
          <w:szCs w:val="24"/>
          <w:vertAlign w:val="superscript"/>
          <w:lang w:eastAsia="zh-CN"/>
        </w:rPr>
        <w:fldChar w:fldCharType="end"/>
      </w:r>
      <w:r>
        <w:rPr>
          <w:rFonts w:hint="eastAsia" w:eastAsia="宋体"/>
          <w:sz w:val="24"/>
          <w:szCs w:val="24"/>
          <w:vertAlign w:val="superscript"/>
          <w:lang w:eastAsia="zh-CN"/>
        </w:rPr>
        <w:fldChar w:fldCharType="begin"/>
      </w:r>
      <w:r>
        <w:rPr>
          <w:sz w:val="24"/>
          <w:szCs w:val="24"/>
        </w:rPr>
        <w:instrText xml:space="preserve"> REF _Ref9621 \r \h  \* MERGEFORMAT</w:instrText>
      </w:r>
      <w:r>
        <w:rPr>
          <w:rFonts w:hint="eastAsia" w:eastAsia="宋体"/>
          <w:sz w:val="24"/>
          <w:szCs w:val="24"/>
          <w:vertAlign w:val="superscript"/>
          <w:lang w:eastAsia="zh-CN"/>
        </w:rPr>
        <w:fldChar w:fldCharType="separate"/>
      </w:r>
      <w:r>
        <w:rPr>
          <w:rFonts w:hint="eastAsia" w:eastAsia="宋体"/>
          <w:sz w:val="24"/>
          <w:szCs w:val="24"/>
          <w:vertAlign w:val="superscript"/>
          <w:lang w:eastAsia="zh-CN"/>
        </w:rPr>
        <w:t>[11]</w:t>
      </w:r>
      <w:r>
        <w:rPr>
          <w:rFonts w:hint="eastAsia" w:eastAsia="宋体"/>
          <w:sz w:val="24"/>
          <w:szCs w:val="24"/>
          <w:vertAlign w:val="superscript"/>
          <w:lang w:eastAsia="zh-CN"/>
        </w:rPr>
        <w:fldChar w:fldCharType="end"/>
      </w:r>
      <w:r>
        <w:rPr>
          <w:rFonts w:hint="eastAsia" w:eastAsia="宋体"/>
          <w:sz w:val="24"/>
          <w:szCs w:val="24"/>
          <w:vertAlign w:val="superscript"/>
          <w:lang w:eastAsia="zh-CN"/>
        </w:rPr>
        <w:fldChar w:fldCharType="begin"/>
      </w:r>
      <w:r>
        <w:rPr>
          <w:sz w:val="24"/>
          <w:szCs w:val="24"/>
        </w:rPr>
        <w:instrText xml:space="preserve"> REF _Ref9644 \r \h  \* MERGEFORMAT</w:instrText>
      </w:r>
      <w:r>
        <w:rPr>
          <w:rFonts w:hint="eastAsia" w:eastAsia="宋体"/>
          <w:sz w:val="24"/>
          <w:szCs w:val="24"/>
          <w:vertAlign w:val="superscript"/>
          <w:lang w:eastAsia="zh-CN"/>
        </w:rPr>
        <w:fldChar w:fldCharType="separate"/>
      </w:r>
      <w:r>
        <w:rPr>
          <w:rFonts w:hint="eastAsia" w:eastAsia="宋体"/>
          <w:sz w:val="24"/>
          <w:szCs w:val="24"/>
          <w:vertAlign w:val="superscript"/>
          <w:lang w:eastAsia="zh-CN"/>
        </w:rPr>
        <w:t>[12]</w:t>
      </w:r>
      <w:r>
        <w:rPr>
          <w:rFonts w:hint="eastAsia" w:eastAsia="宋体"/>
          <w:sz w:val="24"/>
          <w:szCs w:val="24"/>
          <w:vertAlign w:val="superscript"/>
          <w:lang w:eastAsia="zh-CN"/>
        </w:rPr>
        <w:fldChar w:fldCharType="end"/>
      </w:r>
      <w:r>
        <w:rPr>
          <w:rFonts w:hint="eastAsia" w:eastAsia="宋体"/>
          <w:sz w:val="24"/>
          <w:szCs w:val="24"/>
          <w:vertAlign w:val="superscript"/>
          <w:lang w:eastAsia="zh-CN"/>
        </w:rPr>
        <w:fldChar w:fldCharType="begin"/>
      </w:r>
      <w:r>
        <w:rPr>
          <w:sz w:val="24"/>
          <w:szCs w:val="24"/>
        </w:rPr>
        <w:instrText xml:space="preserve"> REF _Ref9667 \r \h  \* MERGEFORMAT</w:instrText>
      </w:r>
      <w:r>
        <w:rPr>
          <w:rFonts w:hint="eastAsia" w:eastAsia="宋体"/>
          <w:sz w:val="24"/>
          <w:szCs w:val="24"/>
          <w:vertAlign w:val="superscript"/>
          <w:lang w:eastAsia="zh-CN"/>
        </w:rPr>
        <w:fldChar w:fldCharType="separate"/>
      </w:r>
      <w:r>
        <w:rPr>
          <w:rFonts w:hint="eastAsia" w:eastAsia="宋体"/>
          <w:sz w:val="24"/>
          <w:szCs w:val="24"/>
          <w:vertAlign w:val="superscript"/>
          <w:lang w:eastAsia="zh-CN"/>
        </w:rPr>
        <w:t>[13]</w:t>
      </w:r>
      <w:r>
        <w:rPr>
          <w:rFonts w:hint="eastAsia" w:eastAsia="宋体"/>
          <w:sz w:val="24"/>
          <w:szCs w:val="24"/>
          <w:vertAlign w:val="superscript"/>
          <w:lang w:eastAsia="zh-CN"/>
        </w:rPr>
        <w:fldChar w:fldCharType="end"/>
      </w:r>
      <w:r>
        <w:rPr>
          <w:rFonts w:hint="eastAsia" w:eastAsia="宋体"/>
          <w:sz w:val="24"/>
          <w:szCs w:val="24"/>
          <w:lang w:eastAsia="zh-CN"/>
        </w:rPr>
        <w:t>和万华化学2024年度ESG报告</w:t>
      </w:r>
      <w:r>
        <w:rPr>
          <w:rFonts w:hint="eastAsia" w:eastAsia="宋体"/>
          <w:sz w:val="24"/>
          <w:szCs w:val="24"/>
          <w:vertAlign w:val="superscript"/>
          <w:lang w:eastAsia="zh-CN"/>
        </w:rPr>
        <w:fldChar w:fldCharType="begin"/>
      </w:r>
      <w:r>
        <w:rPr>
          <w:sz w:val="24"/>
          <w:szCs w:val="24"/>
        </w:rPr>
        <w:instrText xml:space="preserve"> REF _Ref10020 \r \h  \* MERGEFORMAT</w:instrText>
      </w:r>
      <w:r>
        <w:rPr>
          <w:rFonts w:hint="eastAsia" w:eastAsia="宋体"/>
          <w:sz w:val="24"/>
          <w:szCs w:val="24"/>
          <w:vertAlign w:val="superscript"/>
          <w:lang w:eastAsia="zh-CN"/>
        </w:rPr>
        <w:fldChar w:fldCharType="separate"/>
      </w:r>
      <w:r>
        <w:rPr>
          <w:rFonts w:hint="eastAsia" w:eastAsia="宋体"/>
          <w:sz w:val="24"/>
          <w:szCs w:val="24"/>
          <w:vertAlign w:val="superscript"/>
          <w:lang w:eastAsia="zh-CN"/>
        </w:rPr>
        <w:t>[17]</w:t>
      </w:r>
      <w:r>
        <w:rPr>
          <w:rFonts w:hint="eastAsia" w:eastAsia="宋体"/>
          <w:sz w:val="24"/>
          <w:szCs w:val="24"/>
          <w:vertAlign w:val="superscript"/>
          <w:lang w:eastAsia="zh-CN"/>
        </w:rPr>
        <w:fldChar w:fldCharType="end"/>
      </w:r>
      <w:r>
        <w:rPr>
          <w:rFonts w:hint="eastAsia" w:eastAsia="宋体"/>
          <w:sz w:val="24"/>
          <w:szCs w:val="24"/>
          <w:lang w:eastAsia="zh-CN"/>
        </w:rPr>
        <w:t>整理。</w:t>
      </w:r>
    </w:p>
    <w:p w14:paraId="50F999C3">
      <w:pPr>
        <w:pStyle w:val="4"/>
        <w:bidi w:val="0"/>
        <w:rPr>
          <w:rFonts w:hint="eastAsia" w:ascii="宋体" w:hAnsi="宋体" w:eastAsia="宋体" w:cs="宋体"/>
          <w:color w:val="auto"/>
        </w:rPr>
      </w:pPr>
      <w:bookmarkStart w:id="96" w:name="_Toc10317"/>
      <w:r>
        <w:rPr>
          <w:rFonts w:hint="eastAsia" w:ascii="宋体" w:hAnsi="宋体" w:eastAsia="宋体" w:cs="宋体"/>
          <w:color w:val="auto"/>
        </w:rPr>
        <w:t>潜在“漂绿”风险仍然存在</w:t>
      </w:r>
      <w:bookmarkEnd w:id="96"/>
    </w:p>
    <w:p w14:paraId="4B62C8A4">
      <w:pPr>
        <w:bidi w:val="0"/>
        <w:rPr>
          <w:rFonts w:hint="eastAsia" w:ascii="宋体" w:hAnsi="宋体" w:eastAsia="宋体" w:cs="宋体"/>
          <w:color w:val="auto"/>
          <w:lang w:eastAsia="zh-CN"/>
        </w:rPr>
      </w:pPr>
      <w:r>
        <w:rPr>
          <w:rFonts w:hint="eastAsia" w:ascii="宋体" w:hAnsi="宋体" w:eastAsia="宋体" w:cs="宋体"/>
          <w:color w:val="auto"/>
        </w:rPr>
        <w:t>在“双碳”战略要求企业实质性转型的背景下，信息披露的质量缺陷往往容易引发道德风险。正如学者王宇熹所强调的：“需要建立更为严格的ESG信息报告规则，以防止企业通过选择性披露信息来‘漂绿’；需要通过第三方鉴证或者审核等方式，来验证企业ESG信息的准确性”</w:t>
      </w:r>
      <w:r>
        <w:rPr>
          <w:rFonts w:hint="eastAsia" w:ascii="宋体" w:hAnsi="宋体" w:eastAsia="宋体" w:cs="宋体"/>
          <w:color w:val="auto"/>
          <w:vertAlign w:val="superscript"/>
        </w:rPr>
        <w:fldChar w:fldCharType="begin"/>
      </w:r>
      <w:r>
        <w:rPr>
          <w:color w:val="auto"/>
        </w:rPr>
        <w:instrText xml:space="preserve"> REF _Ref9755 \r \h  \* MERGEFORMAT</w:instrText>
      </w:r>
      <w:r>
        <w:rPr>
          <w:rFonts w:hint="eastAsia" w:ascii="宋体" w:hAnsi="宋体" w:eastAsia="宋体" w:cs="宋体"/>
          <w:color w:val="auto"/>
          <w:vertAlign w:val="superscript"/>
        </w:rPr>
        <w:fldChar w:fldCharType="separate"/>
      </w:r>
      <w:r>
        <w:rPr>
          <w:rFonts w:hint="eastAsia" w:ascii="宋体" w:hAnsi="宋体" w:eastAsia="宋体" w:cs="宋体"/>
          <w:color w:val="auto"/>
          <w:vertAlign w:val="superscript"/>
        </w:rPr>
        <w:t>[15]</w:t>
      </w:r>
      <w:r>
        <w:rPr>
          <w:rFonts w:hint="eastAsia" w:ascii="宋体" w:hAnsi="宋体" w:eastAsia="宋体" w:cs="宋体"/>
          <w:color w:val="auto"/>
          <w:vertAlign w:val="superscript"/>
        </w:rPr>
        <w:fldChar w:fldCharType="end"/>
      </w:r>
      <w:r>
        <w:rPr>
          <w:rFonts w:hint="eastAsia" w:ascii="宋体" w:hAnsi="宋体" w:eastAsia="宋体" w:cs="宋体"/>
          <w:color w:val="auto"/>
          <w:lang w:eastAsia="zh-CN"/>
        </w:rPr>
        <w:t>。</w:t>
      </w:r>
    </w:p>
    <w:p w14:paraId="30973B67">
      <w:pPr>
        <w:bidi w:val="0"/>
        <w:rPr>
          <w:rFonts w:hint="eastAsia" w:ascii="宋体" w:hAnsi="宋体" w:eastAsia="宋体" w:cs="宋体"/>
          <w:color w:val="auto"/>
          <w:lang w:eastAsia="zh-CN"/>
        </w:rPr>
      </w:pPr>
      <w:r>
        <w:rPr>
          <w:rFonts w:hint="eastAsia" w:ascii="宋体" w:hAnsi="宋体" w:eastAsia="宋体" w:cs="宋体"/>
          <w:color w:val="auto"/>
          <w:lang w:eastAsia="zh-CN"/>
        </w:rPr>
        <w:t>从前述外部鉴证现状看，企业披露的信息即使不存在虚假，也可能因为缺少外部验证，使投资者难以判断正面信息、负面信息和挑战性事项是否得到同等充分的呈现。从信号传递理论看，自愿ESG披露本质上也是企业向外部市场传递经营和转型信息的过程。如果缺少独立验证，信息不对称就难以完全缓解，披露信号的可信度也可能受到影响。“漂绿风险”主要是指现有披露模式下可能产生的外部质疑和信息判断风险，并不等同于认定天原股份已经实施了实际“漂绿”行为。</w:t>
      </w:r>
    </w:p>
    <w:p w14:paraId="335F1A64">
      <w:pPr>
        <w:pStyle w:val="3"/>
        <w:bidi w:val="0"/>
        <w:rPr>
          <w:rFonts w:hint="eastAsia"/>
          <w:lang w:eastAsia="zh-CN"/>
        </w:rPr>
      </w:pPr>
      <w:bookmarkStart w:id="97" w:name="_Toc1425"/>
      <w:r>
        <w:rPr>
          <w:rFonts w:hint="eastAsia"/>
          <w:lang w:eastAsia="zh-CN"/>
        </w:rPr>
        <w:t>ESG内部管治架构不健全</w:t>
      </w:r>
      <w:bookmarkEnd w:id="97"/>
    </w:p>
    <w:p w14:paraId="472C7C77">
      <w:pPr>
        <w:pStyle w:val="4"/>
        <w:bidi w:val="0"/>
        <w:rPr>
          <w:rFonts w:hint="eastAsia"/>
          <w:lang w:eastAsia="zh-CN"/>
        </w:rPr>
      </w:pPr>
      <w:bookmarkStart w:id="98" w:name="_Toc32641"/>
      <w:r>
        <w:rPr>
          <w:rFonts w:hint="eastAsia"/>
          <w:lang w:eastAsia="zh-CN"/>
        </w:rPr>
        <w:t>专门ESG委员会缺位</w:t>
      </w:r>
      <w:bookmarkEnd w:id="98"/>
    </w:p>
    <w:p w14:paraId="7ADFD711">
      <w:pPr>
        <w:rPr>
          <w:rFonts w:hint="eastAsia"/>
          <w:lang w:eastAsia="zh-CN"/>
        </w:rPr>
      </w:pPr>
      <w:r>
        <w:rPr>
          <w:rFonts w:hint="eastAsia"/>
          <w:lang w:eastAsia="zh-CN"/>
        </w:rPr>
        <w:t>如第三章所示，天原股份现有ESG治理体系已形成“监督层-管理层-执行层”的三级架构，但从公开披露情况看，公司尚未单独设置专门的ESG委员会或可持续发展委员会</w:t>
      </w:r>
      <w:r>
        <w:rPr>
          <w:rFonts w:hint="eastAsia"/>
          <w:vertAlign w:val="superscript"/>
          <w:lang w:eastAsia="zh-CN"/>
        </w:rPr>
        <w:fldChar w:fldCharType="begin"/>
      </w:r>
      <w:r>
        <w:instrText xml:space="preserve"> REF _Ref9585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lang w:eastAsia="zh-CN"/>
        </w:rPr>
        <w:t>。</w:t>
      </w:r>
    </w:p>
    <w:p w14:paraId="13305B2C">
      <w:pPr>
        <w:rPr>
          <w:rFonts w:hint="eastAsia"/>
          <w:lang w:eastAsia="zh-CN"/>
        </w:rPr>
      </w:pPr>
      <w:r>
        <w:rPr>
          <w:rFonts w:hint="eastAsia"/>
          <w:lang w:eastAsia="zh-CN"/>
        </w:rPr>
        <w:t>这种安排能够满足一般性的组织协调需要，但在涉及碳排放核算、气候风险、供应链责任等跨部门、专业性较强的议题时，可能存在持续跟踪和专业统筹不足的问题。ESG事项又同时涉及环保、财务、生产经营和子公司管理，仅依靠常规职能部门统筹，董事会层面对复杂议题的专项审议和持续监督机制相对有限。这只能说明现有治理结构在专业化分工方面仍有完善空间，不能据此直接认定其已经导致具体披露错误。</w:t>
      </w:r>
    </w:p>
    <w:p w14:paraId="0B43CEA3">
      <w:pPr>
        <w:rPr>
          <w:rFonts w:hint="eastAsia"/>
          <w:lang w:eastAsia="zh-CN"/>
        </w:rPr>
      </w:pPr>
      <w:r>
        <w:rPr>
          <w:rFonts w:hint="eastAsia"/>
          <w:lang w:eastAsia="zh-CN"/>
        </w:rPr>
        <w:t>从利益相关者理论看，投资者、债权人、监管部门、员工及供应链等主体对企业ESG信息的关注重点并不完全相同。若缺少专门机构持续汇总和协调这些信息需求，企业在识别重要议题和安排披露重点时，可能较难兼顾不同利益相关者的要求。因此，专门ESG委员会缺位是天原股份内部治理体系在组织层面较为明显的不足。</w:t>
      </w:r>
    </w:p>
    <w:p w14:paraId="353F8A28">
      <w:pPr>
        <w:pStyle w:val="4"/>
        <w:bidi w:val="0"/>
        <w:rPr>
          <w:rFonts w:hint="eastAsia"/>
          <w:lang w:eastAsia="zh-CN"/>
        </w:rPr>
      </w:pPr>
      <w:bookmarkStart w:id="99" w:name="_Toc21610"/>
      <w:r>
        <w:rPr>
          <w:rFonts w:hint="eastAsia"/>
          <w:lang w:eastAsia="zh-CN"/>
        </w:rPr>
        <w:t>专业统筹与职责配置不足</w:t>
      </w:r>
      <w:bookmarkEnd w:id="99"/>
    </w:p>
    <w:p w14:paraId="31E16CEB">
      <w:pPr>
        <w:rPr>
          <w:rFonts w:hint="eastAsia"/>
          <w:lang w:eastAsia="zh-CN"/>
        </w:rPr>
      </w:pPr>
      <w:r>
        <w:rPr>
          <w:rFonts w:hint="eastAsia"/>
          <w:lang w:eastAsia="zh-CN"/>
        </w:rPr>
        <w:t>在上述治理架构下，ESG事项同时涉及环保、财务、生产、安全及分子公司等多个主体。现有公开报告能够确认各层级承担相应职责</w:t>
      </w:r>
      <w:r>
        <w:rPr>
          <w:rFonts w:hint="eastAsia"/>
          <w:vertAlign w:val="superscript"/>
          <w:lang w:eastAsia="zh-CN"/>
        </w:rPr>
        <w:fldChar w:fldCharType="begin"/>
      </w:r>
      <w:r>
        <w:instrText xml:space="preserve"> REF _Ref9667 \r \h  \* MERGEFORMAT</w:instrText>
      </w:r>
      <w:r>
        <w:rPr>
          <w:rFonts w:hint="eastAsia"/>
          <w:vertAlign w:val="superscript"/>
          <w:lang w:eastAsia="zh-CN"/>
        </w:rPr>
        <w:fldChar w:fldCharType="separate"/>
      </w:r>
      <w:r>
        <w:rPr>
          <w:rFonts w:hint="eastAsia"/>
          <w:vertAlign w:val="superscript"/>
          <w:lang w:eastAsia="zh-CN"/>
        </w:rPr>
        <w:t>[13]</w:t>
      </w:r>
      <w:r>
        <w:rPr>
          <w:rFonts w:hint="eastAsia"/>
          <w:vertAlign w:val="superscript"/>
          <w:lang w:eastAsia="zh-CN"/>
        </w:rPr>
        <w:fldChar w:fldCharType="end"/>
      </w:r>
      <w:r>
        <w:rPr>
          <w:rFonts w:hint="eastAsia"/>
          <w:vertAlign w:val="superscript"/>
          <w:lang w:eastAsia="zh-CN"/>
        </w:rPr>
        <w:fldChar w:fldCharType="begin"/>
      </w:r>
      <w:r>
        <w:instrText xml:space="preserve"> REF _Ref9585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lang w:eastAsia="zh-CN"/>
        </w:rPr>
        <w:t>，但尚未说明不同职能部门在碳核算、气候风险、财务影响等专业事项中的具体责任划分及协同机制。若缺少更明确的专业分工和责任边界，跨部门协调中可能出现职责衔接不够清晰等情况。</w:t>
      </w:r>
    </w:p>
    <w:p w14:paraId="0B9249DB">
      <w:pPr>
        <w:rPr>
          <w:rFonts w:hint="eastAsia"/>
          <w:lang w:eastAsia="zh-CN"/>
        </w:rPr>
      </w:pPr>
      <w:r>
        <w:rPr>
          <w:rFonts w:hint="eastAsia"/>
          <w:lang w:val="en-US" w:eastAsia="zh-CN"/>
        </w:rPr>
        <w:t>因此，</w:t>
      </w:r>
      <w:r>
        <w:rPr>
          <w:rFonts w:hint="eastAsia"/>
          <w:lang w:eastAsia="zh-CN"/>
        </w:rPr>
        <w:t>天原股份现有ESG统筹体系在专业化分工和跨部门协同方面仍有进一步细化空间，但不能据此直接认定公司内部已经发生具体管理失误。</w:t>
      </w:r>
    </w:p>
    <w:p w14:paraId="741490B6">
      <w:pPr>
        <w:pStyle w:val="4"/>
        <w:bidi w:val="0"/>
        <w:rPr>
          <w:rFonts w:hint="eastAsia"/>
          <w:lang w:eastAsia="zh-CN"/>
        </w:rPr>
      </w:pPr>
      <w:bookmarkStart w:id="100" w:name="_Toc26038"/>
      <w:r>
        <w:rPr>
          <w:rFonts w:hint="eastAsia"/>
          <w:lang w:eastAsia="zh-CN"/>
        </w:rPr>
        <w:t>ESG目标与绩效约束衔接不足</w:t>
      </w:r>
      <w:bookmarkEnd w:id="100"/>
    </w:p>
    <w:p w14:paraId="3B7D90A7">
      <w:pPr>
        <w:rPr>
          <w:rFonts w:hint="eastAsia"/>
          <w:lang w:eastAsia="zh-CN"/>
        </w:rPr>
      </w:pPr>
      <w:r>
        <w:rPr>
          <w:rFonts w:hint="eastAsia"/>
          <w:lang w:eastAsia="zh-CN"/>
        </w:rPr>
        <w:t>天原股份并非没有将ESG相关目标纳入绩效考核。2023年报告已披露环境目标与管理层绩效奖励挂钩，2024年进一步提出将碳排放目标纳入企业绩效考核体系，并通过月度考核和评估跟踪目标完成情况</w:t>
      </w:r>
      <w:r>
        <w:rPr>
          <w:rFonts w:hint="eastAsia"/>
          <w:vertAlign w:val="superscript"/>
          <w:lang w:eastAsia="zh-CN"/>
        </w:rPr>
        <w:fldChar w:fldCharType="begin"/>
      </w:r>
      <w:r>
        <w:instrText xml:space="preserve"> REF _Ref9667 \r \h  \* MERGEFORMAT</w:instrText>
      </w:r>
      <w:r>
        <w:rPr>
          <w:rFonts w:hint="eastAsia"/>
          <w:vertAlign w:val="superscript"/>
          <w:lang w:eastAsia="zh-CN"/>
        </w:rPr>
        <w:fldChar w:fldCharType="separate"/>
      </w:r>
      <w:r>
        <w:rPr>
          <w:rFonts w:hint="eastAsia"/>
          <w:vertAlign w:val="superscript"/>
          <w:lang w:eastAsia="zh-CN"/>
        </w:rPr>
        <w:t>[13]</w:t>
      </w:r>
      <w:r>
        <w:rPr>
          <w:rFonts w:hint="eastAsia"/>
          <w:vertAlign w:val="superscript"/>
          <w:lang w:eastAsia="zh-CN"/>
        </w:rPr>
        <w:fldChar w:fldCharType="end"/>
      </w:r>
      <w:r>
        <w:rPr>
          <w:rFonts w:hint="eastAsia"/>
          <w:vertAlign w:val="superscript"/>
          <w:lang w:eastAsia="zh-CN"/>
        </w:rPr>
        <w:fldChar w:fldCharType="begin"/>
      </w:r>
      <w:r>
        <w:instrText xml:space="preserve"> REF _Ref9585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lang w:eastAsia="zh-CN"/>
        </w:rPr>
        <w:t>。但从公开披露看，现有绩效约束主要集中在环保和节能降碳领域，尚未形成覆盖更完整ESG议题的统一考核框架。报告虽说明部分环境绩效指标纳入管理层考核，也披露了经营业绩责任书等管理机制，但社会责任、供应链、气候风险等其他ESG议题如何与管理层绩效评价衔接，公开信息仍较有限。</w:t>
      </w:r>
    </w:p>
    <w:p w14:paraId="3D92EBA4">
      <w:pPr>
        <w:pStyle w:val="3"/>
        <w:bidi w:val="0"/>
        <w:rPr>
          <w:rFonts w:hint="eastAsia" w:ascii="宋体" w:hAnsi="宋体" w:eastAsia="宋体" w:cs="宋体"/>
          <w:color w:val="auto"/>
          <w:lang w:val="en-US" w:eastAsia="zh-CN"/>
        </w:rPr>
      </w:pPr>
      <w:bookmarkStart w:id="101" w:name="_Toc14799"/>
      <w:bookmarkStart w:id="102" w:name="_Toc2773"/>
      <w:bookmarkStart w:id="103" w:name="_Toc14635"/>
      <w:r>
        <w:rPr>
          <w:rFonts w:hint="eastAsia" w:ascii="宋体" w:hAnsi="宋体" w:eastAsia="宋体" w:cs="宋体"/>
          <w:color w:val="auto"/>
          <w:lang w:val="en-US" w:eastAsia="zh-CN"/>
        </w:rPr>
        <w:t>气候风险与挑战性信息披露不充分</w:t>
      </w:r>
      <w:bookmarkEnd w:id="101"/>
      <w:bookmarkEnd w:id="102"/>
      <w:bookmarkEnd w:id="103"/>
    </w:p>
    <w:p w14:paraId="6A100BE6">
      <w:pPr>
        <w:pStyle w:val="4"/>
        <w:bidi w:val="0"/>
        <w:rPr>
          <w:rFonts w:hint="eastAsia" w:ascii="宋体" w:hAnsi="宋体" w:eastAsia="宋体" w:cs="宋体"/>
          <w:color w:val="auto"/>
          <w:lang w:val="en-US" w:eastAsia="zh-CN"/>
        </w:rPr>
      </w:pPr>
      <w:bookmarkStart w:id="104" w:name="_Toc17006"/>
      <w:r>
        <w:rPr>
          <w:rFonts w:hint="eastAsia" w:ascii="宋体" w:hAnsi="宋体" w:eastAsia="宋体" w:cs="宋体"/>
          <w:color w:val="auto"/>
          <w:lang w:val="en-US" w:eastAsia="zh-CN"/>
        </w:rPr>
        <w:t>负面及挑战性信息披露不足</w:t>
      </w:r>
      <w:bookmarkEnd w:id="104"/>
    </w:p>
    <w:p w14:paraId="0A323C20">
      <w:pPr>
        <w:bidi w:val="0"/>
        <w:rPr>
          <w:rFonts w:hint="eastAsia" w:ascii="宋体" w:hAnsi="宋体" w:eastAsia="宋体" w:cs="宋体"/>
          <w:color w:val="auto"/>
          <w:lang w:val="en-US" w:eastAsia="zh-CN"/>
        </w:rPr>
      </w:pPr>
      <w:r>
        <w:rPr>
          <w:rFonts w:hint="eastAsia" w:ascii="宋体" w:hAnsi="宋体" w:eastAsia="宋体" w:cs="宋体"/>
          <w:color w:val="auto"/>
          <w:lang w:val="en-US" w:eastAsia="zh-CN"/>
        </w:rPr>
        <w:t>非财务信息披露的重要作用在于为资本市场提供全面的风险评估参考。正如学者陈智等所指出的：“GRI准则认为，报告披露的信息应反映企业的正面和负面表现”</w:t>
      </w:r>
      <w:r>
        <w:rPr>
          <w:rFonts w:hint="eastAsia" w:ascii="宋体" w:hAnsi="宋体" w:eastAsia="宋体" w:cs="宋体"/>
          <w:color w:val="auto"/>
          <w:vertAlign w:val="superscript"/>
          <w:lang w:val="en-US" w:eastAsia="zh-CN"/>
        </w:rPr>
        <w:fldChar w:fldCharType="begin"/>
      </w:r>
      <w:r>
        <w:rPr>
          <w:color w:val="auto"/>
        </w:rPr>
        <w:instrText xml:space="preserve"> REF _Ref10085 \r \h  \* MERGEFORMAT</w:instrText>
      </w:r>
      <w:r>
        <w:rPr>
          <w:rFonts w:hint="eastAsia" w:ascii="宋体" w:hAnsi="宋体" w:eastAsia="宋体" w:cs="宋体"/>
          <w:color w:val="auto"/>
          <w:vertAlign w:val="superscript"/>
          <w:lang w:val="en-US" w:eastAsia="zh-CN"/>
        </w:rPr>
        <w:fldChar w:fldCharType="separate"/>
      </w:r>
      <w:r>
        <w:rPr>
          <w:rFonts w:hint="eastAsia" w:ascii="宋体" w:hAnsi="宋体" w:eastAsia="宋体" w:cs="宋体"/>
          <w:color w:val="auto"/>
          <w:vertAlign w:val="superscript"/>
          <w:lang w:val="en-US" w:eastAsia="zh-CN"/>
        </w:rPr>
        <w:t>[18]</w:t>
      </w:r>
      <w:r>
        <w:rPr>
          <w:rFonts w:hint="eastAsia" w:ascii="宋体" w:hAnsi="宋体" w:eastAsia="宋体" w:cs="宋体"/>
          <w:color w:val="auto"/>
          <w:vertAlign w:val="superscript"/>
          <w:lang w:val="en-US" w:eastAsia="zh-CN"/>
        </w:rPr>
        <w:fldChar w:fldCharType="end"/>
      </w:r>
      <w:r>
        <w:rPr>
          <w:rFonts w:hint="eastAsia" w:ascii="宋体" w:hAnsi="宋体" w:eastAsia="宋体" w:cs="宋体"/>
          <w:color w:val="auto"/>
          <w:lang w:val="en-US" w:eastAsia="zh-CN"/>
        </w:rPr>
        <w:t>。然而目前国内披露实践中普遍存在的问题是，“企业在披露时侧重于宣传，披露内容多为正面信息和难以验证的定性信息，负面信息甚少涉及”</w:t>
      </w:r>
      <w:r>
        <w:rPr>
          <w:rFonts w:hint="eastAsia" w:ascii="宋体" w:hAnsi="宋体" w:eastAsia="宋体" w:cs="宋体"/>
          <w:color w:val="auto"/>
          <w:vertAlign w:val="superscript"/>
          <w:lang w:val="en-US" w:eastAsia="zh-CN"/>
        </w:rPr>
        <w:fldChar w:fldCharType="begin"/>
      </w:r>
      <w:r>
        <w:rPr>
          <w:color w:val="auto"/>
        </w:rPr>
        <w:instrText xml:space="preserve"> REF _Ref10085 \r \h  \* MERGEFORMAT</w:instrText>
      </w:r>
      <w:r>
        <w:rPr>
          <w:rFonts w:hint="eastAsia" w:ascii="宋体" w:hAnsi="宋体" w:eastAsia="宋体" w:cs="宋体"/>
          <w:color w:val="auto"/>
          <w:vertAlign w:val="superscript"/>
          <w:lang w:val="en-US" w:eastAsia="zh-CN"/>
        </w:rPr>
        <w:fldChar w:fldCharType="separate"/>
      </w:r>
      <w:r>
        <w:rPr>
          <w:rFonts w:hint="eastAsia" w:ascii="宋体" w:hAnsi="宋体" w:eastAsia="宋体" w:cs="宋体"/>
          <w:color w:val="auto"/>
          <w:vertAlign w:val="superscript"/>
          <w:lang w:val="en-US" w:eastAsia="zh-CN"/>
        </w:rPr>
        <w:t>[18]</w:t>
      </w:r>
      <w:r>
        <w:rPr>
          <w:rFonts w:hint="eastAsia" w:ascii="宋体" w:hAnsi="宋体" w:eastAsia="宋体" w:cs="宋体"/>
          <w:color w:val="auto"/>
          <w:vertAlign w:val="superscript"/>
          <w:lang w:val="en-US" w:eastAsia="zh-CN"/>
        </w:rPr>
        <w:fldChar w:fldCharType="end"/>
      </w:r>
      <w:r>
        <w:rPr>
          <w:rFonts w:hint="eastAsia" w:ascii="宋体" w:hAnsi="宋体" w:eastAsia="宋体" w:cs="宋体"/>
          <w:color w:val="auto"/>
          <w:lang w:val="en-US" w:eastAsia="zh-CN"/>
        </w:rPr>
        <w:t>，这种“ESG信息选择性披露、利用率低、披露质量差的现实问题成为ESG信息满足利益相关者需求的严重阻碍”</w:t>
      </w:r>
      <w:r>
        <w:rPr>
          <w:rFonts w:hint="eastAsia" w:ascii="宋体" w:hAnsi="宋体" w:eastAsia="宋体" w:cs="宋体"/>
          <w:color w:val="auto"/>
          <w:vertAlign w:val="superscript"/>
          <w:lang w:val="en-US" w:eastAsia="zh-CN"/>
        </w:rPr>
        <w:fldChar w:fldCharType="begin"/>
      </w:r>
      <w:r>
        <w:rPr>
          <w:color w:val="auto"/>
        </w:rPr>
        <w:instrText xml:space="preserve"> REF _Ref10085 \r \h  \* MERGEFORMAT</w:instrText>
      </w:r>
      <w:r>
        <w:rPr>
          <w:rFonts w:hint="eastAsia" w:ascii="宋体" w:hAnsi="宋体" w:eastAsia="宋体" w:cs="宋体"/>
          <w:color w:val="auto"/>
          <w:vertAlign w:val="superscript"/>
          <w:lang w:val="en-US" w:eastAsia="zh-CN"/>
        </w:rPr>
        <w:fldChar w:fldCharType="separate"/>
      </w:r>
      <w:r>
        <w:rPr>
          <w:rFonts w:hint="eastAsia" w:ascii="宋体" w:hAnsi="宋体" w:eastAsia="宋体" w:cs="宋体"/>
          <w:color w:val="auto"/>
          <w:vertAlign w:val="superscript"/>
          <w:lang w:val="en-US" w:eastAsia="zh-CN"/>
        </w:rPr>
        <w:t>[18]</w:t>
      </w:r>
      <w:r>
        <w:rPr>
          <w:rFonts w:hint="eastAsia" w:ascii="宋体" w:hAnsi="宋体" w:eastAsia="宋体" w:cs="宋体"/>
          <w:color w:val="auto"/>
          <w:vertAlign w:val="superscript"/>
          <w:lang w:val="en-US" w:eastAsia="zh-CN"/>
        </w:rPr>
        <w:fldChar w:fldCharType="end"/>
      </w:r>
      <w:r>
        <w:rPr>
          <w:rFonts w:hint="eastAsia" w:ascii="宋体" w:hAnsi="宋体" w:eastAsia="宋体" w:cs="宋体"/>
          <w:color w:val="auto"/>
          <w:lang w:val="en-US" w:eastAsia="zh-CN"/>
        </w:rPr>
        <w:t>。</w:t>
      </w:r>
    </w:p>
    <w:p w14:paraId="28405D9C">
      <w:pPr>
        <w:bidi w:val="0"/>
        <w:rPr>
          <w:rFonts w:hint="eastAsia" w:ascii="宋体" w:hAnsi="宋体" w:eastAsia="宋体" w:cs="宋体"/>
          <w:color w:val="auto"/>
          <w:lang w:val="en-US" w:eastAsia="zh-CN"/>
        </w:rPr>
      </w:pPr>
      <w:r>
        <w:rPr>
          <w:rFonts w:hint="eastAsia" w:ascii="宋体" w:hAnsi="宋体" w:eastAsia="宋体" w:cs="宋体"/>
          <w:color w:val="auto"/>
          <w:lang w:val="en-US" w:eastAsia="zh-CN"/>
        </w:rPr>
        <w:t>从天原股份历年ESG报告看，公司对环保投入、绿色技改、污染治理、绿色工厂建设等正面成效披露较为充分，也披露了环境风险防控、隐患排查、整改落实和应急管理等内容。例如，2023年报告披露了对子公司开展环保检查、环境安全隐患排查整治及整改情况</w:t>
      </w:r>
      <w:r>
        <w:rPr>
          <w:rFonts w:hint="eastAsia" w:ascii="宋体" w:hAnsi="宋体" w:eastAsia="宋体" w:cs="宋体"/>
          <w:color w:val="auto"/>
          <w:vertAlign w:val="superscript"/>
          <w:lang w:val="en-US" w:eastAsia="zh-CN"/>
        </w:rPr>
        <w:fldChar w:fldCharType="begin"/>
      </w:r>
      <w:r>
        <w:instrText xml:space="preserve"> REF _Ref9667 \r \h  \* MERGEFORMAT</w:instrText>
      </w:r>
      <w:r>
        <w:rPr>
          <w:rFonts w:hint="eastAsia" w:ascii="宋体" w:hAnsi="宋体" w:eastAsia="宋体" w:cs="宋体"/>
          <w:color w:val="auto"/>
          <w:vertAlign w:val="superscript"/>
          <w:lang w:val="en-US" w:eastAsia="zh-CN"/>
        </w:rPr>
        <w:fldChar w:fldCharType="separate"/>
      </w:r>
      <w:r>
        <w:rPr>
          <w:rFonts w:hint="eastAsia" w:ascii="宋体" w:hAnsi="宋体" w:eastAsia="宋体" w:cs="宋体"/>
          <w:color w:val="auto"/>
          <w:vertAlign w:val="superscript"/>
          <w:lang w:val="en-US" w:eastAsia="zh-CN"/>
        </w:rPr>
        <w:t>[13]</w:t>
      </w:r>
      <w:r>
        <w:rPr>
          <w:rFonts w:hint="eastAsia" w:ascii="宋体" w:hAnsi="宋体" w:eastAsia="宋体" w:cs="宋体"/>
          <w:color w:val="auto"/>
          <w:vertAlign w:val="superscript"/>
          <w:lang w:val="en-US" w:eastAsia="zh-CN"/>
        </w:rPr>
        <w:fldChar w:fldCharType="end"/>
      </w:r>
      <w:r>
        <w:rPr>
          <w:rFonts w:hint="eastAsia" w:ascii="宋体" w:hAnsi="宋体" w:eastAsia="宋体" w:cs="宋体"/>
          <w:color w:val="auto"/>
          <w:lang w:val="en-US" w:eastAsia="zh-CN"/>
        </w:rPr>
        <w:t>。但对于传统化工业务在低碳转型中可能面临的高排放压力、技术改造难度、阶段性经营约束等挑战性事项，现有报告中的具体量化说明相对有限。</w:t>
      </w:r>
    </w:p>
    <w:p w14:paraId="534CDD63">
      <w:pPr>
        <w:bidi w:val="0"/>
        <w:rPr>
          <w:rFonts w:hint="eastAsia" w:ascii="宋体" w:hAnsi="宋体" w:eastAsia="宋体" w:cs="宋体"/>
          <w:color w:val="auto"/>
          <w:lang w:val="en-US" w:eastAsia="zh-CN"/>
        </w:rPr>
      </w:pPr>
      <w:r>
        <w:rPr>
          <w:rFonts w:hint="eastAsia" w:ascii="宋体" w:hAnsi="宋体" w:eastAsia="宋体" w:cs="宋体"/>
          <w:color w:val="auto"/>
          <w:lang w:val="en-US" w:eastAsia="zh-CN"/>
        </w:rPr>
        <w:t>现有披露仍以治理措施和正面成效为主，对转型压力、潜在环境风险及整改事项背后的影响程度披露不够充分。这会限制外部使用者更完整地判断企业低碳转型难度和风险状况。</w:t>
      </w:r>
    </w:p>
    <w:p w14:paraId="22D67C5F">
      <w:pPr>
        <w:pStyle w:val="4"/>
        <w:bidi w:val="0"/>
        <w:rPr>
          <w:rFonts w:hint="eastAsia" w:ascii="宋体" w:hAnsi="宋体" w:eastAsia="宋体" w:cs="宋体"/>
          <w:color w:val="auto"/>
          <w:lang w:val="en-US" w:eastAsia="zh-CN"/>
        </w:rPr>
      </w:pPr>
      <w:bookmarkStart w:id="105" w:name="_Toc3763"/>
      <w:r>
        <w:rPr>
          <w:rFonts w:hint="eastAsia" w:ascii="宋体" w:hAnsi="宋体" w:eastAsia="宋体" w:cs="宋体"/>
          <w:color w:val="auto"/>
          <w:lang w:val="en-US" w:eastAsia="zh-CN"/>
        </w:rPr>
        <w:t>气候风险财务影响测算缺失</w:t>
      </w:r>
      <w:bookmarkEnd w:id="105"/>
    </w:p>
    <w:p w14:paraId="7563DB5B">
      <w:pPr>
        <w:bidi w:val="0"/>
        <w:rPr>
          <w:rFonts w:hint="eastAsia" w:ascii="宋体" w:hAnsi="宋体" w:eastAsia="宋体" w:cs="宋体"/>
          <w:color w:val="auto"/>
          <w:lang w:val="en-US" w:eastAsia="zh-CN"/>
        </w:rPr>
      </w:pPr>
      <w:r>
        <w:rPr>
          <w:rFonts w:hint="eastAsia" w:ascii="宋体" w:hAnsi="宋体" w:eastAsia="宋体" w:cs="宋体"/>
          <w:color w:val="auto"/>
          <w:lang w:val="en-US" w:eastAsia="zh-CN"/>
        </w:rPr>
        <w:t>天原股份已经开始识别气候风险。2024年ESG报告将相关风险区分为实体风险和转型风险，前者包括极端高温、暴雨洪水等可能造成的固定资产贬值、设备损坏、供应链中断以及运营中断，后者则涉及环保标准趋严、监管要求提高以及现有设备和工艺可能面临的减产、停产或技术改造等情形</w:t>
      </w:r>
      <w:r>
        <w:rPr>
          <w:rFonts w:hint="eastAsia" w:ascii="宋体" w:hAnsi="宋体" w:eastAsia="宋体" w:cs="宋体"/>
          <w:color w:val="auto"/>
          <w:vertAlign w:val="superscript"/>
          <w:lang w:val="en-US" w:eastAsia="zh-CN"/>
        </w:rPr>
        <w:fldChar w:fldCharType="begin"/>
      </w:r>
      <w:r>
        <w:instrText xml:space="preserve"> REF _Ref9585 \r \h  \* MERGEFORMAT</w:instrText>
      </w:r>
      <w:r>
        <w:rPr>
          <w:rFonts w:hint="eastAsia" w:ascii="宋体" w:hAnsi="宋体" w:eastAsia="宋体" w:cs="宋体"/>
          <w:color w:val="auto"/>
          <w:vertAlign w:val="superscript"/>
          <w:lang w:val="en-US" w:eastAsia="zh-CN"/>
        </w:rPr>
        <w:fldChar w:fldCharType="separate"/>
      </w:r>
      <w:r>
        <w:rPr>
          <w:rFonts w:hint="eastAsia" w:ascii="宋体" w:hAnsi="宋体" w:eastAsia="宋体" w:cs="宋体"/>
          <w:color w:val="auto"/>
          <w:vertAlign w:val="superscript"/>
          <w:lang w:val="en-US" w:eastAsia="zh-CN"/>
        </w:rPr>
        <w:t>[10]</w:t>
      </w:r>
      <w:r>
        <w:rPr>
          <w:rFonts w:hint="eastAsia" w:ascii="宋体" w:hAnsi="宋体" w:eastAsia="宋体" w:cs="宋体"/>
          <w:color w:val="auto"/>
          <w:vertAlign w:val="superscript"/>
          <w:lang w:val="en-US" w:eastAsia="zh-CN"/>
        </w:rPr>
        <w:fldChar w:fldCharType="end"/>
      </w:r>
      <w:r>
        <w:rPr>
          <w:rFonts w:hint="eastAsia" w:ascii="宋体" w:hAnsi="宋体" w:eastAsia="宋体" w:cs="宋体"/>
          <w:color w:val="auto"/>
          <w:lang w:val="en-US" w:eastAsia="zh-CN"/>
        </w:rPr>
        <w:t>。</w:t>
      </w:r>
    </w:p>
    <w:p w14:paraId="307C336D">
      <w:pPr>
        <w:bidi w:val="0"/>
        <w:rPr>
          <w:rFonts w:hint="eastAsia" w:ascii="宋体" w:hAnsi="宋体" w:eastAsia="宋体" w:cs="宋体"/>
          <w:color w:val="auto"/>
          <w:lang w:val="en-US" w:eastAsia="zh-CN"/>
        </w:rPr>
      </w:pPr>
      <w:r>
        <w:rPr>
          <w:rFonts w:hint="eastAsia" w:ascii="宋体" w:hAnsi="宋体" w:eastAsia="宋体" w:cs="宋体"/>
          <w:color w:val="auto"/>
          <w:lang w:val="en-US" w:eastAsia="zh-CN"/>
        </w:rPr>
        <w:t>但现有披露仍主要是对风险类型、可能影响和应对措施的定性描述。报告虽然已经指出部分风险可能影响固定资产、生产运营和成本水平，却未量化这些风险对营业成本、资本性支出、资产减值、现金流或利润等财务指标的具体影响</w:t>
      </w:r>
      <w:r>
        <w:rPr>
          <w:rFonts w:hint="eastAsia" w:cs="宋体"/>
          <w:color w:val="auto"/>
          <w:lang w:val="en-US" w:eastAsia="zh-CN"/>
        </w:rPr>
        <w:t>，</w:t>
      </w:r>
      <w:r>
        <w:rPr>
          <w:rFonts w:hint="eastAsia" w:ascii="宋体" w:hAnsi="宋体" w:eastAsia="宋体" w:cs="宋体"/>
          <w:color w:val="auto"/>
          <w:lang w:val="en-US" w:eastAsia="zh-CN"/>
        </w:rPr>
        <w:t>正如学者徐张洋等所指出的：“气候风险作为一种潜在的中长期风险因素一直被企业期间财务报告所忽略，上市公司主体应履行自身责任，对财务影响、相关财务支出、财务估计及假设等气候相关财务报表指标予以披露，并提供相应的历史期间数据”</w:t>
      </w:r>
      <w:r>
        <w:rPr>
          <w:rFonts w:hint="eastAsia" w:ascii="宋体" w:hAnsi="宋体" w:eastAsia="宋体" w:cs="宋体"/>
          <w:color w:val="auto"/>
          <w:vertAlign w:val="superscript"/>
          <w:lang w:val="en-US" w:eastAsia="zh-CN"/>
        </w:rPr>
        <w:fldChar w:fldCharType="begin"/>
      </w:r>
      <w:r>
        <w:rPr>
          <w:color w:val="auto"/>
        </w:rPr>
        <w:instrText xml:space="preserve"> REF _Ref10104 \r \h  \* MERGEFORMAT</w:instrText>
      </w:r>
      <w:r>
        <w:rPr>
          <w:rFonts w:hint="eastAsia" w:ascii="宋体" w:hAnsi="宋体" w:eastAsia="宋体" w:cs="宋体"/>
          <w:color w:val="auto"/>
          <w:vertAlign w:val="superscript"/>
          <w:lang w:val="en-US" w:eastAsia="zh-CN"/>
        </w:rPr>
        <w:fldChar w:fldCharType="separate"/>
      </w:r>
      <w:r>
        <w:rPr>
          <w:rFonts w:hint="eastAsia" w:ascii="宋体" w:hAnsi="宋体" w:eastAsia="宋体" w:cs="宋体"/>
          <w:color w:val="auto"/>
          <w:vertAlign w:val="superscript"/>
          <w:lang w:val="en-US" w:eastAsia="zh-CN"/>
        </w:rPr>
        <w:t>[19]</w:t>
      </w:r>
      <w:r>
        <w:rPr>
          <w:rFonts w:hint="eastAsia" w:ascii="宋体" w:hAnsi="宋体" w:eastAsia="宋体" w:cs="宋体"/>
          <w:color w:val="auto"/>
          <w:vertAlign w:val="superscript"/>
          <w:lang w:val="en-US" w:eastAsia="zh-CN"/>
        </w:rPr>
        <w:fldChar w:fldCharType="end"/>
      </w:r>
      <w:r>
        <w:rPr>
          <w:rFonts w:hint="eastAsia" w:ascii="宋体" w:hAnsi="宋体" w:eastAsia="宋体" w:cs="宋体"/>
          <w:color w:val="auto"/>
          <w:lang w:val="en-US" w:eastAsia="zh-CN"/>
        </w:rPr>
        <w:t>。因此，天原股份当前气候风险识别与财务后果之间仍存在明显断层，外部使用者较难据此判断不同气候情景下企业可能承担的实际财务压力。</w:t>
      </w:r>
    </w:p>
    <w:p w14:paraId="55567901">
      <w:pPr>
        <w:pStyle w:val="4"/>
        <w:keepNext w:val="0"/>
        <w:keepLines w:val="0"/>
        <w:pageBreakBefore w:val="0"/>
        <w:widowControl w:val="0"/>
        <w:kinsoku/>
        <w:wordWrap/>
        <w:overflowPunct/>
        <w:topLinePunct w:val="0"/>
        <w:autoSpaceDE/>
        <w:autoSpaceDN/>
        <w:bidi w:val="0"/>
        <w:adjustRightInd/>
        <w:snapToGrid w:val="0"/>
        <w:textAlignment w:val="auto"/>
        <w:rPr>
          <w:rFonts w:hint="eastAsia"/>
          <w:lang w:val="en-US" w:eastAsia="zh-CN"/>
        </w:rPr>
      </w:pPr>
      <w:bookmarkStart w:id="106" w:name="_Toc22757"/>
      <w:r>
        <w:rPr>
          <w:rFonts w:hint="eastAsia"/>
          <w:lang w:val="en-US" w:eastAsia="zh-CN"/>
        </w:rPr>
        <w:t>环境数据与财务指标勾稽不足</w:t>
      </w:r>
      <w:bookmarkEnd w:id="106"/>
    </w:p>
    <w:p w14:paraId="6FE5EB75">
      <w:pPr>
        <w:rPr>
          <w:rFonts w:hint="eastAsia"/>
          <w:lang w:val="en-US" w:eastAsia="zh-CN"/>
        </w:rPr>
      </w:pPr>
      <w:r>
        <w:rPr>
          <w:rFonts w:hint="eastAsia"/>
          <w:lang w:val="en-US" w:eastAsia="zh-CN"/>
        </w:rPr>
        <w:t>如第三章表2、表3所示，天原股份已经形成一定的环境指标与财务指标披露基础。但现有披露中，这些环境数据与财务报表项目的对应关系仍不够清晰。以环保投入为例，报告披露了年度总额，但未进一步说明其中不同类型投入分别如何影响营业成本、期间费用、固定资产或其他相关科目；能源消耗和温室气体排放数据也未进一步与成本变化、资产减值、资本性支出或经营现金流等财务指标建立系统对应关系。2024年年报虽然单独披露了营业收入、营业成本、固定资产折旧及现金流等财务信息，但现有公开披露尚未形成这些财务数据与环境指标之间的明确勾稽说明。</w:t>
      </w:r>
    </w:p>
    <w:p w14:paraId="3632A52E">
      <w:pPr>
        <w:pStyle w:val="2"/>
        <w:bidi w:val="0"/>
        <w:rPr>
          <w:rFonts w:hint="eastAsia" w:ascii="宋体" w:hAnsi="宋体" w:eastAsia="宋体" w:cs="宋体"/>
          <w:color w:val="auto"/>
          <w:lang w:val="en-US" w:eastAsia="zh-CN"/>
        </w:rPr>
      </w:pPr>
      <w:bookmarkStart w:id="107" w:name="_Toc28351"/>
      <w:bookmarkStart w:id="108" w:name="_Toc30656"/>
      <w:bookmarkStart w:id="109" w:name="_Toc22272"/>
      <w:r>
        <w:rPr>
          <w:rFonts w:hint="eastAsia" w:ascii="宋体" w:hAnsi="宋体" w:eastAsia="宋体" w:cs="宋体"/>
          <w:color w:val="auto"/>
          <w:lang w:val="en-US" w:eastAsia="zh-CN"/>
        </w:rPr>
        <w:t>提升天原股份ESG信息披露质量的对策</w:t>
      </w:r>
      <w:bookmarkEnd w:id="107"/>
      <w:bookmarkEnd w:id="108"/>
      <w:bookmarkEnd w:id="109"/>
    </w:p>
    <w:p w14:paraId="19362B25">
      <w:pPr>
        <w:pStyle w:val="3"/>
        <w:bidi w:val="0"/>
        <w:rPr>
          <w:rFonts w:hint="eastAsia" w:ascii="宋体" w:hAnsi="宋体" w:eastAsia="宋体" w:cs="宋体"/>
          <w:color w:val="auto"/>
          <w:lang w:val="en-US" w:eastAsia="zh-CN"/>
        </w:rPr>
      </w:pPr>
      <w:bookmarkStart w:id="110" w:name="_Toc17294"/>
      <w:bookmarkStart w:id="111" w:name="_Toc15674"/>
      <w:bookmarkStart w:id="112" w:name="_Toc7630"/>
      <w:r>
        <w:rPr>
          <w:rFonts w:hint="eastAsia" w:ascii="宋体" w:hAnsi="宋体" w:eastAsia="宋体" w:cs="宋体"/>
          <w:color w:val="auto"/>
          <w:lang w:val="en-US" w:eastAsia="zh-CN"/>
        </w:rPr>
        <w:t>完善碳排放数据采集与会计核算体系</w:t>
      </w:r>
      <w:bookmarkEnd w:id="110"/>
      <w:bookmarkEnd w:id="111"/>
      <w:bookmarkEnd w:id="112"/>
    </w:p>
    <w:p w14:paraId="54FE5689">
      <w:pPr>
        <w:pStyle w:val="4"/>
        <w:bidi w:val="0"/>
        <w:rPr>
          <w:rFonts w:hint="eastAsia" w:ascii="宋体" w:hAnsi="宋体" w:eastAsia="宋体" w:cs="宋体"/>
          <w:color w:val="auto"/>
          <w:lang w:val="en-US" w:eastAsia="zh-CN"/>
        </w:rPr>
      </w:pPr>
      <w:bookmarkStart w:id="113" w:name="_Toc17654"/>
      <w:r>
        <w:rPr>
          <w:rFonts w:hint="eastAsia" w:ascii="宋体" w:hAnsi="宋体" w:eastAsia="宋体" w:cs="宋体"/>
          <w:color w:val="auto"/>
          <w:lang w:val="en-US" w:eastAsia="zh-CN"/>
        </w:rPr>
        <w:t>建立会计导向的企业碳账户体系</w:t>
      </w:r>
      <w:bookmarkEnd w:id="113"/>
    </w:p>
    <w:p w14:paraId="7A497C89">
      <w:pPr>
        <w:bidi w:val="0"/>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天原股份已经建立碳排放管理制度、监测台账和月度跟踪机制，并开展子公司碳盘查及碳排放履约管理</w:t>
      </w:r>
      <w:r>
        <w:rPr>
          <w:rFonts w:hint="eastAsia" w:ascii="宋体" w:hAnsi="宋体" w:eastAsia="宋体" w:cs="宋体"/>
          <w:color w:val="auto"/>
          <w:highlight w:val="none"/>
          <w:vertAlign w:val="superscript"/>
          <w:lang w:val="en-US" w:eastAsia="zh-CN"/>
        </w:rPr>
        <w:fldChar w:fldCharType="begin"/>
      </w:r>
      <w:r>
        <w:instrText xml:space="preserve"> REF _Ref9667 \r \h  \* MERGEFORMAT</w:instrText>
      </w:r>
      <w:r>
        <w:rPr>
          <w:rFonts w:hint="eastAsia" w:ascii="宋体" w:hAnsi="宋体" w:eastAsia="宋体" w:cs="宋体"/>
          <w:color w:val="auto"/>
          <w:highlight w:val="none"/>
          <w:vertAlign w:val="superscript"/>
          <w:lang w:val="en-US" w:eastAsia="zh-CN"/>
        </w:rPr>
        <w:fldChar w:fldCharType="separate"/>
      </w:r>
      <w:r>
        <w:rPr>
          <w:rFonts w:hint="eastAsia" w:ascii="宋体" w:hAnsi="宋体" w:eastAsia="宋体" w:cs="宋体"/>
          <w:color w:val="auto"/>
          <w:highlight w:val="none"/>
          <w:vertAlign w:val="superscript"/>
          <w:lang w:val="en-US" w:eastAsia="zh-CN"/>
        </w:rPr>
        <w:t>[13]</w:t>
      </w:r>
      <w:r>
        <w:rPr>
          <w:rFonts w:hint="eastAsia" w:ascii="宋体" w:hAnsi="宋体" w:eastAsia="宋体" w:cs="宋体"/>
          <w:color w:val="auto"/>
          <w:highlight w:val="none"/>
          <w:vertAlign w:val="superscript"/>
          <w:lang w:val="en-US" w:eastAsia="zh-CN"/>
        </w:rPr>
        <w:fldChar w:fldCharType="end"/>
      </w:r>
      <w:r>
        <w:rPr>
          <w:rFonts w:hint="eastAsia" w:ascii="宋体" w:hAnsi="宋体" w:eastAsia="宋体" w:cs="宋体"/>
          <w:color w:val="auto"/>
          <w:highlight w:val="none"/>
          <w:vertAlign w:val="superscript"/>
          <w:lang w:val="en-US" w:eastAsia="zh-CN"/>
        </w:rPr>
        <w:fldChar w:fldCharType="begin"/>
      </w:r>
      <w:r>
        <w:instrText xml:space="preserve"> REF _Ref9585 \r \h  \* MERGEFORMAT</w:instrText>
      </w:r>
      <w:r>
        <w:rPr>
          <w:rFonts w:hint="eastAsia" w:ascii="宋体" w:hAnsi="宋体" w:eastAsia="宋体" w:cs="宋体"/>
          <w:color w:val="auto"/>
          <w:highlight w:val="none"/>
          <w:vertAlign w:val="superscript"/>
          <w:lang w:val="en-US" w:eastAsia="zh-CN"/>
        </w:rPr>
        <w:fldChar w:fldCharType="separate"/>
      </w:r>
      <w:r>
        <w:rPr>
          <w:rFonts w:hint="eastAsia" w:ascii="宋体" w:hAnsi="宋体" w:eastAsia="宋体" w:cs="宋体"/>
          <w:color w:val="auto"/>
          <w:highlight w:val="none"/>
          <w:vertAlign w:val="superscript"/>
          <w:lang w:val="en-US" w:eastAsia="zh-CN"/>
        </w:rPr>
        <w:t>[10]</w:t>
      </w:r>
      <w:r>
        <w:rPr>
          <w:rFonts w:hint="eastAsia" w:ascii="宋体" w:hAnsi="宋体" w:eastAsia="宋体" w:cs="宋体"/>
          <w:color w:val="auto"/>
          <w:highlight w:val="none"/>
          <w:vertAlign w:val="superscript"/>
          <w:lang w:val="en-US" w:eastAsia="zh-CN"/>
        </w:rPr>
        <w:fldChar w:fldCharType="end"/>
      </w:r>
      <w:r>
        <w:rPr>
          <w:rFonts w:hint="eastAsia" w:ascii="宋体" w:hAnsi="宋体" w:eastAsia="宋体" w:cs="宋体"/>
          <w:color w:val="auto"/>
          <w:highlight w:val="none"/>
          <w:lang w:val="en-US" w:eastAsia="zh-CN"/>
        </w:rPr>
        <w:t>。</w:t>
      </w:r>
      <w:r>
        <w:rPr>
          <w:rFonts w:hint="eastAsia" w:cs="宋体"/>
          <w:color w:val="auto"/>
          <w:highlight w:val="none"/>
          <w:lang w:val="en-US" w:eastAsia="zh-CN"/>
        </w:rPr>
        <w:t>这些措施为排放数据的归集、监测和管理提供了基础。但第四章分析表明，现有环境数据与会计信息之间仍未形成稳定、清晰的衔接关系。企业碳账户应在此基础上作为会计导向的辅助核算体系，进一步连接环境数据与会计信息。公司可以先统一集团及分子公司的核算边界、排放因子和报告期间，对范围一、范围二以及逐步取得的范围三数据分别设置明细台账，并记录数据来源、责任部门和复核过程。</w:t>
      </w:r>
    </w:p>
    <w:p w14:paraId="3336F78F">
      <w:pPr>
        <w:bidi w:val="0"/>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涉及碳配额取得、交易与履约、环保投入等具有经济后果的事项，应</w:t>
      </w:r>
      <w:r>
        <w:rPr>
          <w:rFonts w:hint="eastAsia" w:cs="宋体"/>
          <w:color w:val="auto"/>
          <w:highlight w:val="none"/>
          <w:lang w:val="en-US" w:eastAsia="zh-CN"/>
        </w:rPr>
        <w:t>该</w:t>
      </w:r>
      <w:r>
        <w:rPr>
          <w:rFonts w:hint="eastAsia" w:ascii="宋体" w:hAnsi="宋体" w:eastAsia="宋体" w:cs="宋体"/>
          <w:color w:val="auto"/>
          <w:highlight w:val="none"/>
          <w:lang w:val="en-US" w:eastAsia="zh-CN"/>
        </w:rPr>
        <w:t>由财务部门结合交易实质和现行会计政策判断其是否符合资产、负债或费用等确认条件，再确定相应计量和记录方式，不能将碳排放量直接等同于碳资产或碳负债。对于暂不符合财务确认条件的数据，可继续在辅助账簿中归集。环境、生产等部门负责原始数据报送，财务部门复核口径并进行勾稽，重要数据再纳入内部控制检查。最终应使碳排放台账、环保投入、碳交易及相关财务科目之间形成可追溯关系，为ESG报告和财务信息的衔接提供基础。</w:t>
      </w:r>
    </w:p>
    <w:p w14:paraId="2DC99A4D">
      <w:pPr>
        <w:pStyle w:val="4"/>
        <w:bidi w:val="0"/>
        <w:rPr>
          <w:rFonts w:hint="eastAsia" w:ascii="宋体" w:hAnsi="宋体" w:eastAsia="宋体" w:cs="宋体"/>
          <w:color w:val="auto"/>
          <w:lang w:val="en-US" w:eastAsia="zh-CN"/>
        </w:rPr>
      </w:pPr>
      <w:bookmarkStart w:id="114" w:name="_Toc14451"/>
      <w:r>
        <w:rPr>
          <w:rFonts w:hint="eastAsia" w:ascii="宋体" w:hAnsi="宋体" w:eastAsia="宋体" w:cs="宋体"/>
          <w:color w:val="auto"/>
          <w:lang w:val="en-US" w:eastAsia="zh-CN"/>
        </w:rPr>
        <w:t>完善量化减排目标与核算机制</w:t>
      </w:r>
      <w:bookmarkEnd w:id="114"/>
    </w:p>
    <w:p w14:paraId="0B86ABBD">
      <w:pPr>
        <w:bidi w:val="0"/>
        <w:rPr>
          <w:rFonts w:hint="eastAsia" w:ascii="宋体" w:hAnsi="宋体" w:eastAsia="宋体" w:cs="宋体"/>
          <w:color w:val="auto"/>
          <w:lang w:val="en-US" w:eastAsia="zh-CN"/>
        </w:rPr>
      </w:pPr>
      <w:r>
        <w:rPr>
          <w:rFonts w:hint="eastAsia" w:ascii="宋体" w:hAnsi="宋体" w:eastAsia="宋体" w:cs="宋体"/>
          <w:color w:val="auto"/>
          <w:lang w:val="en-US" w:eastAsia="zh-CN"/>
        </w:rPr>
        <w:t>如第四章所述，天原股份已经具备一定的阶段性减排目标和考核基础，但现有目标在中长期连续性、绝对排放约束和覆盖层级方面仍有完善空间。可在现有目标体系基础上，将减排目标进一步延伸至2025年以后，形成连续的中长期减排路径。</w:t>
      </w:r>
    </w:p>
    <w:p w14:paraId="6B6458A5">
      <w:pPr>
        <w:bidi w:val="0"/>
        <w:rPr>
          <w:rFonts w:hint="eastAsia" w:ascii="宋体" w:hAnsi="宋体" w:eastAsia="宋体" w:cs="宋体"/>
          <w:color w:val="auto"/>
          <w:lang w:val="en-US" w:eastAsia="zh-CN"/>
        </w:rPr>
      </w:pPr>
      <w:r>
        <w:rPr>
          <w:rFonts w:hint="eastAsia" w:cs="宋体"/>
          <w:color w:val="auto"/>
          <w:lang w:val="en-US" w:eastAsia="zh-CN"/>
        </w:rPr>
        <w:t>可在现有排放强度指标基础上补充集团层面的温室气体绝对排放量目标，并细化至主要分子公司和重点业务板块，使集团目标与基层执行目标能够对应。针对年度核算，应尽量保持温室气体统计主体、组织边界和核算方法的连续性；确因业务调整发生口径变化时，应单独说明调整原因及其对同比结果的影响。同时可建立年度目标完成情况跟踪机制，对照披露实际排放量、排放强度与阶段性目标。宁德时代将减排目标延伸至长期运营及价值链层面的做法可为天原股份完善中长期、分层次目标体系提供参考</w:t>
      </w:r>
      <w:r>
        <w:rPr>
          <w:rFonts w:hint="eastAsia" w:ascii="宋体" w:hAnsi="宋体" w:eastAsia="宋体" w:cs="宋体"/>
          <w:color w:val="auto"/>
          <w:vertAlign w:val="superscript"/>
          <w:lang w:val="en-US" w:eastAsia="zh-CN"/>
        </w:rPr>
        <w:fldChar w:fldCharType="begin"/>
      </w:r>
      <w:r>
        <w:instrText xml:space="preserve"> REF _Ref9925 \r \h  \* MERGEFORMAT</w:instrText>
      </w:r>
      <w:r>
        <w:rPr>
          <w:rFonts w:hint="eastAsia" w:ascii="宋体" w:hAnsi="宋体" w:eastAsia="宋体" w:cs="宋体"/>
          <w:color w:val="auto"/>
          <w:vertAlign w:val="superscript"/>
          <w:lang w:val="en-US" w:eastAsia="zh-CN"/>
        </w:rPr>
        <w:fldChar w:fldCharType="separate"/>
      </w:r>
      <w:r>
        <w:rPr>
          <w:rFonts w:hint="eastAsia" w:ascii="宋体" w:hAnsi="宋体" w:eastAsia="宋体" w:cs="宋体"/>
          <w:color w:val="auto"/>
          <w:vertAlign w:val="superscript"/>
          <w:lang w:val="en-US" w:eastAsia="zh-CN"/>
        </w:rPr>
        <w:t>[16]</w:t>
      </w:r>
      <w:r>
        <w:rPr>
          <w:rFonts w:hint="eastAsia" w:ascii="宋体" w:hAnsi="宋体" w:eastAsia="宋体" w:cs="宋体"/>
          <w:color w:val="auto"/>
          <w:vertAlign w:val="superscript"/>
          <w:lang w:val="en-US" w:eastAsia="zh-CN"/>
        </w:rPr>
        <w:fldChar w:fldCharType="end"/>
      </w:r>
      <w:r>
        <w:rPr>
          <w:rFonts w:hint="eastAsia" w:ascii="宋体" w:hAnsi="宋体" w:eastAsia="宋体" w:cs="宋体"/>
          <w:color w:val="auto"/>
          <w:lang w:val="en-US" w:eastAsia="zh-CN"/>
        </w:rPr>
        <w:t>，但不宜直接照搬其具体时间安排。</w:t>
      </w:r>
    </w:p>
    <w:p w14:paraId="5D87100D">
      <w:pPr>
        <w:pStyle w:val="3"/>
        <w:bidi w:val="0"/>
        <w:rPr>
          <w:rFonts w:hint="eastAsia" w:ascii="宋体" w:hAnsi="宋体" w:eastAsia="宋体" w:cs="宋体"/>
          <w:color w:val="auto"/>
          <w:lang w:val="en-US" w:eastAsia="zh-CN"/>
        </w:rPr>
      </w:pPr>
      <w:bookmarkStart w:id="115" w:name="_Toc17486"/>
      <w:bookmarkStart w:id="116" w:name="_Toc20617"/>
      <w:bookmarkStart w:id="117" w:name="_Toc23298"/>
      <w:r>
        <w:rPr>
          <w:rFonts w:hint="eastAsia" w:ascii="宋体" w:hAnsi="宋体" w:eastAsia="宋体" w:cs="宋体"/>
          <w:color w:val="auto"/>
          <w:lang w:val="en-US" w:eastAsia="zh-CN"/>
        </w:rPr>
        <w:t>健全第三方鉴证与披露质量控制机制</w:t>
      </w:r>
      <w:bookmarkEnd w:id="115"/>
      <w:bookmarkEnd w:id="116"/>
      <w:bookmarkEnd w:id="117"/>
    </w:p>
    <w:p w14:paraId="6D491A6C">
      <w:pPr>
        <w:pStyle w:val="4"/>
        <w:bidi w:val="0"/>
        <w:rPr>
          <w:rFonts w:hint="eastAsia" w:ascii="宋体" w:hAnsi="宋体" w:eastAsia="宋体" w:cs="宋体"/>
          <w:color w:val="auto"/>
          <w:lang w:val="en-US" w:eastAsia="zh-CN"/>
        </w:rPr>
      </w:pPr>
      <w:bookmarkStart w:id="118" w:name="_Toc17784"/>
      <w:r>
        <w:rPr>
          <w:rFonts w:hint="eastAsia" w:ascii="宋体" w:hAnsi="宋体" w:eastAsia="宋体" w:cs="宋体"/>
          <w:color w:val="auto"/>
          <w:lang w:val="en-US" w:eastAsia="zh-CN"/>
        </w:rPr>
        <w:t>引入独立第三方鉴证</w:t>
      </w:r>
      <w:bookmarkEnd w:id="118"/>
    </w:p>
    <w:p w14:paraId="2BBE04A6">
      <w:pPr>
        <w:bidi w:val="0"/>
        <w:rPr>
          <w:rFonts w:hint="eastAsia" w:ascii="宋体" w:hAnsi="宋体" w:eastAsia="宋体" w:cs="宋体"/>
          <w:color w:val="auto"/>
          <w:lang w:val="en-US" w:eastAsia="zh-CN"/>
        </w:rPr>
      </w:pPr>
      <w:r>
        <w:rPr>
          <w:rFonts w:hint="eastAsia" w:ascii="宋体" w:hAnsi="宋体" w:eastAsia="宋体" w:cs="宋体"/>
          <w:color w:val="auto"/>
          <w:lang w:val="en-US" w:eastAsia="zh-CN"/>
        </w:rPr>
        <w:t>针对第四章所述外部鉴证机制缺口，天原股份可优先从计量基础较强、对外部使用者判断较重要的指标入手，如温室气体排放、能源消耗和环保投入等，建立第三方鉴证机制，并在后续年度根据数据基础和披露成熟度逐步扩大鉴证范围。</w:t>
      </w:r>
    </w:p>
    <w:p w14:paraId="2B907811">
      <w:pPr>
        <w:bidi w:val="0"/>
        <w:rPr>
          <w:rFonts w:hint="eastAsia" w:ascii="宋体" w:hAnsi="宋体" w:eastAsia="宋体" w:cs="宋体"/>
          <w:color w:val="auto"/>
          <w:lang w:val="en-US" w:eastAsia="zh-CN"/>
        </w:rPr>
      </w:pPr>
      <w:r>
        <w:rPr>
          <w:rFonts w:hint="eastAsia" w:ascii="宋体" w:hAnsi="宋体" w:eastAsia="宋体" w:cs="宋体"/>
          <w:color w:val="auto"/>
          <w:lang w:val="en-US" w:eastAsia="zh-CN"/>
        </w:rPr>
        <w:t>这里的鉴证不应简单等同于财务报表审计。ESG鉴证在鉴证对象、指标范围、保证水平和鉴证机构类型等方面存在差异。引入独立第三方鉴证的意义在于增加外部验证信息，帮助使用者判断关键ESG数据的计量和披露是否具有较好的可追溯性与一致性，而不应将其表述为鉴证必然带来披露质量提升</w:t>
      </w:r>
      <w:r>
        <w:rPr>
          <w:rFonts w:hint="eastAsia" w:ascii="宋体" w:hAnsi="宋体" w:eastAsia="宋体" w:cs="宋体"/>
          <w:color w:val="auto"/>
          <w:vertAlign w:val="superscript"/>
          <w:lang w:val="en-US" w:eastAsia="zh-CN"/>
        </w:rPr>
        <w:fldChar w:fldCharType="begin"/>
      </w:r>
      <w:r>
        <w:instrText xml:space="preserve"> REF _Ref28500 \r \h  \* MERGEFORMAT</w:instrText>
      </w:r>
      <w:r>
        <w:rPr>
          <w:rFonts w:hint="eastAsia" w:ascii="宋体" w:hAnsi="宋体" w:eastAsia="宋体" w:cs="宋体"/>
          <w:color w:val="auto"/>
          <w:vertAlign w:val="superscript"/>
          <w:lang w:val="en-US" w:eastAsia="zh-CN"/>
        </w:rPr>
        <w:fldChar w:fldCharType="separate"/>
      </w:r>
      <w:r>
        <w:rPr>
          <w:rFonts w:hint="eastAsia" w:ascii="宋体" w:hAnsi="宋体" w:eastAsia="宋体" w:cs="宋体"/>
          <w:color w:val="auto"/>
          <w:vertAlign w:val="superscript"/>
          <w:lang w:val="en-US" w:eastAsia="zh-CN"/>
        </w:rPr>
        <w:t>[20]</w:t>
      </w:r>
      <w:r>
        <w:rPr>
          <w:rFonts w:hint="eastAsia" w:ascii="宋体" w:hAnsi="宋体" w:eastAsia="宋体" w:cs="宋体"/>
          <w:color w:val="auto"/>
          <w:vertAlign w:val="superscript"/>
          <w:lang w:val="en-US" w:eastAsia="zh-CN"/>
        </w:rPr>
        <w:fldChar w:fldCharType="end"/>
      </w:r>
      <w:r>
        <w:rPr>
          <w:rFonts w:hint="eastAsia" w:ascii="宋体" w:hAnsi="宋体" w:eastAsia="宋体" w:cs="宋体"/>
          <w:color w:val="auto"/>
          <w:lang w:val="en-US" w:eastAsia="zh-CN"/>
        </w:rPr>
        <w:t>。</w:t>
      </w:r>
    </w:p>
    <w:p w14:paraId="65DC1BEC">
      <w:pPr>
        <w:pStyle w:val="4"/>
        <w:bidi w:val="0"/>
        <w:rPr>
          <w:rFonts w:hint="eastAsia" w:ascii="宋体" w:hAnsi="宋体" w:eastAsia="宋体" w:cs="宋体"/>
          <w:color w:val="auto"/>
          <w:lang w:val="en-US" w:eastAsia="zh-CN"/>
        </w:rPr>
      </w:pPr>
      <w:bookmarkStart w:id="119" w:name="_Toc3262"/>
      <w:r>
        <w:rPr>
          <w:rFonts w:hint="eastAsia" w:ascii="宋体" w:hAnsi="宋体" w:eastAsia="宋体" w:cs="宋体"/>
          <w:color w:val="auto"/>
          <w:lang w:val="en-US" w:eastAsia="zh-CN"/>
        </w:rPr>
        <w:t>规范鉴证程序、范围及保证水平</w:t>
      </w:r>
      <w:bookmarkEnd w:id="119"/>
    </w:p>
    <w:p w14:paraId="20D80F9D">
      <w:pPr>
        <w:bidi w:val="0"/>
        <w:rPr>
          <w:rFonts w:hint="eastAsia" w:ascii="宋体" w:hAnsi="宋体" w:eastAsia="宋体" w:cs="宋体"/>
          <w:color w:val="auto"/>
          <w:lang w:val="en-US" w:eastAsia="zh-CN"/>
        </w:rPr>
      </w:pPr>
      <w:r>
        <w:rPr>
          <w:rFonts w:hint="eastAsia" w:ascii="宋体" w:hAnsi="宋体" w:eastAsia="宋体" w:cs="宋体"/>
          <w:color w:val="auto"/>
          <w:lang w:val="en-US" w:eastAsia="zh-CN"/>
        </w:rPr>
        <w:t>天原股份引入第三方鉴证时，还需同步明确鉴证程序、覆盖范围和保证水平，避免仅披露“已接受第三方验证”而缺少具体说明。鉴证对象可优先选择温室气体排放、能源消耗、环保投入等重要指标，并在鉴证报告中说明组织边界、报告期间以及Scope</w:t>
      </w:r>
      <w:r>
        <w:rPr>
          <w:rFonts w:hint="eastAsia" w:cs="宋体"/>
          <w:color w:val="auto"/>
          <w:lang w:val="en-US" w:eastAsia="zh-CN"/>
        </w:rPr>
        <w:t xml:space="preserve"> </w:t>
      </w:r>
      <w:r>
        <w:rPr>
          <w:rFonts w:hint="eastAsia" w:ascii="宋体" w:hAnsi="宋体" w:eastAsia="宋体" w:cs="宋体"/>
          <w:color w:val="auto"/>
          <w:lang w:val="en-US" w:eastAsia="zh-CN"/>
        </w:rPr>
        <w:t>1、Scope</w:t>
      </w:r>
      <w:r>
        <w:rPr>
          <w:rFonts w:hint="eastAsia" w:cs="宋体"/>
          <w:color w:val="auto"/>
          <w:lang w:val="en-US" w:eastAsia="zh-CN"/>
        </w:rPr>
        <w:t xml:space="preserve"> </w:t>
      </w:r>
      <w:r>
        <w:rPr>
          <w:rFonts w:hint="eastAsia" w:ascii="宋体" w:hAnsi="宋体" w:eastAsia="宋体" w:cs="宋体"/>
          <w:color w:val="auto"/>
          <w:lang w:val="en-US" w:eastAsia="zh-CN"/>
        </w:rPr>
        <w:t>2和Scope</w:t>
      </w:r>
      <w:r>
        <w:rPr>
          <w:rFonts w:hint="eastAsia" w:cs="宋体"/>
          <w:color w:val="auto"/>
          <w:lang w:val="en-US" w:eastAsia="zh-CN"/>
        </w:rPr>
        <w:t xml:space="preserve"> </w:t>
      </w:r>
      <w:r>
        <w:rPr>
          <w:rFonts w:hint="eastAsia" w:ascii="宋体" w:hAnsi="宋体" w:eastAsia="宋体" w:cs="宋体"/>
          <w:color w:val="auto"/>
          <w:lang w:val="en-US" w:eastAsia="zh-CN"/>
        </w:rPr>
        <w:t>3分别覆盖到何种程度。</w:t>
      </w:r>
    </w:p>
    <w:p w14:paraId="6034D77C">
      <w:pPr>
        <w:bidi w:val="0"/>
        <w:rPr>
          <w:rFonts w:hint="eastAsia" w:ascii="宋体" w:hAnsi="宋体" w:eastAsia="宋体" w:cs="宋体"/>
          <w:color w:val="auto"/>
          <w:lang w:val="en-US" w:eastAsia="zh-CN"/>
        </w:rPr>
      </w:pPr>
      <w:r>
        <w:rPr>
          <w:rFonts w:hint="eastAsia" w:ascii="宋体" w:hAnsi="宋体" w:eastAsia="宋体" w:cs="宋体"/>
          <w:color w:val="auto"/>
          <w:lang w:val="en-US" w:eastAsia="zh-CN"/>
        </w:rPr>
        <w:t>具体程序中，可以要求鉴证机构将披露数据追溯至原始台账、计量记录和财务凭证，对关键指标实施抽样检查、重新计算及跨部门核对，并重点关注统计主体、核算方法或排放因子发生变化时是否作了充分说明。对于环保投入等同时涉及非财务与财务数据的指标，还应核对其与相关财务记录之间的勾稽关系。鉴证结论中则应明确采用的标准、鉴证类型及保证水平。万华化学公开披露的第三方鉴证安排可作为天原股份完善鉴证披露结构的参考</w:t>
      </w:r>
      <w:r>
        <w:rPr>
          <w:rFonts w:hint="eastAsia" w:ascii="宋体" w:hAnsi="宋体" w:eastAsia="宋体" w:cs="宋体"/>
          <w:color w:val="auto"/>
          <w:vertAlign w:val="superscript"/>
          <w:lang w:val="en-US" w:eastAsia="zh-CN"/>
        </w:rPr>
        <w:fldChar w:fldCharType="begin"/>
      </w:r>
      <w:r>
        <w:instrText xml:space="preserve"> REF _Ref10020 \r \h  \* MERGEFORMAT</w:instrText>
      </w:r>
      <w:r>
        <w:rPr>
          <w:rFonts w:hint="eastAsia" w:ascii="宋体" w:hAnsi="宋体" w:eastAsia="宋体" w:cs="宋体"/>
          <w:color w:val="auto"/>
          <w:vertAlign w:val="superscript"/>
          <w:lang w:val="en-US" w:eastAsia="zh-CN"/>
        </w:rPr>
        <w:fldChar w:fldCharType="separate"/>
      </w:r>
      <w:r>
        <w:rPr>
          <w:rFonts w:hint="eastAsia" w:ascii="宋体" w:hAnsi="宋体" w:eastAsia="宋体" w:cs="宋体"/>
          <w:color w:val="auto"/>
          <w:vertAlign w:val="superscript"/>
          <w:lang w:val="en-US" w:eastAsia="zh-CN"/>
        </w:rPr>
        <w:t>[17]</w:t>
      </w:r>
      <w:r>
        <w:rPr>
          <w:rFonts w:hint="eastAsia" w:ascii="宋体" w:hAnsi="宋体" w:eastAsia="宋体" w:cs="宋体"/>
          <w:color w:val="auto"/>
          <w:vertAlign w:val="superscript"/>
          <w:lang w:val="en-US" w:eastAsia="zh-CN"/>
        </w:rPr>
        <w:fldChar w:fldCharType="end"/>
      </w:r>
      <w:r>
        <w:rPr>
          <w:rFonts w:hint="eastAsia" w:ascii="宋体" w:hAnsi="宋体" w:eastAsia="宋体" w:cs="宋体"/>
          <w:color w:val="auto"/>
          <w:lang w:val="en-US" w:eastAsia="zh-CN"/>
        </w:rPr>
        <w:t>，</w:t>
      </w:r>
      <w:r>
        <w:rPr>
          <w:rFonts w:hint="eastAsia" w:cs="宋体"/>
          <w:color w:val="auto"/>
          <w:lang w:val="en-US" w:eastAsia="zh-CN"/>
        </w:rPr>
        <w:t>但不意味着公司需要照搬其具体安排。只有具体说明鉴证对象、程序和保证程度，外部使用者才能清楚了解哪些信息经过验证以及验证达到何种程度。</w:t>
      </w:r>
    </w:p>
    <w:p w14:paraId="43C73BB8">
      <w:pPr>
        <w:pStyle w:val="3"/>
        <w:bidi w:val="0"/>
        <w:rPr>
          <w:rFonts w:hint="eastAsia" w:ascii="宋体" w:hAnsi="宋体" w:eastAsia="宋体" w:cs="宋体"/>
          <w:color w:val="auto"/>
          <w:lang w:val="en-US" w:eastAsia="zh-CN"/>
        </w:rPr>
      </w:pPr>
      <w:bookmarkStart w:id="120" w:name="_Toc27601"/>
      <w:bookmarkStart w:id="121" w:name="_Toc5535"/>
      <w:bookmarkStart w:id="122" w:name="_Toc3406"/>
      <w:r>
        <w:rPr>
          <w:rFonts w:hint="eastAsia" w:ascii="宋体" w:hAnsi="宋体" w:eastAsia="宋体" w:cs="宋体"/>
          <w:color w:val="auto"/>
          <w:lang w:val="en-US" w:eastAsia="zh-CN"/>
        </w:rPr>
        <w:t>强化董事会ESG管治与内控协同</w:t>
      </w:r>
      <w:bookmarkEnd w:id="120"/>
      <w:bookmarkEnd w:id="121"/>
      <w:bookmarkEnd w:id="122"/>
    </w:p>
    <w:p w14:paraId="23A7A90B">
      <w:pPr>
        <w:pStyle w:val="4"/>
        <w:bidi w:val="0"/>
        <w:rPr>
          <w:rFonts w:hint="eastAsia" w:ascii="宋体" w:hAnsi="宋体" w:eastAsia="宋体" w:cs="宋体"/>
          <w:color w:val="auto"/>
          <w:lang w:val="en-US" w:eastAsia="zh-CN"/>
        </w:rPr>
      </w:pPr>
      <w:bookmarkStart w:id="123" w:name="_Toc12374"/>
      <w:r>
        <w:rPr>
          <w:rFonts w:hint="eastAsia" w:ascii="宋体" w:hAnsi="宋体" w:eastAsia="宋体" w:cs="宋体"/>
          <w:color w:val="auto"/>
          <w:lang w:val="en-US" w:eastAsia="zh-CN"/>
        </w:rPr>
        <w:t>优化现有ESG管治架构</w:t>
      </w:r>
      <w:bookmarkEnd w:id="123"/>
    </w:p>
    <w:p w14:paraId="782AB48B">
      <w:pPr>
        <w:bidi w:val="0"/>
        <w:rPr>
          <w:rFonts w:hint="eastAsia" w:ascii="宋体" w:hAnsi="宋体" w:eastAsia="宋体" w:cs="宋体"/>
          <w:color w:val="auto"/>
          <w:lang w:val="en-US" w:eastAsia="zh-CN"/>
        </w:rPr>
      </w:pPr>
      <w:r>
        <w:rPr>
          <w:rFonts w:hint="eastAsia" w:ascii="宋体" w:hAnsi="宋体" w:eastAsia="宋体" w:cs="宋体"/>
          <w:color w:val="auto"/>
          <w:lang w:val="en-US" w:eastAsia="zh-CN"/>
        </w:rPr>
        <w:t>针对第四章所述专业化分工和跨部门协同不足问题，天原股份可在现有“监督层-管理层-执行层”三级ESG治理架构基础上优化职责配置。可考虑在董事会层面增设专门的ESG委员会或可持续发展委员会，负责重大ESG议题、气候风险及长期目标的专项审议；在管理层保留现有统筹职能的基础上，设置相对稳定的ESG协调机构，减少董事会办公室同时承担日常组织、信息汇总和专业协调所带来的职责集中。执行层则应明确财务、环保、生产、安全等职能部门及分子公司的责任边界，其中财务部门重点负责ESG数据与财务信息的勾稽，环保和生产部门负责环境与生产数据归集，安全等部门负责相应社会责任指标。</w:t>
      </w:r>
    </w:p>
    <w:p w14:paraId="4883DF01">
      <w:pPr>
        <w:bidi w:val="0"/>
        <w:rPr>
          <w:rFonts w:hint="eastAsia" w:ascii="宋体" w:hAnsi="宋体" w:eastAsia="宋体" w:cs="宋体"/>
          <w:color w:val="auto"/>
          <w:lang w:val="en-US" w:eastAsia="zh-CN"/>
        </w:rPr>
      </w:pPr>
      <w:r>
        <w:rPr>
          <w:rFonts w:hint="eastAsia" w:ascii="宋体" w:hAnsi="宋体" w:eastAsia="宋体" w:cs="宋体"/>
          <w:color w:val="auto"/>
          <w:lang w:val="en-US" w:eastAsia="zh-CN"/>
        </w:rPr>
        <w:t>据此，本文认为可在现有治理框架基础上优化董事会层面的ESG治理安排，形成更加清晰的专业决策、统筹协调与执行落实体系，具体如图1所示。</w:t>
      </w:r>
    </w:p>
    <w:p w14:paraId="24EC5A51">
      <w:pPr>
        <w:bidi w:val="0"/>
        <w:rPr>
          <w:rFonts w:hint="eastAsia" w:ascii="宋体" w:hAnsi="宋体" w:eastAsia="宋体" w:cs="宋体"/>
          <w:color w:val="auto"/>
          <w:lang w:val="en-US" w:eastAsia="zh-CN"/>
        </w:rPr>
      </w:pPr>
    </w:p>
    <w:p w14:paraId="51509B7F">
      <w:pPr>
        <w:bidi w:val="0"/>
        <w:ind w:left="0" w:leftChars="0" w:firstLine="0" w:firstLineChars="0"/>
        <w:jc w:val="center"/>
        <w:rPr>
          <w:rFonts w:hint="eastAsia" w:ascii="宋体" w:hAnsi="宋体" w:eastAsia="宋体" w:cs="宋体"/>
          <w:color w:val="auto"/>
          <w:lang w:val="en-US" w:eastAsia="zh-CN"/>
        </w:rPr>
      </w:pPr>
      <w:r>
        <w:rPr>
          <w:rFonts w:hint="eastAsia" w:ascii="宋体" w:hAnsi="宋体" w:eastAsia="宋体" w:cs="宋体"/>
          <w:color w:val="auto"/>
          <w:lang w:val="en-US" w:eastAsia="zh-CN"/>
        </w:rPr>
        <w:drawing>
          <wp:inline distT="0" distB="0" distL="114300" distR="114300">
            <wp:extent cx="5819775" cy="2637790"/>
            <wp:effectExtent l="0" t="0" r="9525" b="3810"/>
            <wp:docPr id="38" name="ECB019B1-382A-4266-B25C-5B523AA43C14-1" descr="C:/Users/tt/AppData/Roaming/Kingsoft/wps/addons/data/win-i386/kinsertprocesson/insertimage.gOVQBcinser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ECB019B1-382A-4266-B25C-5B523AA43C14-1" descr="C:/Users/tt/AppData/Roaming/Kingsoft/wps/addons/data/win-i386/kinsertprocesson/insertimage.gOVQBcinsertimage"/>
                    <pic:cNvPicPr>
                      <a:picLocks noChangeAspect="1"/>
                    </pic:cNvPicPr>
                  </pic:nvPicPr>
                  <pic:blipFill>
                    <a:blip r:embed="rId10"/>
                    <a:srcRect l="6798" t="5453" r="2490" b="5631"/>
                    <a:stretch>
                      <a:fillRect/>
                    </a:stretch>
                  </pic:blipFill>
                  <pic:spPr>
                    <a:xfrm>
                      <a:off x="0" y="0"/>
                      <a:ext cx="5819775" cy="2637790"/>
                    </a:xfrm>
                    <a:prstGeom prst="rect">
                      <a:avLst/>
                    </a:prstGeom>
                  </pic:spPr>
                </pic:pic>
              </a:graphicData>
            </a:graphic>
          </wp:inline>
        </w:drawing>
      </w:r>
    </w:p>
    <w:p w14:paraId="15BEFF80">
      <w:pPr>
        <w:bidi w:val="0"/>
        <w:ind w:left="0" w:leftChars="0" w:firstLine="0" w:firstLineChars="0"/>
        <w:jc w:val="center"/>
        <w:rPr>
          <w:rFonts w:hint="eastAsia" w:ascii="宋体" w:hAnsi="宋体" w:eastAsia="宋体" w:cs="宋体"/>
          <w:color w:val="auto"/>
          <w:lang w:val="en-US" w:eastAsia="zh-CN"/>
        </w:rPr>
      </w:pPr>
      <w:r>
        <w:rPr>
          <w:rFonts w:hint="eastAsia" w:ascii="宋体" w:hAnsi="宋体" w:eastAsia="宋体" w:cs="宋体"/>
          <w:color w:val="auto"/>
          <w:sz w:val="21"/>
          <w:szCs w:val="21"/>
          <w:lang w:val="en-US" w:eastAsia="zh-CN"/>
        </w:rPr>
        <w:t>图1</w:t>
      </w:r>
      <w:r>
        <w:rPr>
          <w:rFonts w:hint="eastAsia" w:cs="宋体"/>
          <w:color w:val="auto"/>
          <w:sz w:val="21"/>
          <w:szCs w:val="21"/>
          <w:lang w:val="en-US" w:eastAsia="zh-CN"/>
        </w:rPr>
        <w:t xml:space="preserve"> </w:t>
      </w:r>
      <w:r>
        <w:rPr>
          <w:rFonts w:hint="eastAsia" w:ascii="宋体" w:hAnsi="宋体" w:eastAsia="宋体" w:cs="宋体"/>
          <w:color w:val="auto"/>
          <w:sz w:val="21"/>
          <w:szCs w:val="21"/>
          <w:lang w:val="en-US" w:eastAsia="zh-CN"/>
        </w:rPr>
        <w:t>天原股份ESG管治架构优化建议</w:t>
      </w:r>
    </w:p>
    <w:p w14:paraId="21341E6D">
      <w:pPr>
        <w:pStyle w:val="4"/>
        <w:bidi w:val="0"/>
        <w:rPr>
          <w:rFonts w:hint="eastAsia" w:ascii="宋体" w:hAnsi="宋体" w:eastAsia="宋体" w:cs="宋体"/>
          <w:color w:val="auto"/>
          <w:lang w:val="en-US" w:eastAsia="zh-CN"/>
        </w:rPr>
      </w:pPr>
      <w:bookmarkStart w:id="124" w:name="_Toc31800"/>
      <w:r>
        <w:rPr>
          <w:rFonts w:hint="eastAsia" w:ascii="宋体" w:hAnsi="宋体" w:eastAsia="宋体" w:cs="宋体"/>
          <w:color w:val="auto"/>
          <w:lang w:val="en-US" w:eastAsia="zh-CN"/>
        </w:rPr>
        <w:t>将ESG目标纳入管理层绩效考核</w:t>
      </w:r>
      <w:bookmarkEnd w:id="124"/>
    </w:p>
    <w:p w14:paraId="426EE79D">
      <w:pPr>
        <w:bidi w:val="0"/>
        <w:rPr>
          <w:rFonts w:hint="eastAsia" w:ascii="宋体" w:hAnsi="宋体" w:eastAsia="宋体" w:cs="宋体"/>
          <w:color w:val="auto"/>
          <w:lang w:val="en-US" w:eastAsia="zh-CN"/>
        </w:rPr>
      </w:pPr>
      <w:r>
        <w:rPr>
          <w:rFonts w:hint="eastAsia" w:ascii="宋体" w:hAnsi="宋体" w:eastAsia="宋体" w:cs="宋体"/>
          <w:color w:val="auto"/>
          <w:lang w:val="en-US" w:eastAsia="zh-CN"/>
        </w:rPr>
        <w:t>如第四章所述，天原股份已经具备一定的环境与碳排放绩效约束基础，但现有考核范围仍主要集中于环保和节能降碳领域。可在此基础上逐步将安全生产、供应链ESG风险、气候风险管理、合规与反腐败等重要议题纳入统一绩效框架，并按照议题性质明确责任主体和考核周期。其中，环境与碳排放类指标可保持月度或年度跟踪，安全生产、供应链风险和合规事项则应结合其管理特点设置相应评价周期。正如学者胡洁指出的：“良好的企业内部治理会降低企业的代理成本，使企业经营者行为最大化地与股东及其他利益相关者的利益趋于一致，减少企业管理者的机会主义和短视行为，有利于形成长期投资偏好，从而提升企业绩效与企业价值”</w:t>
      </w:r>
      <w:r>
        <w:rPr>
          <w:rFonts w:hint="eastAsia" w:ascii="宋体" w:hAnsi="宋体" w:eastAsia="宋体" w:cs="宋体"/>
          <w:color w:val="auto"/>
          <w:vertAlign w:val="superscript"/>
          <w:lang w:val="en-US" w:eastAsia="zh-CN"/>
        </w:rPr>
        <w:fldChar w:fldCharType="begin"/>
      </w:r>
      <w:r>
        <w:instrText xml:space="preserve"> REF _Ref9523 \r \h  \* MERGEFORMAT</w:instrText>
      </w:r>
      <w:r>
        <w:rPr>
          <w:rFonts w:hint="eastAsia" w:ascii="宋体" w:hAnsi="宋体" w:eastAsia="宋体" w:cs="宋体"/>
          <w:color w:val="auto"/>
          <w:vertAlign w:val="superscript"/>
          <w:lang w:val="en-US" w:eastAsia="zh-CN"/>
        </w:rPr>
        <w:fldChar w:fldCharType="separate"/>
      </w:r>
      <w:r>
        <w:rPr>
          <w:rFonts w:hint="eastAsia" w:ascii="宋体" w:hAnsi="宋体" w:eastAsia="宋体" w:cs="宋体"/>
          <w:color w:val="auto"/>
          <w:vertAlign w:val="superscript"/>
          <w:lang w:val="en-US" w:eastAsia="zh-CN"/>
        </w:rPr>
        <w:t>[7]</w:t>
      </w:r>
      <w:r>
        <w:rPr>
          <w:rFonts w:hint="eastAsia" w:ascii="宋体" w:hAnsi="宋体" w:eastAsia="宋体" w:cs="宋体"/>
          <w:color w:val="auto"/>
          <w:vertAlign w:val="superscript"/>
          <w:lang w:val="en-US" w:eastAsia="zh-CN"/>
        </w:rPr>
        <w:fldChar w:fldCharType="end"/>
      </w:r>
      <w:r>
        <w:rPr>
          <w:rFonts w:hint="eastAsia" w:ascii="宋体" w:hAnsi="宋体" w:eastAsia="宋体" w:cs="宋体"/>
          <w:color w:val="auto"/>
          <w:lang w:val="en-US" w:eastAsia="zh-CN"/>
        </w:rPr>
        <w:t>。对于不同职能部门及分子公司，应根据职责范围分解目标，避免所有ESG责任集中于单一管理部门。对外披露时还应说明主要考核指标类别、执行周期、责任主体以及年度完成情况，使外部使用者能够判断ESG目标是否真正落实到经营管理中，而不是只停留在报告层面的目标陈述。</w:t>
      </w:r>
    </w:p>
    <w:p w14:paraId="2923452F">
      <w:pPr>
        <w:pStyle w:val="3"/>
        <w:bidi w:val="0"/>
        <w:rPr>
          <w:rFonts w:hint="eastAsia" w:ascii="宋体" w:hAnsi="宋体" w:eastAsia="宋体" w:cs="宋体"/>
          <w:color w:val="auto"/>
          <w:lang w:val="en-US" w:eastAsia="zh-CN"/>
        </w:rPr>
      </w:pPr>
      <w:bookmarkStart w:id="125" w:name="_Toc20530"/>
      <w:bookmarkStart w:id="126" w:name="_Toc1801"/>
      <w:bookmarkStart w:id="127" w:name="_Toc32021"/>
      <w:r>
        <w:rPr>
          <w:rFonts w:hint="eastAsia" w:ascii="宋体" w:hAnsi="宋体" w:eastAsia="宋体" w:cs="宋体"/>
          <w:color w:val="auto"/>
          <w:lang w:val="en-US" w:eastAsia="zh-CN"/>
        </w:rPr>
        <w:t>完善气候风险及挑战性信息的财务披露</w:t>
      </w:r>
      <w:bookmarkEnd w:id="125"/>
      <w:bookmarkEnd w:id="126"/>
      <w:bookmarkEnd w:id="127"/>
    </w:p>
    <w:p w14:paraId="5EF2F718">
      <w:pPr>
        <w:pStyle w:val="4"/>
        <w:bidi w:val="0"/>
        <w:rPr>
          <w:rFonts w:hint="eastAsia" w:ascii="宋体" w:hAnsi="宋体" w:eastAsia="宋体" w:cs="宋体"/>
          <w:color w:val="auto"/>
          <w:lang w:val="en-US" w:eastAsia="zh-CN"/>
        </w:rPr>
      </w:pPr>
      <w:bookmarkStart w:id="128" w:name="_Toc24983"/>
      <w:r>
        <w:rPr>
          <w:rFonts w:hint="eastAsia" w:ascii="宋体" w:hAnsi="宋体" w:eastAsia="宋体" w:cs="宋体"/>
          <w:color w:val="auto"/>
          <w:lang w:val="en-US" w:eastAsia="zh-CN"/>
        </w:rPr>
        <w:t>开展气候情景分析与风险识别</w:t>
      </w:r>
      <w:bookmarkEnd w:id="128"/>
    </w:p>
    <w:p w14:paraId="7ECF91FC">
      <w:pPr>
        <w:bidi w:val="0"/>
        <w:rPr>
          <w:rFonts w:hint="eastAsia" w:ascii="宋体" w:hAnsi="宋体" w:eastAsia="宋体" w:cs="宋体"/>
          <w:color w:val="auto"/>
          <w:lang w:val="en-US" w:eastAsia="zh-CN"/>
        </w:rPr>
      </w:pPr>
      <w:r>
        <w:rPr>
          <w:rFonts w:hint="eastAsia" w:ascii="宋体" w:hAnsi="宋体" w:eastAsia="宋体" w:cs="宋体"/>
          <w:color w:val="auto"/>
          <w:lang w:val="en-US" w:eastAsia="zh-CN"/>
        </w:rPr>
        <w:t>如第四章所述，天原股份已经初步识别实体风险和转型风险，但相关财务影响仍主要停留在定性说明层面。后续工作不应继续以罗列风险类型为重点，而应在现有识别基础上引入情景分析，将气候因素进一步转化为可观察的经营和财务影响。</w:t>
      </w:r>
    </w:p>
    <w:p w14:paraId="0776A171">
      <w:pPr>
        <w:bidi w:val="0"/>
        <w:rPr>
          <w:rFonts w:hint="eastAsia" w:ascii="宋体" w:hAnsi="宋体" w:eastAsia="宋体" w:cs="宋体"/>
          <w:color w:val="auto"/>
          <w:lang w:val="en-US" w:eastAsia="zh-CN"/>
        </w:rPr>
      </w:pPr>
      <w:r>
        <w:rPr>
          <w:rFonts w:hint="eastAsia" w:ascii="宋体" w:hAnsi="宋体" w:eastAsia="宋体" w:cs="宋体"/>
          <w:color w:val="auto"/>
          <w:lang w:val="en-US" w:eastAsia="zh-CN"/>
        </w:rPr>
        <w:t>具体可设置不同程度的极端天气、能源价格变化、单位碳成本变化以及政策标准收紧等假设条件，分别分析其对营业成本、资本性支出、资产减值和经营现金流等指标的可能传导路径。例如，极端天气可能通过停工、设备损坏和供应中断影响生产成本及现金流，能源价格和碳成本变化则可能增加履约成本和经营支出，政策标准提高还可能带来设备改造及新增资本投入。在情景分析及后续披露中，公司还应同步说明不利情景、转型压力及其可能影响，避免仅呈现治理措施和正面成效。相关研究认为，气候风险披露还应进一步延伸至财务影响、相关支出及财务估计等层面</w:t>
      </w:r>
      <w:r>
        <w:rPr>
          <w:rFonts w:hint="eastAsia" w:ascii="宋体" w:hAnsi="宋体" w:eastAsia="宋体" w:cs="宋体"/>
          <w:color w:val="auto"/>
          <w:vertAlign w:val="superscript"/>
          <w:lang w:val="en-US" w:eastAsia="zh-CN"/>
        </w:rPr>
        <w:fldChar w:fldCharType="begin"/>
      </w:r>
      <w:r>
        <w:instrText xml:space="preserve"> REF _Ref10104 \r \h  \* MERGEFORMAT</w:instrText>
      </w:r>
      <w:r>
        <w:rPr>
          <w:rFonts w:hint="eastAsia" w:ascii="宋体" w:hAnsi="宋体" w:eastAsia="宋体" w:cs="宋体"/>
          <w:color w:val="auto"/>
          <w:vertAlign w:val="superscript"/>
          <w:lang w:val="en-US" w:eastAsia="zh-CN"/>
        </w:rPr>
        <w:fldChar w:fldCharType="separate"/>
      </w:r>
      <w:r>
        <w:rPr>
          <w:rFonts w:hint="eastAsia" w:ascii="宋体" w:hAnsi="宋体" w:eastAsia="宋体" w:cs="宋体"/>
          <w:color w:val="auto"/>
          <w:vertAlign w:val="superscript"/>
          <w:lang w:val="en-US" w:eastAsia="zh-CN"/>
        </w:rPr>
        <w:t>[19]</w:t>
      </w:r>
      <w:r>
        <w:rPr>
          <w:rFonts w:hint="eastAsia" w:ascii="宋体" w:hAnsi="宋体" w:eastAsia="宋体" w:cs="宋体"/>
          <w:color w:val="auto"/>
          <w:vertAlign w:val="superscript"/>
          <w:lang w:val="en-US" w:eastAsia="zh-CN"/>
        </w:rPr>
        <w:fldChar w:fldCharType="end"/>
      </w:r>
      <w:r>
        <w:rPr>
          <w:rFonts w:hint="eastAsia" w:ascii="宋体" w:hAnsi="宋体" w:eastAsia="宋体" w:cs="宋体"/>
          <w:color w:val="auto"/>
          <w:lang w:val="en-US" w:eastAsia="zh-CN"/>
        </w:rPr>
        <w:t>。</w:t>
      </w:r>
      <w:r>
        <w:rPr>
          <w:rFonts w:hint="eastAsia" w:cs="宋体"/>
          <w:color w:val="auto"/>
          <w:lang w:val="en-US" w:eastAsia="zh-CN"/>
        </w:rPr>
        <w:t>据此，公司可先建立“风险因素-经营影响-财务科目”的对应关系，再根据可获得的数据逐步开展敏感性测算，为后续定量披露奠定基础。</w:t>
      </w:r>
    </w:p>
    <w:p w14:paraId="2B69733C">
      <w:pPr>
        <w:pStyle w:val="4"/>
        <w:bidi w:val="0"/>
        <w:rPr>
          <w:rFonts w:hint="eastAsia" w:ascii="宋体" w:hAnsi="宋体" w:eastAsia="宋体" w:cs="宋体"/>
          <w:color w:val="auto"/>
          <w:lang w:val="en-US" w:eastAsia="zh-CN"/>
        </w:rPr>
      </w:pPr>
      <w:bookmarkStart w:id="129" w:name="_Toc10464"/>
      <w:r>
        <w:rPr>
          <w:rFonts w:hint="eastAsia" w:ascii="宋体" w:hAnsi="宋体" w:eastAsia="宋体" w:cs="宋体"/>
          <w:color w:val="auto"/>
          <w:lang w:val="en-US" w:eastAsia="zh-CN"/>
        </w:rPr>
        <w:t>强化气候风险财务指标映射与敏感性测算</w:t>
      </w:r>
      <w:bookmarkEnd w:id="129"/>
    </w:p>
    <w:p w14:paraId="504FB3F3">
      <w:pPr>
        <w:bidi w:val="0"/>
        <w:rPr>
          <w:rFonts w:hint="eastAsia" w:ascii="宋体" w:hAnsi="宋体" w:eastAsia="宋体" w:cs="宋体"/>
          <w:color w:val="auto"/>
          <w:lang w:val="en-US" w:eastAsia="zh-CN"/>
        </w:rPr>
      </w:pPr>
      <w:r>
        <w:rPr>
          <w:rFonts w:hint="eastAsia" w:ascii="宋体" w:hAnsi="宋体" w:eastAsia="宋体" w:cs="宋体"/>
          <w:color w:val="auto"/>
          <w:lang w:val="en-US" w:eastAsia="zh-CN"/>
        </w:rPr>
        <w:t>公司2024年披露的温室气体排放总量为305.81万吨二氧化碳当量，并另行披露重点排放单位碳排放量为241.10万吨</w:t>
      </w:r>
      <w:r>
        <w:rPr>
          <w:rFonts w:hint="eastAsia" w:ascii="宋体" w:hAnsi="宋体" w:eastAsia="宋体" w:cs="宋体"/>
          <w:color w:val="auto"/>
          <w:vertAlign w:val="superscript"/>
          <w:lang w:val="en-US" w:eastAsia="zh-CN"/>
        </w:rPr>
        <w:fldChar w:fldCharType="begin"/>
      </w:r>
      <w:r>
        <w:instrText xml:space="preserve"> REF _Ref9585 \r \h  \* MERGEFORMAT</w:instrText>
      </w:r>
      <w:r>
        <w:rPr>
          <w:rFonts w:hint="eastAsia" w:ascii="宋体" w:hAnsi="宋体" w:eastAsia="宋体" w:cs="宋体"/>
          <w:color w:val="auto"/>
          <w:vertAlign w:val="superscript"/>
          <w:lang w:val="en-US" w:eastAsia="zh-CN"/>
        </w:rPr>
        <w:fldChar w:fldCharType="separate"/>
      </w:r>
      <w:r>
        <w:rPr>
          <w:rFonts w:hint="eastAsia" w:ascii="宋体" w:hAnsi="宋体" w:eastAsia="宋体" w:cs="宋体"/>
          <w:color w:val="auto"/>
          <w:vertAlign w:val="superscript"/>
          <w:lang w:val="en-US" w:eastAsia="zh-CN"/>
        </w:rPr>
        <w:t>[10]</w:t>
      </w:r>
      <w:r>
        <w:rPr>
          <w:rFonts w:hint="eastAsia" w:ascii="宋体" w:hAnsi="宋体" w:eastAsia="宋体" w:cs="宋体"/>
          <w:color w:val="auto"/>
          <w:vertAlign w:val="superscript"/>
          <w:lang w:val="en-US" w:eastAsia="zh-CN"/>
        </w:rPr>
        <w:fldChar w:fldCharType="end"/>
      </w:r>
      <w:r>
        <w:rPr>
          <w:rFonts w:hint="eastAsia" w:ascii="宋体" w:hAnsi="宋体" w:eastAsia="宋体" w:cs="宋体"/>
          <w:color w:val="auto"/>
          <w:lang w:val="en-US" w:eastAsia="zh-CN"/>
        </w:rPr>
        <w:t>；同期营业成本为130.24亿元，营业收入为133.67亿元</w:t>
      </w:r>
      <w:r>
        <w:rPr>
          <w:rFonts w:hint="eastAsia" w:ascii="宋体" w:hAnsi="宋体" w:eastAsia="宋体" w:cs="宋体"/>
          <w:color w:val="auto"/>
          <w:vertAlign w:val="superscript"/>
          <w:lang w:val="en-US" w:eastAsia="zh-CN"/>
        </w:rPr>
        <w:fldChar w:fldCharType="begin"/>
      </w:r>
      <w:r>
        <w:instrText xml:space="preserve"> REF _Ref29585 \r \h  \* MERGEFORMAT</w:instrText>
      </w:r>
      <w:r>
        <w:rPr>
          <w:rFonts w:hint="eastAsia" w:ascii="宋体" w:hAnsi="宋体" w:eastAsia="宋体" w:cs="宋体"/>
          <w:color w:val="auto"/>
          <w:vertAlign w:val="superscript"/>
          <w:lang w:val="en-US" w:eastAsia="zh-CN"/>
        </w:rPr>
        <w:fldChar w:fldCharType="separate"/>
      </w:r>
      <w:r>
        <w:rPr>
          <w:rFonts w:hint="eastAsia" w:ascii="宋体" w:hAnsi="宋体" w:eastAsia="宋体" w:cs="宋体"/>
          <w:color w:val="auto"/>
          <w:vertAlign w:val="superscript"/>
          <w:lang w:val="en-US" w:eastAsia="zh-CN"/>
        </w:rPr>
        <w:t>[22]</w:t>
      </w:r>
      <w:r>
        <w:rPr>
          <w:rFonts w:hint="eastAsia" w:ascii="宋体" w:hAnsi="宋体" w:eastAsia="宋体" w:cs="宋体"/>
          <w:color w:val="auto"/>
          <w:vertAlign w:val="superscript"/>
          <w:lang w:val="en-US" w:eastAsia="zh-CN"/>
        </w:rPr>
        <w:fldChar w:fldCharType="end"/>
      </w:r>
      <w:r>
        <w:rPr>
          <w:rFonts w:hint="eastAsia" w:ascii="宋体" w:hAnsi="宋体" w:eastAsia="宋体" w:cs="宋体"/>
          <w:color w:val="auto"/>
          <w:lang w:val="en-US" w:eastAsia="zh-CN"/>
        </w:rPr>
        <w:t>。由于公开资料尚不能确定企业实际配额缺口、成交价格及履约成本，本文不直接估算公司实际碳成本，而以241.10万吨作为敏感性分析基数，分别假设单位碳成本在现有基础上增加50元/吨、100元/吨和150元/吨，测算结果见表5。</w:t>
      </w:r>
    </w:p>
    <w:p w14:paraId="1394E5A7">
      <w:pPr>
        <w:keepNext w:val="0"/>
        <w:keepLines w:val="0"/>
        <w:pageBreakBefore w:val="0"/>
        <w:widowControl w:val="0"/>
        <w:kinsoku/>
        <w:wordWrap/>
        <w:overflowPunct/>
        <w:topLinePunct w:val="0"/>
        <w:autoSpaceDE/>
        <w:autoSpaceDN/>
        <w:bidi w:val="0"/>
        <w:adjustRightInd/>
        <w:spacing w:line="360" w:lineRule="auto"/>
        <w:ind w:left="0" w:leftChars="0"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表</w:t>
      </w:r>
      <w:r>
        <w:rPr>
          <w:rFonts w:hint="eastAsia" w:cs="宋体"/>
          <w:color w:val="auto"/>
          <w:sz w:val="21"/>
          <w:szCs w:val="21"/>
          <w:lang w:val="en-US" w:eastAsia="zh-CN"/>
        </w:rPr>
        <w:t xml:space="preserve">5 </w:t>
      </w:r>
      <w:r>
        <w:rPr>
          <w:rFonts w:hint="eastAsia" w:ascii="宋体" w:hAnsi="宋体" w:eastAsia="宋体" w:cs="宋体"/>
          <w:color w:val="auto"/>
          <w:sz w:val="21"/>
          <w:szCs w:val="21"/>
          <w:lang w:val="en-US" w:eastAsia="zh-CN"/>
        </w:rPr>
        <w:t>天原股份2024年重点排放单位碳成本敏感性模拟测算</w:t>
      </w:r>
    </w:p>
    <w:tbl>
      <w:tblPr>
        <w:tblStyle w:val="2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5"/>
        <w:gridCol w:w="1595"/>
        <w:gridCol w:w="1595"/>
        <w:gridCol w:w="1595"/>
        <w:gridCol w:w="1595"/>
        <w:gridCol w:w="1596"/>
      </w:tblGrid>
      <w:tr w14:paraId="714937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95" w:type="dxa"/>
            <w:tcBorders>
              <w:bottom w:val="single" w:color="auto" w:sz="4" w:space="0"/>
              <w:tl2br w:val="nil"/>
              <w:tr2bl w:val="nil"/>
            </w:tcBorders>
            <w:vAlign w:val="center"/>
          </w:tcPr>
          <w:p w14:paraId="2BF08F0E">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情景</w:t>
            </w:r>
          </w:p>
        </w:tc>
        <w:tc>
          <w:tcPr>
            <w:tcW w:w="1595" w:type="dxa"/>
            <w:tcBorders>
              <w:bottom w:val="single" w:color="auto" w:sz="4" w:space="0"/>
              <w:tl2br w:val="nil"/>
              <w:tr2bl w:val="nil"/>
            </w:tcBorders>
            <w:vAlign w:val="center"/>
          </w:tcPr>
          <w:p w14:paraId="060F0A72">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重点排放单位碳排放量（万吨CO</w:t>
            </w:r>
            <w:r>
              <w:rPr>
                <w:rFonts w:hint="eastAsia" w:ascii="宋体" w:hAnsi="宋体" w:eastAsia="宋体" w:cs="宋体"/>
                <w:color w:val="auto"/>
                <w:sz w:val="21"/>
                <w:szCs w:val="21"/>
                <w:vertAlign w:val="subscript"/>
                <w:lang w:val="en-US" w:eastAsia="zh-CN"/>
              </w:rPr>
              <w:t>2</w:t>
            </w:r>
            <w:r>
              <w:rPr>
                <w:rFonts w:hint="eastAsia" w:ascii="宋体" w:hAnsi="宋体" w:eastAsia="宋体" w:cs="宋体"/>
                <w:color w:val="auto"/>
                <w:sz w:val="21"/>
                <w:szCs w:val="21"/>
                <w:vertAlign w:val="baseline"/>
                <w:lang w:val="en-US" w:eastAsia="zh-CN"/>
              </w:rPr>
              <w:t>e）</w:t>
            </w:r>
          </w:p>
        </w:tc>
        <w:tc>
          <w:tcPr>
            <w:tcW w:w="1595" w:type="dxa"/>
            <w:tcBorders>
              <w:bottom w:val="single" w:color="auto" w:sz="4" w:space="0"/>
              <w:tl2br w:val="nil"/>
              <w:tr2bl w:val="nil"/>
            </w:tcBorders>
            <w:vAlign w:val="center"/>
          </w:tcPr>
          <w:p w14:paraId="57C12760">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假设单位碳成本增量（元/吨CO</w:t>
            </w:r>
            <w:r>
              <w:rPr>
                <w:rFonts w:hint="eastAsia" w:ascii="宋体" w:hAnsi="宋体" w:eastAsia="宋体" w:cs="宋体"/>
                <w:color w:val="auto"/>
                <w:sz w:val="21"/>
                <w:szCs w:val="21"/>
                <w:vertAlign w:val="subscript"/>
                <w:lang w:val="en-US" w:eastAsia="zh-CN"/>
              </w:rPr>
              <w:t>2</w:t>
            </w:r>
            <w:r>
              <w:rPr>
                <w:rFonts w:hint="eastAsia" w:ascii="宋体" w:hAnsi="宋体" w:eastAsia="宋体" w:cs="宋体"/>
                <w:color w:val="auto"/>
                <w:sz w:val="21"/>
                <w:szCs w:val="21"/>
                <w:vertAlign w:val="baseline"/>
                <w:lang w:val="en-US" w:eastAsia="zh-CN"/>
              </w:rPr>
              <w:t>e）</w:t>
            </w:r>
          </w:p>
        </w:tc>
        <w:tc>
          <w:tcPr>
            <w:tcW w:w="1595" w:type="dxa"/>
            <w:tcBorders>
              <w:bottom w:val="single" w:color="auto" w:sz="4" w:space="0"/>
              <w:tl2br w:val="nil"/>
              <w:tr2bl w:val="nil"/>
            </w:tcBorders>
            <w:vAlign w:val="center"/>
          </w:tcPr>
          <w:p w14:paraId="35F1895A">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模拟新增碳成本（亿元）</w:t>
            </w:r>
          </w:p>
        </w:tc>
        <w:tc>
          <w:tcPr>
            <w:tcW w:w="1595" w:type="dxa"/>
            <w:tcBorders>
              <w:bottom w:val="single" w:color="auto" w:sz="4" w:space="0"/>
              <w:tl2br w:val="nil"/>
              <w:tr2bl w:val="nil"/>
            </w:tcBorders>
            <w:vAlign w:val="center"/>
          </w:tcPr>
          <w:p w14:paraId="4AC4286F">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相当于2024年营业成本的比重（%）</w:t>
            </w:r>
          </w:p>
        </w:tc>
        <w:tc>
          <w:tcPr>
            <w:tcW w:w="1596" w:type="dxa"/>
            <w:tcBorders>
              <w:bottom w:val="single" w:color="auto" w:sz="4" w:space="0"/>
              <w:tl2br w:val="nil"/>
              <w:tr2bl w:val="nil"/>
            </w:tcBorders>
            <w:vAlign w:val="center"/>
          </w:tcPr>
          <w:p w14:paraId="38A67648">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占2024年营业收入比重（%）</w:t>
            </w:r>
          </w:p>
        </w:tc>
      </w:tr>
      <w:tr w14:paraId="5A0B76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95" w:type="dxa"/>
            <w:tcBorders>
              <w:top w:val="single" w:color="auto" w:sz="4" w:space="0"/>
              <w:tl2br w:val="nil"/>
              <w:tr2bl w:val="nil"/>
            </w:tcBorders>
            <w:vAlign w:val="center"/>
          </w:tcPr>
          <w:p w14:paraId="5D21FDF1">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情景A</w:t>
            </w:r>
          </w:p>
        </w:tc>
        <w:tc>
          <w:tcPr>
            <w:tcW w:w="1595" w:type="dxa"/>
            <w:tcBorders>
              <w:top w:val="single" w:color="auto" w:sz="4" w:space="0"/>
              <w:tl2br w:val="nil"/>
              <w:tr2bl w:val="nil"/>
            </w:tcBorders>
            <w:vAlign w:val="center"/>
          </w:tcPr>
          <w:p w14:paraId="06A26870">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241.10</w:t>
            </w:r>
          </w:p>
        </w:tc>
        <w:tc>
          <w:tcPr>
            <w:tcW w:w="1595" w:type="dxa"/>
            <w:tcBorders>
              <w:top w:val="single" w:color="auto" w:sz="4" w:space="0"/>
              <w:tl2br w:val="nil"/>
              <w:tr2bl w:val="nil"/>
            </w:tcBorders>
            <w:vAlign w:val="center"/>
          </w:tcPr>
          <w:p w14:paraId="698EF928">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50</w:t>
            </w:r>
          </w:p>
        </w:tc>
        <w:tc>
          <w:tcPr>
            <w:tcW w:w="1595" w:type="dxa"/>
            <w:tcBorders>
              <w:top w:val="single" w:color="auto" w:sz="4" w:space="0"/>
              <w:tl2br w:val="nil"/>
              <w:tr2bl w:val="nil"/>
            </w:tcBorders>
            <w:vAlign w:val="center"/>
          </w:tcPr>
          <w:p w14:paraId="388A951C">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1.2055</w:t>
            </w:r>
          </w:p>
        </w:tc>
        <w:tc>
          <w:tcPr>
            <w:tcW w:w="1595" w:type="dxa"/>
            <w:tcBorders>
              <w:top w:val="single" w:color="auto" w:sz="4" w:space="0"/>
              <w:tl2br w:val="nil"/>
              <w:tr2bl w:val="nil"/>
            </w:tcBorders>
            <w:vAlign w:val="center"/>
          </w:tcPr>
          <w:p w14:paraId="58E5953B">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0.93</w:t>
            </w:r>
          </w:p>
        </w:tc>
        <w:tc>
          <w:tcPr>
            <w:tcW w:w="1596" w:type="dxa"/>
            <w:tcBorders>
              <w:top w:val="single" w:color="auto" w:sz="4" w:space="0"/>
              <w:tl2br w:val="nil"/>
              <w:tr2bl w:val="nil"/>
            </w:tcBorders>
            <w:vAlign w:val="center"/>
          </w:tcPr>
          <w:p w14:paraId="7D39FE78">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0.90</w:t>
            </w:r>
          </w:p>
        </w:tc>
      </w:tr>
      <w:tr w14:paraId="2F2CC0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95" w:type="dxa"/>
            <w:tcBorders>
              <w:tl2br w:val="nil"/>
              <w:tr2bl w:val="nil"/>
            </w:tcBorders>
            <w:vAlign w:val="center"/>
          </w:tcPr>
          <w:p w14:paraId="4192455F">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情景B</w:t>
            </w:r>
          </w:p>
        </w:tc>
        <w:tc>
          <w:tcPr>
            <w:tcW w:w="1595" w:type="dxa"/>
            <w:tcBorders>
              <w:tl2br w:val="nil"/>
              <w:tr2bl w:val="nil"/>
            </w:tcBorders>
            <w:vAlign w:val="center"/>
          </w:tcPr>
          <w:p w14:paraId="0AA9A85E">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241.10</w:t>
            </w:r>
          </w:p>
        </w:tc>
        <w:tc>
          <w:tcPr>
            <w:tcW w:w="1595" w:type="dxa"/>
            <w:tcBorders>
              <w:tl2br w:val="nil"/>
              <w:tr2bl w:val="nil"/>
            </w:tcBorders>
            <w:vAlign w:val="center"/>
          </w:tcPr>
          <w:p w14:paraId="0BEB2BA9">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100</w:t>
            </w:r>
          </w:p>
        </w:tc>
        <w:tc>
          <w:tcPr>
            <w:tcW w:w="1595" w:type="dxa"/>
            <w:tcBorders>
              <w:tl2br w:val="nil"/>
              <w:tr2bl w:val="nil"/>
            </w:tcBorders>
            <w:vAlign w:val="center"/>
          </w:tcPr>
          <w:p w14:paraId="32A2DA83">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2.4110</w:t>
            </w:r>
          </w:p>
        </w:tc>
        <w:tc>
          <w:tcPr>
            <w:tcW w:w="1595" w:type="dxa"/>
            <w:tcBorders>
              <w:tl2br w:val="nil"/>
              <w:tr2bl w:val="nil"/>
            </w:tcBorders>
            <w:vAlign w:val="center"/>
          </w:tcPr>
          <w:p w14:paraId="06A8CD7B">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1.85</w:t>
            </w:r>
          </w:p>
        </w:tc>
        <w:tc>
          <w:tcPr>
            <w:tcW w:w="1596" w:type="dxa"/>
            <w:tcBorders>
              <w:tl2br w:val="nil"/>
              <w:tr2bl w:val="nil"/>
            </w:tcBorders>
            <w:vAlign w:val="center"/>
          </w:tcPr>
          <w:p w14:paraId="3A71C532">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1.80</w:t>
            </w:r>
          </w:p>
        </w:tc>
      </w:tr>
      <w:tr w14:paraId="2DE186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95" w:type="dxa"/>
            <w:tcBorders>
              <w:tl2br w:val="nil"/>
              <w:tr2bl w:val="nil"/>
            </w:tcBorders>
            <w:vAlign w:val="center"/>
          </w:tcPr>
          <w:p w14:paraId="201139BC">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情景C</w:t>
            </w:r>
          </w:p>
        </w:tc>
        <w:tc>
          <w:tcPr>
            <w:tcW w:w="1595" w:type="dxa"/>
            <w:tcBorders>
              <w:tl2br w:val="nil"/>
              <w:tr2bl w:val="nil"/>
            </w:tcBorders>
            <w:vAlign w:val="center"/>
          </w:tcPr>
          <w:p w14:paraId="77EAB935">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241.10</w:t>
            </w:r>
          </w:p>
        </w:tc>
        <w:tc>
          <w:tcPr>
            <w:tcW w:w="1595" w:type="dxa"/>
            <w:tcBorders>
              <w:tl2br w:val="nil"/>
              <w:tr2bl w:val="nil"/>
            </w:tcBorders>
            <w:vAlign w:val="center"/>
          </w:tcPr>
          <w:p w14:paraId="04B15F1D">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150</w:t>
            </w:r>
          </w:p>
        </w:tc>
        <w:tc>
          <w:tcPr>
            <w:tcW w:w="1595" w:type="dxa"/>
            <w:tcBorders>
              <w:tl2br w:val="nil"/>
              <w:tr2bl w:val="nil"/>
            </w:tcBorders>
            <w:vAlign w:val="center"/>
          </w:tcPr>
          <w:p w14:paraId="492F0159">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3.6165</w:t>
            </w:r>
          </w:p>
        </w:tc>
        <w:tc>
          <w:tcPr>
            <w:tcW w:w="1595" w:type="dxa"/>
            <w:tcBorders>
              <w:tl2br w:val="nil"/>
              <w:tr2bl w:val="nil"/>
            </w:tcBorders>
            <w:vAlign w:val="center"/>
          </w:tcPr>
          <w:p w14:paraId="3E90AEC4">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2.78</w:t>
            </w:r>
          </w:p>
        </w:tc>
        <w:tc>
          <w:tcPr>
            <w:tcW w:w="1596" w:type="dxa"/>
            <w:tcBorders>
              <w:tl2br w:val="nil"/>
              <w:tr2bl w:val="nil"/>
            </w:tcBorders>
            <w:vAlign w:val="center"/>
          </w:tcPr>
          <w:p w14:paraId="189D57F3">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center"/>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2.71</w:t>
            </w:r>
          </w:p>
        </w:tc>
      </w:tr>
    </w:tbl>
    <w:p w14:paraId="3898DF96">
      <w:pPr>
        <w:bidi w:val="0"/>
        <w:rPr>
          <w:rFonts w:hint="eastAsia"/>
          <w:sz w:val="24"/>
          <w:szCs w:val="24"/>
          <w:lang w:val="en-US" w:eastAsia="zh-CN"/>
        </w:rPr>
      </w:pPr>
      <w:r>
        <w:rPr>
          <w:rFonts w:hint="eastAsia"/>
          <w:sz w:val="24"/>
          <w:szCs w:val="24"/>
          <w:lang w:val="en-US" w:eastAsia="zh-CN"/>
        </w:rPr>
        <w:t>注：①241.10万吨为天原股份2024年披露的重点排放单位碳排放量；②50元/吨、100元/吨和150元/吨为本文设置的敏感性分析假设参数，不代表公司实际碳交易价格或未来市场价格；③测算结果为假设全部测算基数受到单位碳成本变化影响时的模拟暴露金额，未考虑免费配额、配额盈余及实际交易安排，因此不代表公司实际发生的碳成本或碳负债。④公开报告未说明241.10万吨与公司温室气体排放总量305.81万吨采用完全相同的统计边界，二者不作直接加总或比例比较；241.10万吨仅作为本文敏感性分析的测算基数，不代表企业实际碳市场履约排放量或配额缺口。</w:t>
      </w:r>
    </w:p>
    <w:p w14:paraId="17FA2DFE">
      <w:pPr>
        <w:bidi w:val="0"/>
        <w:rPr>
          <w:rFonts w:hint="eastAsia"/>
          <w:sz w:val="21"/>
          <w:szCs w:val="21"/>
          <w:lang w:val="en-US" w:eastAsia="zh-CN"/>
        </w:rPr>
      </w:pPr>
      <w:r>
        <w:rPr>
          <w:rFonts w:hint="eastAsia"/>
          <w:sz w:val="24"/>
          <w:szCs w:val="24"/>
          <w:lang w:val="en-US" w:eastAsia="zh-CN"/>
        </w:rPr>
        <w:t>资料来源：根据天原股份2024年度ESG报告</w:t>
      </w:r>
      <w:r>
        <w:rPr>
          <w:rFonts w:hint="eastAsia"/>
          <w:sz w:val="24"/>
          <w:szCs w:val="24"/>
          <w:vertAlign w:val="superscript"/>
          <w:lang w:val="en-US" w:eastAsia="zh-CN"/>
        </w:rPr>
        <w:fldChar w:fldCharType="begin"/>
      </w:r>
      <w:r>
        <w:rPr>
          <w:sz w:val="24"/>
          <w:szCs w:val="24"/>
        </w:rPr>
        <w:instrText xml:space="preserve"> REF _Ref9585 \r \h  \* MERGEFORMAT</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[10]</w:t>
      </w:r>
      <w:r>
        <w:rPr>
          <w:rFonts w:hint="eastAsia"/>
          <w:sz w:val="24"/>
          <w:szCs w:val="24"/>
          <w:vertAlign w:val="superscript"/>
          <w:lang w:val="en-US" w:eastAsia="zh-CN"/>
        </w:rPr>
        <w:fldChar w:fldCharType="end"/>
      </w:r>
      <w:r>
        <w:rPr>
          <w:rFonts w:hint="eastAsia"/>
          <w:sz w:val="24"/>
          <w:szCs w:val="24"/>
          <w:lang w:val="en-US" w:eastAsia="zh-CN"/>
        </w:rPr>
        <w:t>及2024年度报告</w:t>
      </w:r>
      <w:r>
        <w:rPr>
          <w:rFonts w:hint="eastAsia"/>
          <w:sz w:val="24"/>
          <w:szCs w:val="24"/>
          <w:vertAlign w:val="superscript"/>
          <w:lang w:val="en-US" w:eastAsia="zh-CN"/>
        </w:rPr>
        <w:fldChar w:fldCharType="begin"/>
      </w:r>
      <w:r>
        <w:rPr>
          <w:sz w:val="24"/>
          <w:szCs w:val="24"/>
        </w:rPr>
        <w:instrText xml:space="preserve"> REF _Ref29585 \r \h  \* MERGEFORMAT</w:instrText>
      </w:r>
      <w:r>
        <w:rPr>
          <w:rFonts w:hint="eastAsia"/>
          <w:sz w:val="24"/>
          <w:szCs w:val="24"/>
          <w:vertAlign w:val="superscript"/>
          <w:lang w:val="en-US" w:eastAsia="zh-CN"/>
        </w:rPr>
        <w:fldChar w:fldCharType="separate"/>
      </w:r>
      <w:r>
        <w:rPr>
          <w:rFonts w:hint="eastAsia"/>
          <w:sz w:val="24"/>
          <w:szCs w:val="24"/>
          <w:vertAlign w:val="superscript"/>
          <w:lang w:val="en-US" w:eastAsia="zh-CN"/>
        </w:rPr>
        <w:t>[22]</w:t>
      </w:r>
      <w:r>
        <w:rPr>
          <w:rFonts w:hint="eastAsia"/>
          <w:sz w:val="24"/>
          <w:szCs w:val="24"/>
          <w:vertAlign w:val="superscript"/>
          <w:lang w:val="en-US" w:eastAsia="zh-CN"/>
        </w:rPr>
        <w:fldChar w:fldCharType="end"/>
      </w:r>
      <w:r>
        <w:rPr>
          <w:rFonts w:hint="eastAsia"/>
          <w:sz w:val="24"/>
          <w:szCs w:val="24"/>
          <w:lang w:val="en-US" w:eastAsia="zh-CN"/>
        </w:rPr>
        <w:t>整理测算。</w:t>
      </w:r>
    </w:p>
    <w:p w14:paraId="3CDA535A">
      <w:pPr>
        <w:bidi w:val="0"/>
        <w:rPr>
          <w:rFonts w:hint="eastAsia" w:ascii="宋体" w:hAnsi="宋体" w:eastAsia="宋体" w:cs="宋体"/>
          <w:color w:val="auto"/>
          <w:lang w:val="en-US" w:eastAsia="zh-CN"/>
        </w:rPr>
      </w:pPr>
      <w:r>
        <w:rPr>
          <w:rFonts w:hint="eastAsia" w:ascii="宋体" w:hAnsi="宋体" w:eastAsia="宋体" w:cs="宋体"/>
          <w:color w:val="auto"/>
          <w:lang w:val="en-US" w:eastAsia="zh-CN"/>
        </w:rPr>
        <w:t>测算</w:t>
      </w:r>
      <w:r>
        <w:rPr>
          <w:rFonts w:hint="eastAsia" w:cs="宋体"/>
          <w:color w:val="auto"/>
          <w:lang w:val="en-US" w:eastAsia="zh-CN"/>
        </w:rPr>
        <w:t>结果</w:t>
      </w:r>
      <w:r>
        <w:rPr>
          <w:rFonts w:hint="eastAsia" w:ascii="宋体" w:hAnsi="宋体" w:eastAsia="宋体" w:cs="宋体"/>
          <w:color w:val="auto"/>
          <w:lang w:val="en-US" w:eastAsia="zh-CN"/>
        </w:rPr>
        <w:t>显示，当假设单位碳成本增加50元/吨时，模拟新增碳成本约为1.21亿元，相当于2024年营业成本的0.93%；若增量提高至150元/吨，模拟金额将增至约3.62亿元，占营业成本的2.78%。这表明即使不预测未来实际碳价，通过敏感性分析也可以把碳排放指标转化为具有可比性的财务影响区间。对于极端天气、设备损坏等实体风险，</w:t>
      </w:r>
      <w:r>
        <w:rPr>
          <w:rFonts w:hint="eastAsia" w:cs="宋体"/>
          <w:color w:val="auto"/>
          <w:lang w:val="en-US" w:eastAsia="zh-CN"/>
        </w:rPr>
        <w:t>因为</w:t>
      </w:r>
      <w:r>
        <w:rPr>
          <w:rFonts w:hint="eastAsia" w:ascii="宋体" w:hAnsi="宋体" w:eastAsia="宋体" w:cs="宋体"/>
          <w:color w:val="auto"/>
          <w:lang w:val="en-US" w:eastAsia="zh-CN"/>
        </w:rPr>
        <w:t>目前缺少受影响资产价值、停工时间等基础数据，可先建立其与资产减值、营业成本及经营现金流的映射关系，待具备可靠数据后再量化，避免形成缺乏事实基础的精确测算。</w:t>
      </w:r>
    </w:p>
    <w:p w14:paraId="7B07D3B8">
      <w:pPr>
        <w:pStyle w:val="5"/>
        <w:keepNext/>
        <w:keepLines w:val="0"/>
        <w:pageBreakBefore w:val="0"/>
        <w:widowControl w:val="0"/>
        <w:numPr>
          <w:ilvl w:val="3"/>
          <w:numId w:val="0"/>
        </w:numPr>
        <w:kinsoku/>
        <w:wordWrap/>
        <w:overflowPunct/>
        <w:topLinePunct w:val="0"/>
        <w:autoSpaceDE/>
        <w:autoSpaceDN/>
        <w:bidi w:val="0"/>
        <w:adjustRightInd w:val="0"/>
        <w:snapToGrid w:val="0"/>
        <w:ind w:leftChars="0" w:firstLine="482" w:firstLineChars="200"/>
        <w:textAlignment w:val="auto"/>
        <w:rPr>
          <w:rFonts w:hint="eastAsia" w:ascii="宋体" w:hAnsi="宋体" w:eastAsia="宋体" w:cs="宋体"/>
          <w:color w:val="auto"/>
          <w:lang w:val="en-US" w:eastAsia="zh-CN"/>
        </w:rPr>
      </w:pPr>
      <w:bookmarkStart w:id="130" w:name="_Toc13895"/>
      <w:r>
        <w:rPr>
          <w:rFonts w:hint="eastAsia" w:ascii="宋体" w:hAnsi="宋体" w:eastAsia="宋体" w:cs="宋体"/>
          <w:color w:val="auto"/>
          <w:lang w:val="en-US" w:eastAsia="zh-CN"/>
        </w:rPr>
        <w:t>结语</w:t>
      </w:r>
      <w:bookmarkEnd w:id="130"/>
    </w:p>
    <w:p w14:paraId="7ABE3099">
      <w:pPr>
        <w:keepNext w:val="0"/>
        <w:keepLines w:val="0"/>
        <w:pageBreakBefore w:val="0"/>
        <w:widowControl w:val="0"/>
        <w:kinsoku/>
        <w:wordWrap/>
        <w:overflowPunct/>
        <w:topLinePunct w:val="0"/>
        <w:autoSpaceDE/>
        <w:autoSpaceDN/>
        <w:bidi w:val="0"/>
        <w:adjustRightInd/>
        <w:snapToGrid w:val="0"/>
        <w:ind w:left="0" w:leftChars="0" w:firstLine="480" w:firstLineChars="200"/>
        <w:textAlignment w:val="auto"/>
        <w:rPr>
          <w:rFonts w:hint="eastAsia" w:ascii="宋体" w:hAnsi="宋体" w:eastAsia="宋体" w:cs="宋体"/>
          <w:b w:val="0"/>
          <w:bCs w:val="0"/>
          <w:color w:val="auto"/>
          <w:lang w:val="en-US" w:eastAsia="zh-CN"/>
        </w:rPr>
      </w:pPr>
      <w:r>
        <w:rPr>
          <w:rFonts w:hint="eastAsia" w:ascii="宋体" w:hAnsi="宋体" w:eastAsia="宋体" w:cs="宋体"/>
          <w:b w:val="0"/>
          <w:bCs w:val="0"/>
          <w:color w:val="auto"/>
          <w:lang w:val="en-US" w:eastAsia="zh-CN"/>
        </w:rPr>
        <w:t>对天原股份现有ESG信息披露的分析表明，公司近年来在披露内容和治理安排上已有一定基础，但仍有若干环节需要完善。范围三排放目前尚未量化披露，减排目标在长期连续性和绝对量约束方面仍显不足，环境数据与财务信息之间的联系也不够紧密；整份ESG报告缺少独立第三方鉴证，外部使用者能够获得的验证信息较为有限；现有ESG管治架构虽然已经形成基本层级，但专业分工、统筹协调及绩效约束覆盖范围仍有进一步细化空间；气候风险披露则更多停留在识别和定性说明层面，对挑战性事项及其财务影响的量化呈现仍不充分。</w:t>
      </w:r>
    </w:p>
    <w:p w14:paraId="2FEFD407">
      <w:pPr>
        <w:keepNext w:val="0"/>
        <w:keepLines w:val="0"/>
        <w:pageBreakBefore w:val="0"/>
        <w:widowControl w:val="0"/>
        <w:kinsoku/>
        <w:wordWrap/>
        <w:overflowPunct/>
        <w:topLinePunct w:val="0"/>
        <w:autoSpaceDE/>
        <w:autoSpaceDN/>
        <w:bidi w:val="0"/>
        <w:adjustRightInd/>
        <w:snapToGrid w:val="0"/>
        <w:ind w:left="0" w:leftChars="0" w:firstLine="480" w:firstLineChars="200"/>
        <w:textAlignment w:val="auto"/>
        <w:rPr>
          <w:rFonts w:hint="eastAsia" w:ascii="宋体" w:hAnsi="宋体" w:eastAsia="宋体" w:cs="宋体"/>
          <w:b w:val="0"/>
          <w:bCs w:val="0"/>
          <w:color w:val="auto"/>
          <w:lang w:val="en-US" w:eastAsia="zh-CN"/>
        </w:rPr>
      </w:pPr>
      <w:r>
        <w:rPr>
          <w:rFonts w:hint="eastAsia" w:ascii="宋体" w:hAnsi="宋体" w:eastAsia="宋体" w:cs="宋体"/>
          <w:b w:val="0"/>
          <w:bCs w:val="0"/>
          <w:color w:val="auto"/>
          <w:lang w:val="en-US" w:eastAsia="zh-CN"/>
        </w:rPr>
        <w:t>这些问题说明，天原股份ESG信息披露质量的提升不能只依赖增加披露内容，还需要同步完善数据基础、鉴证机制、治理安排和财务关联。碳排放管理方面，可通过会计导向的企业碳账户加强核算边界、数据归集及业财衔接，并把减排目标逐步延伸至中长期；对关键ESG数据，可引入独立第三方鉴证并明确鉴证对象、程序、范围和保证水平；在现有三级治理架构基础上，还应加强专业化分工和跨部门协同，并扩大ESG目标进入绩效考核的范围。对于气候风险，则可结合情景分析、财务指标映射和敏感性测算，使相关风险信息与经营成本、资本支出及其他财务指标形成更清晰的对应关系。</w:t>
      </w:r>
    </w:p>
    <w:p w14:paraId="2FF0FFB0">
      <w:pPr>
        <w:keepNext w:val="0"/>
        <w:keepLines w:val="0"/>
        <w:pageBreakBefore w:val="0"/>
        <w:widowControl w:val="0"/>
        <w:kinsoku/>
        <w:wordWrap/>
        <w:overflowPunct/>
        <w:topLinePunct w:val="0"/>
        <w:autoSpaceDE/>
        <w:autoSpaceDN/>
        <w:bidi w:val="0"/>
        <w:adjustRightInd/>
        <w:snapToGrid w:val="0"/>
        <w:ind w:left="0" w:leftChars="0" w:firstLine="480" w:firstLineChars="200"/>
        <w:textAlignment w:val="auto"/>
        <w:rPr>
          <w:rFonts w:hint="eastAsia" w:ascii="宋体" w:hAnsi="宋体" w:eastAsia="宋体" w:cs="宋体"/>
          <w:b w:val="0"/>
          <w:bCs w:val="0"/>
          <w:color w:val="auto"/>
          <w:lang w:val="en-US" w:eastAsia="zh-CN"/>
        </w:rPr>
      </w:pPr>
      <w:r>
        <w:rPr>
          <w:rFonts w:hint="eastAsia" w:ascii="宋体" w:hAnsi="宋体" w:eastAsia="宋体" w:cs="宋体"/>
          <w:b w:val="0"/>
          <w:bCs w:val="0"/>
          <w:color w:val="auto"/>
          <w:lang w:val="en-US" w:eastAsia="zh-CN"/>
        </w:rPr>
        <w:t>受研究条件限制，本文主要依据企业公开报告和单一案例作出判断，部分内部数据归集方式、责任分工及实际运行情况无法直接观察，因此有关分析仍应限定在公开披露层面。气候风险量化部分采用的也是简化敏感性测算，不能替代企业实际履约成本或完整情景分析。今后若能获得更丰富的企业层面数据，可进一步扩大化工企业样本，对不同企业的ESG披露质量进行比较，并继续考察气候风险、第三方鉴证与企业财务表现之间的关系。</w:t>
      </w:r>
    </w:p>
    <w:p w14:paraId="1F798FDC">
      <w:pPr>
        <w:keepNext w:val="0"/>
        <w:keepLines w:val="0"/>
        <w:pageBreakBefore w:val="0"/>
        <w:widowControl w:val="0"/>
        <w:kinsoku/>
        <w:wordWrap/>
        <w:overflowPunct/>
        <w:topLinePunct w:val="0"/>
        <w:autoSpaceDE/>
        <w:autoSpaceDN/>
        <w:bidi w:val="0"/>
        <w:adjustRightInd/>
        <w:snapToGrid w:val="0"/>
        <w:ind w:left="0" w:leftChars="0" w:firstLine="480" w:firstLineChars="200"/>
        <w:textAlignment w:val="auto"/>
        <w:rPr>
          <w:rFonts w:hint="eastAsia" w:ascii="宋体" w:hAnsi="宋体" w:eastAsia="宋体" w:cs="宋体"/>
          <w:b w:val="0"/>
          <w:bCs w:val="0"/>
          <w:color w:val="auto"/>
          <w:lang w:val="en-US" w:eastAsia="zh-CN"/>
        </w:rPr>
      </w:pPr>
      <w:r>
        <w:rPr>
          <w:rFonts w:hint="eastAsia" w:ascii="宋体" w:hAnsi="宋体" w:eastAsia="宋体" w:cs="宋体"/>
          <w:b w:val="0"/>
          <w:bCs w:val="0"/>
          <w:color w:val="auto"/>
          <w:lang w:val="en-US" w:eastAsia="zh-CN"/>
        </w:rPr>
        <w:br w:type="page"/>
      </w:r>
    </w:p>
    <w:p w14:paraId="1E9BA3B0">
      <w:pPr>
        <w:pStyle w:val="5"/>
        <w:keepNext/>
        <w:keepLines w:val="0"/>
        <w:pageBreakBefore w:val="0"/>
        <w:widowControl w:val="0"/>
        <w:numPr>
          <w:ilvl w:val="3"/>
          <w:numId w:val="0"/>
        </w:numPr>
        <w:kinsoku/>
        <w:wordWrap/>
        <w:overflowPunct/>
        <w:topLinePunct w:val="0"/>
        <w:autoSpaceDE/>
        <w:autoSpaceDN/>
        <w:bidi w:val="0"/>
        <w:adjustRightInd w:val="0"/>
        <w:snapToGrid w:val="0"/>
        <w:ind w:leftChars="0" w:firstLine="482" w:firstLineChars="200"/>
        <w:textAlignment w:val="auto"/>
        <w:rPr>
          <w:rFonts w:hint="eastAsia" w:ascii="宋体" w:hAnsi="宋体" w:eastAsia="宋体" w:cs="宋体"/>
          <w:color w:val="auto"/>
          <w:lang w:val="en-US" w:eastAsia="zh-CN"/>
        </w:rPr>
      </w:pPr>
      <w:bookmarkStart w:id="131" w:name="_Toc9019"/>
      <w:r>
        <w:rPr>
          <w:rFonts w:hint="eastAsia" w:ascii="宋体" w:hAnsi="宋体" w:eastAsia="宋体" w:cs="宋体"/>
          <w:color w:val="auto"/>
          <w:lang w:val="en-US" w:eastAsia="zh-CN"/>
        </w:rPr>
        <w:t>参考文献</w:t>
      </w:r>
      <w:bookmarkEnd w:id="131"/>
    </w:p>
    <w:p w14:paraId="6B25838F">
      <w:pPr>
        <w:pStyle w:val="25"/>
        <w:numPr>
          <w:ilvl w:val="0"/>
          <w:numId w:val="2"/>
        </w:numPr>
        <w:bidi w:val="0"/>
        <w:ind w:left="0" w:leftChars="0" w:firstLine="0" w:firstLineChars="0"/>
        <w:rPr>
          <w:rFonts w:hint="eastAsia" w:ascii="宋体" w:hAnsi="宋体" w:eastAsia="宋体" w:cs="宋体"/>
          <w:color w:val="auto"/>
          <w:lang w:val="en-US" w:eastAsia="zh-CN"/>
        </w:rPr>
      </w:pPr>
      <w:bookmarkStart w:id="132" w:name="_Ref9073"/>
      <w:r>
        <w:rPr>
          <w:rFonts w:hint="eastAsia" w:ascii="宋体" w:hAnsi="宋体" w:eastAsia="宋体" w:cs="宋体"/>
          <w:color w:val="auto"/>
          <w:lang w:val="en-US" w:eastAsia="zh-CN"/>
        </w:rPr>
        <w:t>DOWNAR B, ERNSTBERGER J, REICHELSTEIN S, et al. The impact of carbon disclosure mandates on emissions and financial operating performance[J]. Review of Accounting Studies, 2021, 26(3): 1137-1175.</w:t>
      </w:r>
      <w:bookmarkEnd w:id="132"/>
    </w:p>
    <w:p w14:paraId="54BCF762">
      <w:pPr>
        <w:pStyle w:val="25"/>
        <w:numPr>
          <w:ilvl w:val="0"/>
          <w:numId w:val="2"/>
        </w:numPr>
        <w:bidi w:val="0"/>
        <w:ind w:left="0" w:leftChars="0" w:firstLine="0" w:firstLineChars="0"/>
        <w:rPr>
          <w:rFonts w:hint="eastAsia" w:ascii="宋体" w:hAnsi="宋体" w:eastAsia="宋体" w:cs="宋体"/>
          <w:color w:val="auto"/>
          <w:lang w:val="en-US" w:eastAsia="zh-CN"/>
        </w:rPr>
      </w:pPr>
      <w:bookmarkStart w:id="133" w:name="_Ref9311"/>
      <w:r>
        <w:rPr>
          <w:rFonts w:hint="eastAsia" w:ascii="宋体" w:hAnsi="宋体" w:eastAsia="宋体" w:cs="宋体"/>
          <w:color w:val="auto"/>
          <w:lang w:val="en-US" w:eastAsia="zh-CN"/>
        </w:rPr>
        <w:t>CHRISTENSEN H B, HAIL L, LEUZ C. Mandatory CSR and sustainability reporting: economic analysis and literature review[J]. Review of Accounting Studies, 2021, 26(3): 1176-1248.</w:t>
      </w:r>
      <w:bookmarkEnd w:id="133"/>
    </w:p>
    <w:p w14:paraId="0371F313">
      <w:pPr>
        <w:pStyle w:val="25"/>
        <w:numPr>
          <w:ilvl w:val="0"/>
          <w:numId w:val="2"/>
        </w:numPr>
        <w:bidi w:val="0"/>
        <w:ind w:left="0" w:leftChars="0" w:firstLine="0" w:firstLineChars="0"/>
        <w:rPr>
          <w:rFonts w:hint="eastAsia" w:ascii="宋体" w:hAnsi="宋体" w:eastAsia="宋体" w:cs="宋体"/>
          <w:color w:val="auto"/>
          <w:lang w:val="en-US" w:eastAsia="zh-CN"/>
        </w:rPr>
      </w:pPr>
      <w:bookmarkStart w:id="134" w:name="_Ref9337"/>
      <w:r>
        <w:rPr>
          <w:rFonts w:hint="eastAsia" w:ascii="宋体" w:hAnsi="宋体" w:eastAsia="宋体" w:cs="宋体"/>
          <w:color w:val="auto"/>
          <w:lang w:val="en-US" w:eastAsia="zh-CN"/>
        </w:rPr>
        <w:t>陆园园.我国上市公司ESG表现对企业价值的影响研究[D].北京:对外经济贸易大学,2023.</w:t>
      </w:r>
      <w:bookmarkEnd w:id="134"/>
    </w:p>
    <w:p w14:paraId="0E62B270">
      <w:pPr>
        <w:pStyle w:val="25"/>
        <w:numPr>
          <w:ilvl w:val="0"/>
          <w:numId w:val="2"/>
        </w:numPr>
        <w:bidi w:val="0"/>
        <w:ind w:left="0" w:leftChars="0" w:firstLine="0" w:firstLineChars="0"/>
        <w:rPr>
          <w:rFonts w:hint="eastAsia" w:ascii="宋体" w:hAnsi="宋体" w:eastAsia="宋体" w:cs="宋体"/>
          <w:color w:val="auto"/>
          <w:lang w:val="en-US" w:eastAsia="zh-CN"/>
        </w:rPr>
      </w:pPr>
      <w:bookmarkStart w:id="135" w:name="_Ref9360"/>
      <w:r>
        <w:rPr>
          <w:rFonts w:hint="eastAsia" w:ascii="宋体" w:hAnsi="宋体" w:eastAsia="宋体" w:cs="宋体"/>
          <w:color w:val="auto"/>
          <w:lang w:val="en-US" w:eastAsia="zh-CN"/>
        </w:rPr>
        <w:t>徐光华,卓瑶瑶,张艺萌,等.ESG信息披露会提高企业价值吗？[J].财会通讯,2022(04):33-37.</w:t>
      </w:r>
      <w:bookmarkEnd w:id="135"/>
    </w:p>
    <w:p w14:paraId="25DEBCF4">
      <w:pPr>
        <w:pStyle w:val="25"/>
        <w:numPr>
          <w:ilvl w:val="0"/>
          <w:numId w:val="2"/>
        </w:numPr>
        <w:bidi w:val="0"/>
        <w:ind w:left="0" w:leftChars="0" w:firstLine="0" w:firstLineChars="0"/>
        <w:rPr>
          <w:rFonts w:hint="eastAsia" w:ascii="宋体" w:hAnsi="宋体" w:eastAsia="宋体" w:cs="宋体"/>
          <w:color w:val="auto"/>
          <w:lang w:val="en-US" w:eastAsia="zh-CN"/>
        </w:rPr>
      </w:pPr>
      <w:bookmarkStart w:id="136" w:name="_Ref9438"/>
      <w:r>
        <w:rPr>
          <w:rFonts w:hint="eastAsia" w:ascii="宋体" w:hAnsi="宋体" w:eastAsia="宋体" w:cs="宋体"/>
          <w:color w:val="auto"/>
          <w:lang w:val="en-US" w:eastAsia="zh-CN"/>
        </w:rPr>
        <w:t>郑彬.双碳目标下化工企业ESG实践对绩效的影响[D].大连:东北财经大学,2024.</w:t>
      </w:r>
      <w:bookmarkEnd w:id="136"/>
    </w:p>
    <w:p w14:paraId="23E32B75">
      <w:pPr>
        <w:pStyle w:val="25"/>
        <w:numPr>
          <w:ilvl w:val="0"/>
          <w:numId w:val="2"/>
        </w:numPr>
        <w:bidi w:val="0"/>
        <w:ind w:left="0" w:leftChars="0" w:firstLine="0" w:firstLineChars="0"/>
        <w:rPr>
          <w:rFonts w:hint="eastAsia" w:ascii="宋体" w:hAnsi="宋体" w:eastAsia="宋体" w:cs="宋体"/>
          <w:color w:val="auto"/>
          <w:lang w:val="en-US" w:eastAsia="zh-CN"/>
        </w:rPr>
      </w:pPr>
      <w:bookmarkStart w:id="137" w:name="_Ref9474"/>
      <w:r>
        <w:rPr>
          <w:rFonts w:hint="eastAsia" w:ascii="宋体" w:hAnsi="宋体" w:eastAsia="宋体" w:cs="宋体"/>
          <w:color w:val="auto"/>
          <w:lang w:val="en-US" w:eastAsia="zh-CN"/>
        </w:rPr>
        <w:t>谭劲松,黄仁玉,张京心.ESG表现与企业风险-基于资源获取视角的解释[J].管理科学,2022,35(05):3-18.</w:t>
      </w:r>
      <w:bookmarkEnd w:id="137"/>
    </w:p>
    <w:p w14:paraId="145B071F">
      <w:pPr>
        <w:pStyle w:val="25"/>
        <w:numPr>
          <w:ilvl w:val="0"/>
          <w:numId w:val="2"/>
        </w:numPr>
        <w:bidi w:val="0"/>
        <w:ind w:left="0" w:leftChars="0" w:firstLine="0" w:firstLineChars="0"/>
        <w:rPr>
          <w:rFonts w:hint="eastAsia" w:ascii="宋体" w:hAnsi="宋体" w:eastAsia="宋体" w:cs="宋体"/>
          <w:color w:val="auto"/>
          <w:lang w:val="en-US" w:eastAsia="zh-CN"/>
        </w:rPr>
      </w:pPr>
      <w:bookmarkStart w:id="138" w:name="_Ref9523"/>
      <w:r>
        <w:rPr>
          <w:rFonts w:hint="eastAsia" w:ascii="宋体" w:hAnsi="宋体" w:eastAsia="宋体" w:cs="宋体"/>
          <w:color w:val="auto"/>
          <w:lang w:val="en-US" w:eastAsia="zh-CN"/>
        </w:rPr>
        <w:t>胡洁.ESG推动新质生产力发展的理论逻辑与实现路径[J].企业经济,2025,44(02):5-14.</w:t>
      </w:r>
      <w:bookmarkEnd w:id="138"/>
    </w:p>
    <w:p w14:paraId="01B97F32">
      <w:pPr>
        <w:pStyle w:val="25"/>
        <w:numPr>
          <w:ilvl w:val="0"/>
          <w:numId w:val="2"/>
        </w:numPr>
        <w:bidi w:val="0"/>
        <w:ind w:left="0" w:leftChars="0" w:firstLine="0" w:firstLineChars="0"/>
        <w:rPr>
          <w:rFonts w:hint="eastAsia" w:ascii="宋体" w:hAnsi="宋体" w:eastAsia="宋体" w:cs="宋体"/>
          <w:color w:val="auto"/>
          <w:lang w:val="en-US" w:eastAsia="zh-CN"/>
        </w:rPr>
      </w:pPr>
      <w:bookmarkStart w:id="139" w:name="_Ref9559"/>
      <w:r>
        <w:rPr>
          <w:rFonts w:hint="eastAsia" w:ascii="宋体" w:hAnsi="宋体" w:eastAsia="宋体" w:cs="宋体"/>
          <w:color w:val="auto"/>
          <w:lang w:val="en-US" w:eastAsia="zh-CN"/>
        </w:rPr>
        <w:t>谭瑾,徐光伟.“双轮”驱动下环境规制差异与企业绿色创新——基于信号传递理论[J].软科学,2023,37(11):99-106.</w:t>
      </w:r>
      <w:bookmarkEnd w:id="139"/>
    </w:p>
    <w:p w14:paraId="749B922C">
      <w:pPr>
        <w:pStyle w:val="25"/>
        <w:numPr>
          <w:ilvl w:val="0"/>
          <w:numId w:val="2"/>
        </w:numPr>
        <w:bidi w:val="0"/>
        <w:ind w:left="0" w:leftChars="0" w:firstLine="0" w:firstLineChars="0"/>
        <w:rPr>
          <w:rFonts w:hint="eastAsia" w:ascii="宋体" w:hAnsi="宋体" w:eastAsia="宋体" w:cs="宋体"/>
          <w:color w:val="auto"/>
          <w:lang w:val="en-US" w:eastAsia="zh-CN"/>
        </w:rPr>
      </w:pPr>
      <w:bookmarkStart w:id="140" w:name="_Ref21546"/>
      <w:r>
        <w:rPr>
          <w:rFonts w:hint="eastAsia" w:ascii="宋体" w:hAnsi="宋体" w:eastAsia="宋体" w:cs="宋体"/>
          <w:color w:val="auto"/>
          <w:lang w:val="en-US" w:eastAsia="zh-CN"/>
        </w:rPr>
        <w:t>宜宾天原集团股份有限公司.宜宾天原集团股份有限公司2023年年度报告[R].宜宾:宜宾天原集团股份有限公司,2024.</w:t>
      </w:r>
      <w:bookmarkEnd w:id="140"/>
    </w:p>
    <w:p w14:paraId="4C72D52F">
      <w:pPr>
        <w:pStyle w:val="25"/>
        <w:numPr>
          <w:ilvl w:val="0"/>
          <w:numId w:val="2"/>
        </w:numPr>
        <w:bidi w:val="0"/>
        <w:ind w:left="0" w:leftChars="0" w:firstLine="0" w:firstLineChars="0"/>
        <w:rPr>
          <w:rFonts w:hint="eastAsia" w:ascii="宋体" w:hAnsi="宋体" w:eastAsia="宋体" w:cs="宋体"/>
          <w:color w:val="auto"/>
          <w:lang w:val="en-US" w:eastAsia="zh-CN"/>
        </w:rPr>
      </w:pPr>
      <w:bookmarkStart w:id="141" w:name="_Ref9585"/>
      <w:r>
        <w:rPr>
          <w:rFonts w:hint="eastAsia" w:ascii="宋体" w:hAnsi="宋体" w:eastAsia="宋体" w:cs="宋体"/>
          <w:color w:val="auto"/>
          <w:lang w:val="en-US" w:eastAsia="zh-CN"/>
        </w:rPr>
        <w:t>宜宾天原集团股份有限公司.天原股份2024年度环境、社会及治理（ESG）报告[R].宜宾:宜宾天原集团股份有限公司,2025.</w:t>
      </w:r>
      <w:bookmarkEnd w:id="141"/>
    </w:p>
    <w:p w14:paraId="565F0FF6">
      <w:pPr>
        <w:pStyle w:val="25"/>
        <w:numPr>
          <w:ilvl w:val="0"/>
          <w:numId w:val="2"/>
        </w:numPr>
        <w:bidi w:val="0"/>
        <w:ind w:left="0" w:leftChars="0" w:firstLine="0" w:firstLineChars="0"/>
        <w:rPr>
          <w:rFonts w:hint="eastAsia" w:ascii="宋体" w:hAnsi="宋体" w:eastAsia="宋体" w:cs="宋体"/>
          <w:color w:val="auto"/>
          <w:lang w:val="en-US" w:eastAsia="zh-CN"/>
        </w:rPr>
      </w:pPr>
      <w:bookmarkStart w:id="142" w:name="_Ref9621"/>
      <w:r>
        <w:rPr>
          <w:rFonts w:hint="eastAsia" w:ascii="宋体" w:hAnsi="宋体" w:eastAsia="宋体" w:cs="宋体"/>
          <w:color w:val="auto"/>
          <w:lang w:val="en-US" w:eastAsia="zh-CN"/>
        </w:rPr>
        <w:t>宜宾天原集团股份有限公司.天原股份2021社会责任报告[R].宜宾:宜宾天原集团股份有限公司,2022.</w:t>
      </w:r>
      <w:bookmarkEnd w:id="142"/>
    </w:p>
    <w:p w14:paraId="2D099FD9">
      <w:pPr>
        <w:pStyle w:val="25"/>
        <w:numPr>
          <w:ilvl w:val="0"/>
          <w:numId w:val="2"/>
        </w:numPr>
        <w:bidi w:val="0"/>
        <w:ind w:left="0" w:leftChars="0" w:firstLine="0" w:firstLineChars="0"/>
        <w:rPr>
          <w:rFonts w:hint="eastAsia" w:ascii="宋体" w:hAnsi="宋体" w:eastAsia="宋体" w:cs="宋体"/>
          <w:color w:val="auto"/>
          <w:lang w:val="en-US" w:eastAsia="zh-CN"/>
        </w:rPr>
      </w:pPr>
      <w:bookmarkStart w:id="143" w:name="_Ref9644"/>
      <w:r>
        <w:rPr>
          <w:rFonts w:hint="eastAsia" w:ascii="宋体" w:hAnsi="宋体" w:eastAsia="宋体" w:cs="宋体"/>
          <w:color w:val="auto"/>
          <w:lang w:val="en-US" w:eastAsia="zh-CN"/>
        </w:rPr>
        <w:t>宜宾天原集团股份有限公司.天原股份2022年度环境、社会及治理（ESG）报告[R].宜宾:宜宾天原集团股份有限公司,2023.</w:t>
      </w:r>
      <w:bookmarkEnd w:id="143"/>
    </w:p>
    <w:p w14:paraId="233840FA">
      <w:pPr>
        <w:pStyle w:val="25"/>
        <w:numPr>
          <w:ilvl w:val="0"/>
          <w:numId w:val="2"/>
        </w:numPr>
        <w:bidi w:val="0"/>
        <w:ind w:left="0" w:leftChars="0" w:firstLine="0" w:firstLineChars="0"/>
        <w:rPr>
          <w:rFonts w:hint="eastAsia" w:ascii="宋体" w:hAnsi="宋体" w:eastAsia="宋体" w:cs="宋体"/>
          <w:color w:val="auto"/>
          <w:lang w:val="en-US" w:eastAsia="zh-CN"/>
        </w:rPr>
      </w:pPr>
      <w:bookmarkStart w:id="144" w:name="_Ref9667"/>
      <w:r>
        <w:rPr>
          <w:rFonts w:hint="eastAsia" w:ascii="宋体" w:hAnsi="宋体" w:eastAsia="宋体" w:cs="宋体"/>
          <w:color w:val="auto"/>
          <w:lang w:val="en-US" w:eastAsia="zh-CN"/>
        </w:rPr>
        <w:t>宜宾天原集团股份有限公司.天原股份2023年度环境、社会及治理（ESG）报告[R].宜宾:宜宾天原集团股份有限公司,2024.</w:t>
      </w:r>
      <w:bookmarkEnd w:id="144"/>
    </w:p>
    <w:p w14:paraId="1F8D80F0">
      <w:pPr>
        <w:pStyle w:val="25"/>
        <w:numPr>
          <w:ilvl w:val="0"/>
          <w:numId w:val="2"/>
        </w:numPr>
        <w:bidi w:val="0"/>
        <w:ind w:left="0" w:leftChars="0" w:firstLine="0" w:firstLineChars="0"/>
        <w:rPr>
          <w:rFonts w:hint="eastAsia" w:ascii="宋体" w:hAnsi="宋体" w:eastAsia="宋体" w:cs="宋体"/>
          <w:color w:val="auto"/>
          <w:lang w:val="en-US" w:eastAsia="zh-CN"/>
        </w:rPr>
      </w:pPr>
      <w:bookmarkStart w:id="145" w:name="_Ref9729"/>
      <w:r>
        <w:rPr>
          <w:rFonts w:hint="eastAsia" w:ascii="宋体" w:hAnsi="宋体" w:eastAsia="宋体" w:cs="宋体"/>
          <w:color w:val="auto"/>
          <w:lang w:val="en-US" w:eastAsia="zh-CN"/>
        </w:rPr>
        <w:t>宜宾天原集团股份有限公司.宜宾天原集团股份有限公司2025年半年度报告[R].宜宾:宜宾天原集团股份有限公司,2025.</w:t>
      </w:r>
      <w:bookmarkEnd w:id="145"/>
    </w:p>
    <w:p w14:paraId="5D69E593">
      <w:pPr>
        <w:pStyle w:val="25"/>
        <w:numPr>
          <w:ilvl w:val="0"/>
          <w:numId w:val="2"/>
        </w:numPr>
        <w:bidi w:val="0"/>
        <w:ind w:left="0" w:leftChars="0" w:firstLine="0" w:firstLineChars="0"/>
        <w:rPr>
          <w:rFonts w:hint="eastAsia" w:ascii="宋体" w:hAnsi="宋体" w:eastAsia="宋体" w:cs="宋体"/>
          <w:color w:val="auto"/>
          <w:lang w:val="en-US" w:eastAsia="zh-CN"/>
        </w:rPr>
      </w:pPr>
      <w:bookmarkStart w:id="146" w:name="_Ref9755"/>
      <w:r>
        <w:rPr>
          <w:rFonts w:hint="eastAsia" w:ascii="宋体" w:hAnsi="宋体" w:eastAsia="宋体" w:cs="宋体"/>
          <w:color w:val="auto"/>
          <w:lang w:val="en-US" w:eastAsia="zh-CN"/>
        </w:rPr>
        <w:t>王宇熹.ESG投资中的“漂绿”风险耦合机理与监管对策[J].财会月刊,2024,45(06):123-129.</w:t>
      </w:r>
      <w:bookmarkEnd w:id="146"/>
    </w:p>
    <w:p w14:paraId="5273936B">
      <w:pPr>
        <w:pStyle w:val="25"/>
        <w:numPr>
          <w:ilvl w:val="0"/>
          <w:numId w:val="2"/>
        </w:numPr>
        <w:bidi w:val="0"/>
        <w:ind w:left="0" w:leftChars="0" w:firstLine="0" w:firstLineChars="0"/>
        <w:rPr>
          <w:rFonts w:hint="eastAsia" w:ascii="宋体" w:hAnsi="宋体" w:eastAsia="宋体" w:cs="宋体"/>
          <w:color w:val="auto"/>
          <w:lang w:val="en-US" w:eastAsia="zh-CN"/>
        </w:rPr>
      </w:pPr>
      <w:bookmarkStart w:id="147" w:name="_Ref9925"/>
      <w:r>
        <w:rPr>
          <w:rFonts w:hint="eastAsia" w:ascii="宋体" w:hAnsi="宋体" w:eastAsia="宋体" w:cs="宋体"/>
          <w:color w:val="auto"/>
          <w:lang w:val="en-US" w:eastAsia="zh-CN"/>
        </w:rPr>
        <w:t>宁德时代新能源科技股份有限公司.宁德时代2024年度环境、社会及治理（ESG）报告[R].宁德:宁德时代新能源科技股份有限公司,2025.</w:t>
      </w:r>
      <w:bookmarkEnd w:id="147"/>
    </w:p>
    <w:p w14:paraId="3C9FCD21">
      <w:pPr>
        <w:pStyle w:val="25"/>
        <w:numPr>
          <w:ilvl w:val="0"/>
          <w:numId w:val="2"/>
        </w:numPr>
        <w:bidi w:val="0"/>
        <w:ind w:left="0" w:leftChars="0" w:firstLine="0" w:firstLineChars="0"/>
        <w:rPr>
          <w:rFonts w:hint="eastAsia" w:ascii="宋体" w:hAnsi="宋体" w:eastAsia="宋体" w:cs="宋体"/>
          <w:color w:val="auto"/>
          <w:lang w:val="en-US" w:eastAsia="zh-CN"/>
        </w:rPr>
      </w:pPr>
      <w:bookmarkStart w:id="148" w:name="_Ref10020"/>
      <w:r>
        <w:rPr>
          <w:rFonts w:hint="eastAsia" w:ascii="宋体" w:hAnsi="宋体" w:eastAsia="宋体" w:cs="宋体"/>
          <w:color w:val="auto"/>
          <w:lang w:val="en-US" w:eastAsia="zh-CN"/>
        </w:rPr>
        <w:t>万华化学集团股份有限公司.万华化学2024年度环境、社会及治理(ESG)报告[R].烟台:万华化学集团股份有限公司,2025.</w:t>
      </w:r>
      <w:bookmarkEnd w:id="148"/>
    </w:p>
    <w:p w14:paraId="6F30A60C">
      <w:pPr>
        <w:pStyle w:val="25"/>
        <w:numPr>
          <w:ilvl w:val="0"/>
          <w:numId w:val="2"/>
        </w:numPr>
        <w:bidi w:val="0"/>
        <w:ind w:left="0" w:leftChars="0" w:firstLine="0" w:firstLineChars="0"/>
        <w:rPr>
          <w:rFonts w:hint="eastAsia" w:ascii="宋体" w:hAnsi="宋体" w:eastAsia="宋体" w:cs="宋体"/>
          <w:color w:val="auto"/>
          <w:lang w:val="en-US" w:eastAsia="zh-CN"/>
        </w:rPr>
      </w:pPr>
      <w:bookmarkStart w:id="149" w:name="_Ref10085"/>
      <w:r>
        <w:rPr>
          <w:rFonts w:hint="eastAsia" w:ascii="宋体" w:hAnsi="宋体" w:eastAsia="宋体" w:cs="宋体"/>
          <w:color w:val="auto"/>
          <w:lang w:val="en-US" w:eastAsia="zh-CN"/>
        </w:rPr>
        <w:t>陈智,冯慧,杨金凤,等.快递业ESG信息披露质量评价——以顺丰控股为例[J].财会月刊,2022(12):120-127.</w:t>
      </w:r>
      <w:bookmarkEnd w:id="149"/>
    </w:p>
    <w:p w14:paraId="72DE1DF4">
      <w:pPr>
        <w:pStyle w:val="25"/>
        <w:numPr>
          <w:ilvl w:val="0"/>
          <w:numId w:val="2"/>
        </w:numPr>
        <w:bidi w:val="0"/>
        <w:ind w:left="0" w:leftChars="0" w:firstLine="0" w:firstLineChars="0"/>
        <w:rPr>
          <w:rFonts w:hint="eastAsia" w:ascii="宋体" w:hAnsi="宋体" w:eastAsia="宋体" w:cs="宋体"/>
          <w:color w:val="auto"/>
          <w:lang w:val="en-US" w:eastAsia="zh-CN"/>
        </w:rPr>
      </w:pPr>
      <w:bookmarkStart w:id="150" w:name="_Ref10104"/>
      <w:r>
        <w:rPr>
          <w:rFonts w:hint="eastAsia" w:ascii="宋体" w:hAnsi="宋体" w:eastAsia="宋体" w:cs="宋体"/>
          <w:color w:val="auto"/>
          <w:lang w:val="en-US" w:eastAsia="zh-CN"/>
        </w:rPr>
        <w:t>徐张洋,奉雅娴,张丹.农业上市公司气候相关财务信息披露研究——基于TCFD框架[J].财会通讯,2022(18):24-27.</w:t>
      </w:r>
      <w:bookmarkEnd w:id="150"/>
    </w:p>
    <w:p w14:paraId="12BE4E08">
      <w:pPr>
        <w:pStyle w:val="25"/>
        <w:numPr>
          <w:ilvl w:val="0"/>
          <w:numId w:val="2"/>
        </w:numPr>
        <w:bidi w:val="0"/>
        <w:ind w:left="0" w:leftChars="0" w:firstLine="0" w:firstLineChars="0"/>
        <w:rPr>
          <w:rFonts w:hint="eastAsia" w:ascii="宋体" w:hAnsi="宋体" w:eastAsia="宋体" w:cs="宋体"/>
          <w:color w:val="auto"/>
          <w:lang w:val="en-US" w:eastAsia="zh-CN"/>
        </w:rPr>
      </w:pPr>
      <w:bookmarkStart w:id="151" w:name="_Ref28500"/>
      <w:r>
        <w:rPr>
          <w:rFonts w:hint="eastAsia" w:ascii="宋体" w:hAnsi="宋体" w:eastAsia="宋体" w:cs="宋体"/>
          <w:color w:val="auto"/>
          <w:lang w:val="en-US" w:eastAsia="zh-CN"/>
        </w:rPr>
        <w:t>GIPPER B, ROSS S, SHI S X. ESG assurance in the United States[J]. Review of Accounting Studies, 2025,30:1753-1803.</w:t>
      </w:r>
      <w:bookmarkEnd w:id="151"/>
    </w:p>
    <w:p w14:paraId="7F52DAEA">
      <w:pPr>
        <w:pStyle w:val="25"/>
        <w:numPr>
          <w:ilvl w:val="0"/>
          <w:numId w:val="2"/>
        </w:numPr>
        <w:bidi w:val="0"/>
        <w:ind w:left="0" w:leftChars="0" w:firstLine="0" w:firstLineChars="0"/>
        <w:rPr>
          <w:rFonts w:hint="eastAsia" w:ascii="宋体" w:hAnsi="宋体" w:eastAsia="宋体" w:cs="宋体"/>
          <w:color w:val="auto"/>
          <w:lang w:val="en-US" w:eastAsia="zh-CN"/>
        </w:rPr>
      </w:pPr>
      <w:bookmarkStart w:id="152" w:name="_Ref31932"/>
      <w:r>
        <w:rPr>
          <w:rFonts w:hint="eastAsia" w:ascii="宋体" w:hAnsi="宋体" w:eastAsia="宋体" w:cs="宋体"/>
          <w:color w:val="auto"/>
          <w:lang w:val="en-US" w:eastAsia="zh-CN"/>
        </w:rPr>
        <w:t>GEBHARDT M, SCHNEIDER A, SIEDLER F, et al. Climate reporting in the fast lane? The impact of corporate governance on the disclosure of climate-related risks and opportunities[J]. Business Strategy and the Environment, 2024,33(7):7253-7272.</w:t>
      </w:r>
      <w:bookmarkEnd w:id="152"/>
    </w:p>
    <w:p w14:paraId="24B2C96C">
      <w:pPr>
        <w:pStyle w:val="25"/>
        <w:numPr>
          <w:ilvl w:val="0"/>
          <w:numId w:val="2"/>
        </w:numPr>
        <w:bidi w:val="0"/>
        <w:ind w:left="0" w:leftChars="0" w:firstLine="0" w:firstLineChars="0"/>
        <w:rPr>
          <w:rFonts w:hint="eastAsia" w:ascii="宋体" w:hAnsi="宋体" w:eastAsia="宋体" w:cs="宋体"/>
          <w:color w:val="auto"/>
          <w:lang w:val="en-US" w:eastAsia="zh-CN"/>
        </w:rPr>
      </w:pPr>
      <w:bookmarkStart w:id="153" w:name="_Ref29585"/>
      <w:r>
        <w:rPr>
          <w:rFonts w:hint="eastAsia" w:ascii="宋体" w:hAnsi="宋体" w:eastAsia="宋体" w:cs="宋体"/>
          <w:color w:val="auto"/>
          <w:lang w:val="en-US" w:eastAsia="zh-CN"/>
        </w:rPr>
        <w:t>宜宾天原集团股份有限公司.宜宾天原集团股份有限公司202</w:t>
      </w:r>
      <w:r>
        <w:rPr>
          <w:rFonts w:hint="eastAsia" w:cs="宋体"/>
          <w:color w:val="auto"/>
          <w:lang w:val="en-US" w:eastAsia="zh-CN"/>
        </w:rPr>
        <w:t>4</w:t>
      </w:r>
      <w:r>
        <w:rPr>
          <w:rFonts w:hint="eastAsia" w:ascii="宋体" w:hAnsi="宋体" w:eastAsia="宋体" w:cs="宋体"/>
          <w:color w:val="auto"/>
          <w:lang w:val="en-US" w:eastAsia="zh-CN"/>
        </w:rPr>
        <w:t>年年度报告[R].宜宾:宜宾天原集团股份有限公司,202</w:t>
      </w:r>
      <w:r>
        <w:rPr>
          <w:rFonts w:hint="eastAsia" w:cs="宋体"/>
          <w:color w:val="auto"/>
          <w:lang w:val="en-US" w:eastAsia="zh-CN"/>
        </w:rPr>
        <w:t>5</w:t>
      </w:r>
      <w:r>
        <w:rPr>
          <w:rFonts w:hint="eastAsia" w:ascii="宋体" w:hAnsi="宋体" w:eastAsia="宋体" w:cs="宋体"/>
          <w:color w:val="auto"/>
          <w:lang w:val="en-US" w:eastAsia="zh-CN"/>
        </w:rPr>
        <w:t>.</w:t>
      </w:r>
      <w:bookmarkEnd w:id="153"/>
    </w:p>
    <w:p w14:paraId="5FCF38FC">
      <w:pPr>
        <w:pStyle w:val="25"/>
        <w:numPr>
          <w:ilvl w:val="0"/>
          <w:numId w:val="2"/>
        </w:numPr>
        <w:bidi w:val="0"/>
        <w:ind w:left="0" w:leftChars="0" w:firstLine="0" w:firstLineChars="0"/>
        <w:rPr>
          <w:rFonts w:hint="eastAsia" w:ascii="宋体" w:hAnsi="宋体" w:eastAsia="宋体" w:cs="宋体"/>
          <w:color w:val="auto"/>
          <w:lang w:val="en-US" w:eastAsia="zh-CN"/>
        </w:rPr>
      </w:pPr>
      <w:bookmarkStart w:id="154" w:name="_Ref13238"/>
      <w:r>
        <w:rPr>
          <w:rFonts w:hint="eastAsia" w:ascii="宋体" w:hAnsi="宋体" w:eastAsia="宋体" w:cs="宋体"/>
          <w:color w:val="auto"/>
          <w:lang w:val="en-US" w:eastAsia="zh-CN"/>
        </w:rPr>
        <w:t>宜宾天原集团股份有限公司.宜宾天原集团股份有限公司202</w:t>
      </w:r>
      <w:r>
        <w:rPr>
          <w:rFonts w:hint="eastAsia" w:cs="宋体"/>
          <w:color w:val="auto"/>
          <w:lang w:val="en-US" w:eastAsia="zh-CN"/>
        </w:rPr>
        <w:t>2</w:t>
      </w:r>
      <w:r>
        <w:rPr>
          <w:rFonts w:hint="eastAsia" w:ascii="宋体" w:hAnsi="宋体" w:eastAsia="宋体" w:cs="宋体"/>
          <w:color w:val="auto"/>
          <w:lang w:val="en-US" w:eastAsia="zh-CN"/>
        </w:rPr>
        <w:t>年年度报告[R].宜宾:宜宾天原集团股份有限公司,202</w:t>
      </w:r>
      <w:r>
        <w:rPr>
          <w:rFonts w:hint="eastAsia" w:cs="宋体"/>
          <w:color w:val="auto"/>
          <w:lang w:val="en-US" w:eastAsia="zh-CN"/>
        </w:rPr>
        <w:t>3</w:t>
      </w:r>
      <w:r>
        <w:rPr>
          <w:rFonts w:hint="eastAsia" w:ascii="宋体" w:hAnsi="宋体" w:eastAsia="宋体" w:cs="宋体"/>
          <w:color w:val="auto"/>
          <w:lang w:val="en-US" w:eastAsia="zh-CN"/>
        </w:rPr>
        <w:t>.</w:t>
      </w:r>
      <w:bookmarkEnd w:id="154"/>
    </w:p>
    <w:sectPr>
      <w:footerReference r:id="rId7" w:type="default"/>
      <w:pgSz w:w="11906" w:h="16838"/>
      <w:pgMar w:top="1417" w:right="1134" w:bottom="1417" w:left="1417" w:header="851" w:footer="992" w:gutter="0"/>
      <w:pgBorders>
        <w:top w:val="none" w:sz="0" w:space="0"/>
        <w:left w:val="none" w:sz="0" w:space="0"/>
        <w:bottom w:val="none" w:sz="0" w:space="0"/>
        <w:right w:val="none" w:sz="0" w:space="0"/>
      </w:pgBorders>
      <w:pgNumType w:fmt="decimal" w:start="2"/>
      <w:cols w:space="0" w:num="1"/>
      <w:rtlGutter w:val="0"/>
      <w:docGrid w:type="lines" w:linePitch="333"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仿宋">
    <w:panose1 w:val="02010609060101010101"/>
    <w:charset w:val="86"/>
    <w:family w:val="modern"/>
    <w:pitch w:val="default"/>
    <w:sig w:usb0="800002BF" w:usb1="38CF7CFA" w:usb2="00000016" w:usb3="00000000" w:csb0="00040001" w:csb1="00000000"/>
  </w:font>
  <w:font w:name="Wingdings 2">
    <w:altName w:val="宋体"/>
    <w:panose1 w:val="05020102010507070707"/>
    <w:charset w:val="02"/>
    <w:family w:val="roman"/>
    <w:pitch w:val="default"/>
    <w:sig w:usb0="00000000" w:usb1="00000000" w:usb2="00000000" w:usb3="00000000" w:csb0="80000000" w:csb1="00000000"/>
  </w:font>
  <w:font w:name="Kingsoft UE">
    <w:panose1 w:val="02000100010000000000"/>
    <w:charset w:val="00"/>
    <w:family w:val="auto"/>
    <w:pitch w:val="default"/>
    <w:sig w:usb0="00000001" w:usb1="00004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F018B">
    <w:pPr>
      <w:pStyle w:val="13"/>
      <w:ind w:left="0" w:leftChars="0" w:firstLine="0" w:firstLineChars="0"/>
      <w:jc w:val="center"/>
      <w:rPr>
        <w:rFonts w:hint="default" w:eastAsia="宋体"/>
        <w:lang w:val="en-US" w:eastAsia="zh-CN"/>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E53B8B">
                          <w:pPr>
                            <w:pStyle w:val="13"/>
                            <w:ind w:left="0" w:leftChars="0" w:firstLine="0" w:firstLineChars="0"/>
                            <w:rPr>
                              <w:rFonts w:hint="eastAsia" w:eastAsia="宋体"/>
                              <w:lang w:val="en-US" w:eastAsia="zh-C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3BE53B8B">
                    <w:pPr>
                      <w:pStyle w:val="13"/>
                      <w:ind w:left="0" w:leftChars="0" w:firstLine="0" w:firstLineChars="0"/>
                      <w:rPr>
                        <w:rFonts w:hint="eastAsia" w:eastAsia="宋体"/>
                        <w:lang w:val="en-US" w:eastAsia="zh-CN"/>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521E9">
    <w:pPr>
      <w:pStyle w:val="13"/>
      <w:ind w:left="0" w:leftChars="0" w:firstLine="0" w:firstLineChars="0"/>
      <w:jc w:val="center"/>
      <w:rPr>
        <w:rFonts w:hint="default" w:eastAsia="宋体"/>
        <w:lang w:val="en-US" w:eastAsia="zh-CN"/>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F069E9">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4F069E9">
                    <w:pPr>
                      <w:pStyle w:val="13"/>
                    </w:pPr>
                    <w:r>
                      <w:fldChar w:fldCharType="begin"/>
                    </w:r>
                    <w:r>
                      <w:instrText xml:space="preserve"> PAGE  \* MERGEFORMAT </w:instrText>
                    </w:r>
                    <w:r>
                      <w:fldChar w:fldCharType="separate"/>
                    </w:r>
                    <w:r>
                      <w:t>1</w:t>
                    </w:r>
                    <w:r>
                      <w:fldChar w:fldCharType="end"/>
                    </w:r>
                  </w:p>
                </w:txbxContent>
              </v:textbox>
            </v:shape>
          </w:pict>
        </mc:Fallback>
      </mc:AlternateContent>
    </w: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3D90F4">
                          <w:pPr>
                            <w:pStyle w:val="13"/>
                            <w:ind w:left="0" w:leftChars="0" w:firstLine="0" w:firstLineChars="0"/>
                            <w:rPr>
                              <w:rFonts w:hint="eastAsia" w:eastAsia="宋体"/>
                              <w:lang w:val="en-US" w:eastAsia="zh-C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03D90F4">
                    <w:pPr>
                      <w:pStyle w:val="13"/>
                      <w:ind w:left="0" w:leftChars="0" w:firstLine="0" w:firstLineChars="0"/>
                      <w:rPr>
                        <w:rFonts w:hint="eastAsia" w:eastAsia="宋体"/>
                        <w:lang w:val="en-US" w:eastAsia="zh-CN"/>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65196B">
    <w:pPr>
      <w:pStyle w:val="13"/>
      <w:ind w:left="0" w:leftChars="0" w:firstLine="0" w:firstLineChars="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49BE64">
                          <w:pPr>
                            <w:pStyle w:val="13"/>
                            <w:spacing w:line="240" w:lineRule="auto"/>
                            <w:ind w:left="0" w:leftChars="0" w:firstLine="0" w:firstLineChars="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D49BE64">
                    <w:pPr>
                      <w:pStyle w:val="13"/>
                      <w:spacing w:line="240" w:lineRule="auto"/>
                      <w:ind w:left="0" w:leftChars="0" w:firstLine="0" w:firstLineChars="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ED5F7F"/>
    <w:multiLevelType w:val="singleLevel"/>
    <w:tmpl w:val="A6ED5F7F"/>
    <w:lvl w:ilvl="0" w:tentative="0">
      <w:start w:val="1"/>
      <w:numFmt w:val="decimal"/>
      <w:suff w:val="nothing"/>
      <w:lvlText w:val="[%1]"/>
      <w:lvlJc w:val="left"/>
      <w:pPr>
        <w:tabs>
          <w:tab w:val="left" w:pos="0"/>
        </w:tabs>
        <w:ind w:left="0" w:leftChars="0" w:firstLine="0" w:firstLineChars="0"/>
      </w:pPr>
      <w:rPr>
        <w:rFonts w:hint="default"/>
      </w:rPr>
    </w:lvl>
  </w:abstractNum>
  <w:abstractNum w:abstractNumId="1">
    <w:nsid w:val="B0569078"/>
    <w:multiLevelType w:val="multilevel"/>
    <w:tmpl w:val="B0569078"/>
    <w:lvl w:ilvl="0" w:tentative="0">
      <w:start w:val="1"/>
      <w:numFmt w:val="chineseCounting"/>
      <w:pStyle w:val="2"/>
      <w:suff w:val="nothing"/>
      <w:lvlText w:val="%1、"/>
      <w:lvlJc w:val="left"/>
      <w:pPr>
        <w:tabs>
          <w:tab w:val="left" w:pos="0"/>
        </w:tabs>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0"/>
      </w:pPr>
      <w:rPr>
        <w:rFonts w:hint="eastAsia"/>
      </w:rPr>
    </w:lvl>
    <w:lvl w:ilvl="3" w:tentative="0">
      <w:start w:val="1"/>
      <w:numFmt w:val="decimal"/>
      <w:pStyle w:val="5"/>
      <w:suff w:val="nothing"/>
      <w:lvlText w:val="（%4）"/>
      <w:lvlJc w:val="left"/>
      <w:pPr>
        <w:ind w:left="0" w:firstLine="0"/>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bordersDoNotSurroundHeader w:val="0"/>
  <w:bordersDoNotSurroundFooter w:val="0"/>
  <w:documentProtection w:enforcement="0"/>
  <w:defaultTabStop w:val="0"/>
  <w:drawingGridVerticalSpacing w:val="16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NE.Ref{0082C83B-B382-46D4-AA71-EC0A50287E4C}" w:val=" ADDIN NE.Ref.{0082C83B-B382-46D4-AA71-EC0A50287E4C}&lt;Citation&gt;&lt;Group&gt;&lt;References&gt;&lt;Item&gt;&lt;ID&gt;59&lt;/ID&gt;&lt;UID&gt;{45E973CA-1E40-4C38-B606-3031BF890643}&lt;/UID&gt;&lt;Title&gt;ESG投资中的“漂绿”风险耦合机理与监管对策&lt;/Title&gt;&lt;Template&gt;Journal Article&lt;/Template&gt;&lt;Star&gt;1&lt;/Star&gt;&lt;Tag&gt;0&lt;/Tag&gt;&lt;Author&gt;王宇熹&lt;/Author&gt;&lt;Year&gt;2024&lt;/Year&gt;&lt;Details&gt;&lt;_accessed&gt;66378297&lt;/_accessed&gt;&lt;_author_adr&gt;上海师范大学全球城市研究院;&lt;/_author_adr&gt;&lt;_collection_scope&gt;PKU&lt;/_collection_scope&gt;&lt;_created&gt;66375291&lt;/_created&gt;&lt;_db_provider&gt;CNKI&lt;/_db_provider&gt;&lt;_doi&gt;10.19641/j.cnki.42-1290/f.2024.06.017&lt;/_doi&gt;&lt;_isbn&gt;1004-0994&lt;/_isbn&gt;&lt;_issue&gt;06&lt;/_issue&gt;&lt;_journal&gt;财会月刊&lt;/_journal&gt;&lt;_keywords&gt;漂绿;ESG;可持续投资;风险监管&lt;/_keywords&gt;&lt;_modified&gt;66378461&lt;/_modified&gt;&lt;_pages&gt;123-129&lt;/_pages&gt;&lt;_url&gt;https://link.cnki.net/doi/10.19641/j.cnki.42-1290/f.2024.06.017&lt;/_url&gt;&lt;_volume&gt;45&lt;/_volume&gt;&lt;_translated_author&gt;Wang, Yu xi&lt;/_translated_author&gt;&lt;/Details&gt;&lt;Extra&gt;&lt;DBUID&gt;{48F5BF10-E291-40E3-92E7-B7164C0E842C}&lt;/DBUID&gt;&lt;/Extra&gt;&lt;/Item&gt;&lt;/References&gt;&lt;/Group&gt;&lt;/Citation&gt;_x000a_"/>
    <w:docVar w:name="NE.Ref{02D255B1-112C-4DEC-9E43-BC70861B65F5}" w:val=" ADDIN NE.Ref.{02D255B1-112C-4DEC-9E43-BC70861B65F5}&lt;Citation&gt;&lt;Group&gt;&lt;References&gt;&lt;Item&gt;&lt;ID&gt;85&lt;/ID&gt;&lt;UID&gt;{D610EFF1-ABA8-47D0-84F8-16A3F4027D4A}&lt;/UID&gt;&lt;Title&gt;ESG推动新质生产力发展的理论逻辑与实现路径&lt;/Title&gt;&lt;Template&gt;Journal Article&lt;/Template&gt;&lt;Star&gt;1&lt;/Star&gt;&lt;Tag&gt;0&lt;/Tag&gt;&lt;Author&gt;胡洁&lt;/Author&gt;&lt;Year&gt;2025&lt;/Year&gt;&lt;Details&gt;&lt;_author_adr&gt;中国社会科学院数量经济与技术经济研究所;中国社会科学院大学应用经济学院;&lt;/_author_adr&gt;&lt;_collection_scope&gt;PKU&lt;/_collection_scope&gt;&lt;_created&gt;66378005&lt;/_created&gt;&lt;_db_provider&gt;CNKI&lt;/_db_provider&gt;&lt;_doi&gt;10.13529/j.cnki.enterprise.economy.2025.02.001&lt;/_doi&gt;&lt;_isbn&gt;1006-5024&lt;/_isbn&gt;&lt;_issue&gt;02&lt;/_issue&gt;&lt;_journal&gt;企业经济&lt;/_journal&gt;&lt;_keywords&gt;ESG;新质生产力;高质量发展;可持续发展&lt;/_keywords&gt;&lt;_modified&gt;66378461&lt;/_modified&gt;&lt;_pages&gt;5-14+2&lt;/_pages&gt;&lt;_url&gt;https://link.cnki.net/doi/10.13529/j.cnki.enterprise.economy.2025.02.001&lt;/_url&gt;&lt;_volume&gt;44&lt;/_volume&gt;&lt;_translated_author&gt;Hu, Jie&lt;/_translated_author&gt;&lt;/Details&gt;&lt;Extra&gt;&lt;DBUID&gt;{48F5BF10-E291-40E3-92E7-B7164C0E842C}&lt;/DBUID&gt;&lt;/Extra&gt;&lt;/Item&gt;&lt;/References&gt;&lt;/Group&gt;&lt;/Citation&gt;_x000a_"/>
    <w:docVar w:name="NE.Ref{0A64C642-D635-4772-B8D9-87BFF7ABA8EC}" w:val=" ADDIN NE.Ref.{0A64C642-D635-4772-B8D9-87BFF7ABA8EC}&lt;Citation&gt;&lt;Group&gt;&lt;References&gt;&lt;Item&gt;&lt;ID&gt;76&lt;/ID&gt;&lt;UID&gt;{B21D31BF-8585-4CD1-9C02-C0FB6D003115}&lt;/UID&gt;&lt;Title&gt;天原股份2023年度环境、社会及治理（ESG）报告&lt;/Title&gt;&lt;Template&gt;Report&lt;/Template&gt;&lt;Star&gt;1&lt;/Star&gt;&lt;Tag&gt;0&lt;/Tag&gt;&lt;Author&gt;宜宾天原集团股份有限公司&lt;/Author&gt;&lt;Year&gt;2024&lt;/Year&gt;&lt;Details&gt;&lt;_accessed&gt;66378352&lt;/_accessed&gt;&lt;_created&gt;66375419&lt;/_created&gt;&lt;_modified&gt;66378461&lt;/_modified&gt;&lt;_place_published&gt;宜宾&lt;/_place_published&gt;&lt;_translated_publisher&gt;宜宾天原集团股份有限公司&lt;/_translated_publisher&gt;&lt;_translated_author&gt;Yi, Bin tian yuan ji&lt;/_translated_author&gt;&lt;/Details&gt;&lt;Extra&gt;&lt;DBUID&gt;{48F5BF10-E291-40E3-92E7-B7164C0E842C}&lt;/DBUID&gt;&lt;/Extra&gt;&lt;/Item&gt;&lt;/References&gt;&lt;/Group&gt;&lt;/Citation&gt;_x000a_"/>
    <w:docVar w:name="NE.Ref{0CFF851B-C68C-4D50-951A-E4E042F80A40}" w:val=" ADDIN NE.Ref.{0CFF851B-C68C-4D50-951A-E4E042F80A40}&lt;Citation&gt;&lt;Group&gt;&lt;References&gt;&lt;Item&gt;&lt;ID&gt;71&lt;/ID&gt;&lt;UID&gt;{0B6DBC00-D183-4E7A-A4B6-D2E19C9B7EEE}&lt;/UID&gt;&lt;Title&gt;Mandatory CSR and sustainability reporting: economic analysis and literature review&lt;/Title&gt;&lt;Template&gt;Journal Article&lt;/Template&gt;&lt;Star&gt;1&lt;/Star&gt;&lt;Tag&gt;0&lt;/Tag&gt;&lt;Author&gt;Christensen, Hans B; Hail, Luzi; Leuz, Christian&lt;/Author&gt;&lt;Year&gt;2021&lt;/Year&gt;&lt;Details&gt;&lt;_accessed&gt;66377960&lt;/_accessed&gt;&lt;_alternate_title&gt;Review of accounting studies&lt;/_alternate_title&gt;&lt;_collection_scope&gt;SSCI&lt;/_collection_scope&gt;&lt;_created&gt;66375294&lt;/_created&gt;&lt;_date&gt;2021-01-01&lt;/_date&gt;&lt;_date_display&gt;2021&lt;/_date_display&gt;&lt;_impact_factor&gt;   4.800&lt;/_impact_factor&gt;&lt;_isbn&gt;1380-6653&lt;/_isbn&gt;&lt;_issue&gt;3&lt;/_issue&gt;&lt;_journal&gt;Review of accounting studies&lt;/_journal&gt;&lt;_modified&gt;66378461&lt;/_modified&gt;&lt;_ori_publication&gt;Springer&lt;/_ori_publication&gt;&lt;_pages&gt;1176-1248&lt;/_pages&gt;&lt;_social_category&gt;商业：财政与金融(2)&lt;/_social_category&gt;&lt;_volume&gt;26&lt;/_volume&gt;&lt;/Details&gt;&lt;Extra&gt;&lt;DBUID&gt;{48F5BF10-E291-40E3-92E7-B7164C0E842C}&lt;/DBUID&gt;&lt;/Extra&gt;&lt;/Item&gt;&lt;/References&gt;&lt;/Group&gt;&lt;/Citation&gt;_x000a_"/>
    <w:docVar w:name="NE.Ref{0E6AA7E6-6A7D-4117-9D4F-F176CF52EB02}" w:val=" ADDIN NE.Ref.{0E6AA7E6-6A7D-4117-9D4F-F176CF52EB02}&lt;Citation&gt;&lt;Group&gt;&lt;References&gt;&lt;Item&gt;&lt;ID&gt;81&lt;/ID&gt;&lt;UID&gt;{5134C4EA-F009-4807-AD07-1AA6BD766A01}&lt;/UID&gt;&lt;Title&gt;宁德时代2024年度环境、社会及治理（ESG）报告&lt;/Title&gt;&lt;Template&gt;Report&lt;/Template&gt;&lt;Star&gt;1&lt;/Star&gt;&lt;Tag&gt;0&lt;/Tag&gt;&lt;Author&gt;宁德时代新能源科技股份有限公司&lt;/Author&gt;&lt;Year&gt;2025&lt;/Year&gt;&lt;Details&gt;&lt;_accessed&gt;66378328&lt;/_accessed&gt;&lt;_created&gt;66375421&lt;/_created&gt;&lt;_modified&gt;66378461&lt;/_modified&gt;&lt;_place_published&gt;宁德&lt;/_place_published&gt;&lt;_translated_publisher&gt;宁德时代新能源科技股份有限公司&lt;/_translated_publisher&gt;&lt;_translated_author&gt;Ning, De shi dai xin&lt;/_translated_author&gt;&lt;/Details&gt;&lt;Extra&gt;&lt;DBUID&gt;{48F5BF10-E291-40E3-92E7-B7164C0E842C}&lt;/DBUID&gt;&lt;/Extra&gt;&lt;/Item&gt;&lt;/References&gt;&lt;/Group&gt;&lt;/Citation&gt;_x000a_"/>
    <w:docVar w:name="NE.Ref{17F6DA20-7A3E-400D-9167-4CE739B2DBDE}" w:val=" ADDIN NE.Ref.{17F6DA20-7A3E-400D-9167-4CE739B2DBDE}&lt;Citation&gt;&lt;Group&gt;&lt;References&gt;&lt;Item&gt;&lt;ID&gt;72&lt;/ID&gt;&lt;UID&gt;{6C8CB018-F985-47E6-AF49-34B7FD27E1B2}&lt;/UID&gt;&lt;Title&gt;The impact of carbon disclosure mandates on emissions and financial operating performance&lt;/Title&gt;&lt;Template&gt;Journal Article&lt;/Template&gt;&lt;Star&gt;1&lt;/Star&gt;&lt;Tag&gt;5&lt;/Tag&gt;&lt;Author&gt;Downar, Benedikt; Ernstberger, Jürgen; Reichelstein, Stefan; Schwenen, Sebastian; Zaklan, Aleksandar&lt;/Author&gt;&lt;Year&gt;2021&lt;/Year&gt;&lt;Details&gt;&lt;_accessed&gt;66377959&lt;/_accessed&gt;&lt;_alternate_title&gt;Review of Accounting Studies&lt;/_alternate_title&gt;&lt;_collection_scope&gt;SSCI&lt;/_collection_scope&gt;&lt;_created&gt;66375296&lt;/_created&gt;&lt;_date&gt;2021-01-01&lt;/_date&gt;&lt;_date_display&gt;2021&lt;/_date_display&gt;&lt;_impact_factor&gt;   4.800&lt;/_impact_factor&gt;&lt;_isbn&gt;1380-6653&lt;/_isbn&gt;&lt;_issue&gt;3&lt;/_issue&gt;&lt;_journal&gt;Review of Accounting Studies&lt;/_journal&gt;&lt;_modified&gt;66378461&lt;/_modified&gt;&lt;_ori_publication&gt;Springer&lt;/_ori_publication&gt;&lt;_pages&gt;1137-1175&lt;/_pages&gt;&lt;_social_category&gt;商业：财政与金融(2)&lt;/_social_category&gt;&lt;_volume&gt;26&lt;/_volume&gt;&lt;/Details&gt;&lt;Extra&gt;&lt;DBUID&gt;{48F5BF10-E291-40E3-92E7-B7164C0E842C}&lt;/DBUID&gt;&lt;/Extra&gt;&lt;/Item&gt;&lt;/References&gt;&lt;/Group&gt;&lt;/Citation&gt;_x000a_"/>
    <w:docVar w:name="NE.Ref{1EFBD82F-5152-471F-BB2C-5C5F472CA6E8}" w:val=" ADDIN NE.Ref.{1EFBD82F-5152-471F-BB2C-5C5F472CA6E8}&lt;Citation&gt;&lt;Group&gt;&lt;References&gt;&lt;Item&gt;&lt;ID&gt;57&lt;/ID&gt;&lt;UID&gt;{32F1E7AC-290B-4A61-BCA5-5BF255A9826C}&lt;/UID&gt;&lt;Title&gt;双碳目标下化工企业ESG实践对绩效的影响&lt;/Title&gt;&lt;Template&gt;Thesis&lt;/Template&gt;&lt;Star&gt;1&lt;/Star&gt;&lt;Tag&gt;0&lt;/Tag&gt;&lt;Author&gt;郑彬&lt;/Author&gt;&lt;Year&gt;2024&lt;/Year&gt;&lt;Details&gt;&lt;_accessed&gt;66378244&lt;/_accessed&gt;&lt;_created&gt;66375291&lt;/_created&gt;&lt;_db_provider&gt;CNKI&lt;/_db_provider&gt;&lt;_doi&gt;10.27006/d.cnki.gdbcu.2024.000431&lt;/_doi&gt;&lt;_keywords&gt;双碳目标;万华化学;ESG实践;企业绩效&lt;/_keywords&gt;&lt;_modified&gt;66378461&lt;/_modified&gt;&lt;_place_published&gt;大连&lt;/_place_published&gt;&lt;_publisher&gt;东北财经大学&lt;/_publisher&gt;&lt;_tertiary_author&gt;姜博&lt;/_tertiary_author&gt;&lt;_type_work&gt;硕士&lt;/_type_work&gt;&lt;_url&gt;https://link.cnki.net/doi/10.27006/d.cnki.gdbcu.2024.000431&lt;/_url&gt;&lt;_translated_author&gt;Zheng, Bin&lt;/_translated_author&gt;&lt;_translated_tertiary_author&gt;Jiang, Bo&lt;/_translated_tertiary_author&gt;&lt;/Details&gt;&lt;Extra&gt;&lt;DBUID&gt;{48F5BF10-E291-40E3-92E7-B7164C0E842C}&lt;/DBUID&gt;&lt;/Extra&gt;&lt;/Item&gt;&lt;/References&gt;&lt;/Group&gt;&lt;/Citation&gt;_x000a_"/>
    <w:docVar w:name="NE.Ref{2AC3CBC0-5E69-4AC6-B28C-D343835DCFF9}" w:val=" ADDIN NE.Ref.{2AC3CBC0-5E69-4AC6-B28C-D343835DCFF9}&lt;Citation&gt;&lt;Group&gt;&lt;References&gt;&lt;Item&gt;&lt;ID&gt;81&lt;/ID&gt;&lt;UID&gt;{5134C4EA-F009-4807-AD07-1AA6BD766A01}&lt;/UID&gt;&lt;Title&gt;宁德时代2024年度环境、社会及治理（ESG）报告&lt;/Title&gt;&lt;Template&gt;Report&lt;/Template&gt;&lt;Star&gt;1&lt;/Star&gt;&lt;Tag&gt;0&lt;/Tag&gt;&lt;Author&gt;宁德时代新能源科技股份有限公司&lt;/Author&gt;&lt;Year&gt;2025&lt;/Year&gt;&lt;Details&gt;&lt;_accessed&gt;66378328&lt;/_accessed&gt;&lt;_created&gt;66375421&lt;/_created&gt;&lt;_modified&gt;66378461&lt;/_modified&gt;&lt;_place_published&gt;宁德&lt;/_place_published&gt;&lt;_translated_publisher&gt;宁德时代新能源科技股份有限公司&lt;/_translated_publisher&gt;&lt;_translated_author&gt;Ning, De shi dai xin&lt;/_translated_author&gt;&lt;/Details&gt;&lt;Extra&gt;&lt;DBUID&gt;{48F5BF10-E291-40E3-92E7-B7164C0E842C}&lt;/DBUID&gt;&lt;/Extra&gt;&lt;/Item&gt;&lt;/References&gt;&lt;/Group&gt;&lt;/Citation&gt;_x000a_"/>
    <w:docVar w:name="NE.Ref{2BE440B4-2BF5-48BC-9D9C-367D06A5450F}" w:val=" ADDIN NE.Ref.{2BE440B4-2BF5-48BC-9D9C-367D06A5450F}&lt;Citation&gt;&lt;Group&gt;&lt;References&gt;&lt;Item&gt;&lt;ID&gt;73&lt;/ID&gt;&lt;UID&gt;{8166655B-B7AD-42CB-B4A1-F69C3DF859C2}&lt;/UID&gt;&lt;Title&gt;天原股份2024年度环境、社会及治理（ESG）报告&lt;/Title&gt;&lt;Template&gt;Report&lt;/Template&gt;&lt;Star&gt;1&lt;/Star&gt;&lt;Tag&gt;0&lt;/Tag&gt;&lt;Author&gt;宜宾天原集团股份有限公司&lt;/Author&gt;&lt;Year&gt;2025&lt;/Year&gt;&lt;Details&gt;&lt;_accessed&gt;66378352&lt;/_accessed&gt;&lt;_created&gt;66375413&lt;/_created&gt;&lt;_modified&gt;66378461&lt;/_modified&gt;&lt;_place_published&gt;宜宾&lt;/_place_published&gt;&lt;_translated_publisher&gt;宜宾天原集团股份有限公司&lt;/_translated_publisher&gt;&lt;_translated_author&gt;Yi, Bin tian yuan ji&lt;/_translated_author&gt;&lt;/Details&gt;&lt;Extra&gt;&lt;DBUID&gt;{48F5BF10-E291-40E3-92E7-B7164C0E842C}&lt;/DBUID&gt;&lt;/Extra&gt;&lt;/Item&gt;&lt;/References&gt;&lt;/Group&gt;&lt;/Citation&gt;_x000a_"/>
    <w:docVar w:name="NE.Ref{383892AE-05AF-4D88-B402-52F4CDD840E0}" w:val=" ADDIN NE.Ref.{383892AE-05AF-4D88-B402-52F4CDD840E0}&lt;Citation&gt;&lt;Group&gt;&lt;References&gt;&lt;Item&gt;&lt;ID&gt;69&lt;/ID&gt;&lt;UID&gt;{F36F6F00-A2A8-4412-BB1E-E999F12B991E}&lt;/UID&gt;&lt;Title&gt;ESG表现对企业价值的影响机制研究&lt;/Title&gt;&lt;Template&gt;Journal Article&lt;/Template&gt;&lt;Star&gt;1&lt;/Star&gt;&lt;Tag&gt;5&lt;/Tag&gt;&lt;Author&gt;王琳璘; 廉永辉; 董捷&lt;/Author&gt;&lt;Year&gt;2022&lt;/Year&gt;&lt;Details&gt;&lt;_accessed&gt;66378297&lt;/_accessed&gt;&lt;_author_adr&gt;国网能源研究院财审所;首都经济贸易大学金融学院;北京工商大学经济学院;&lt;/_author_adr&gt;&lt;_collection_scope&gt;CSSCI;PKU&lt;/_collection_scope&gt;&lt;_created&gt;66375291&lt;/_created&gt;&lt;_db_provider&gt;CNKI&lt;/_db_provider&gt;&lt;_isbn&gt;1005-1589&lt;/_isbn&gt;&lt;_issue&gt;05&lt;/_issue&gt;&lt;_journal&gt;证券市场导报&lt;/_journal&gt;&lt;_keywords&gt;ESG表现;融资约束;企业效率;企业风险;企业价值;外部治理&lt;/_keywords&gt;&lt;_modified&gt;66378461&lt;/_modified&gt;&lt;_pages&gt;23-34&lt;/_pages&gt;&lt;_url&gt;https://link.cnki.net/urlid/44.1343.F.20220227.1215.002&lt;/_url&gt;&lt;_translated_author&gt;Wang, Lin lin;Lian, Yong hui;Dong, Jie&lt;/_translated_author&gt;&lt;/Details&gt;&lt;Extra&gt;&lt;DBUID&gt;{48F5BF10-E291-40E3-92E7-B7164C0E842C}&lt;/DBUID&gt;&lt;/Extra&gt;&lt;/Item&gt;&lt;/References&gt;&lt;/Group&gt;&lt;/Citation&gt;_x000a_"/>
    <w:docVar w:name="NE.Ref{4A22A2B7-AB4F-4D13-9F88-37F9F42BDD65}" w:val=" ADDIN NE.Ref.{4A22A2B7-AB4F-4D13-9F88-37F9F42BDD65}&lt;Citation&gt;&lt;Group&gt;&lt;References&gt;&lt;Item&gt;&lt;ID&gt;73&lt;/ID&gt;&lt;UID&gt;{8166655B-B7AD-42CB-B4A1-F69C3DF859C2}&lt;/UID&gt;&lt;Title&gt;天原股份2024年度环境、社会及治理（ESG）报告&lt;/Title&gt;&lt;Template&gt;Report&lt;/Template&gt;&lt;Star&gt;1&lt;/Star&gt;&lt;Tag&gt;0&lt;/Tag&gt;&lt;Author&gt;宜宾天原集团股份有限公司&lt;/Author&gt;&lt;Year&gt;2025&lt;/Year&gt;&lt;Details&gt;&lt;_accessed&gt;66378352&lt;/_accessed&gt;&lt;_created&gt;66375413&lt;/_created&gt;&lt;_modified&gt;66378461&lt;/_modified&gt;&lt;_place_published&gt;宜宾&lt;/_place_published&gt;&lt;_translated_publisher&gt;宜宾天原集团股份有限公司&lt;/_translated_publisher&gt;&lt;_translated_author&gt;Yi, Bin tian yuan ji&lt;/_translated_author&gt;&lt;/Details&gt;&lt;Extra&gt;&lt;DBUID&gt;{48F5BF10-E291-40E3-92E7-B7164C0E842C}&lt;/DBUID&gt;&lt;/Extra&gt;&lt;/Item&gt;&lt;/References&gt;&lt;/Group&gt;&lt;/Citation&gt;_x000a_"/>
    <w:docVar w:name="NE.Ref{4F1F5B72-8086-4D97-978B-A8B4B12B2676}" w:val=" ADDIN NE.Ref.{4F1F5B72-8086-4D97-978B-A8B4B12B2676}&lt;Citation&gt;&lt;Group&gt;&lt;References&gt;&lt;Item&gt;&lt;ID&gt;88&lt;/ID&gt;&lt;UID&gt;{9C7F55D2-7A17-46BA-BDF4-DB35FFA605CF}&lt;/UID&gt;&lt;Title&gt;农业上市公司气候相关财务信息披露研究——基于TCFD框架&lt;/Title&gt;&lt;Template&gt;Journal Article&lt;/Template&gt;&lt;Star&gt;1&lt;/Star&gt;&lt;Tag&gt;0&lt;/Tag&gt;&lt;Author&gt;徐张洋; 奉雅娴; 张丹&lt;/Author&gt;&lt;Year&gt;2022&lt;/Year&gt;&lt;Details&gt;&lt;_accessed&gt;66378210&lt;/_accessed&gt;&lt;_author_adr&gt;武汉工程大学管理学院;&lt;/_author_adr&gt;&lt;_collection_scope&gt;PKU&lt;/_collection_scope&gt;&lt;_created&gt;66378042&lt;/_created&gt;&lt;_db_provider&gt;CNKI&lt;/_db_provider&gt;&lt;_doi&gt;10.16144/j.cnki.issn1002-8072.2022.18.018&lt;/_doi&gt;&lt;_isbn&gt;1002-8072&lt;/_isbn&gt;&lt;_issue&gt;18&lt;/_issue&gt;&lt;_journal&gt;财会通讯&lt;/_journal&gt;&lt;_keywords&gt;农业上市公司;财务信息披露;气候风险;TCFD框架&lt;/_keywords&gt;&lt;_modified&gt;66378461&lt;/_modified&gt;&lt;_pages&gt;24-27&lt;/_pages&gt;&lt;_url&gt;https://link.cnki.net/doi/10.16144/j.cnki.issn1002-8072.2022.18.018&lt;/_url&gt;&lt;_translated_author&gt;Xu, Zhang yang;Feng, Ya xian;Zhang, Dan&lt;/_translated_author&gt;&lt;/Details&gt;&lt;Extra&gt;&lt;DBUID&gt;{48F5BF10-E291-40E3-92E7-B7164C0E842C}&lt;/DBUID&gt;&lt;/Extra&gt;&lt;/Item&gt;&lt;/References&gt;&lt;/Group&gt;&lt;/Citation&gt;_x000a_"/>
    <w:docVar w:name="NE.Ref{5249BCE4-722B-4382-92B7-CFD2C263E28F}" w:val=" ADDIN NE.Ref.{5249BCE4-722B-4382-92B7-CFD2C263E28F}&lt;Citation&gt;&lt;Group&gt;&lt;References&gt;&lt;Item&gt;&lt;ID&gt;80&lt;/ID&gt;&lt;UID&gt;{1235A313-03A2-45C1-B3FC-86D8012A02E0}&lt;/UID&gt;&lt;Title&gt;万华化学2024年度环境、社会及治理(ESG)报告&lt;/Title&gt;&lt;Template&gt;Report&lt;/Template&gt;&lt;Star&gt;1&lt;/Star&gt;&lt;Tag&gt;0&lt;/Tag&gt;&lt;Author&gt;万华化学集团股份有限公司&lt;/Author&gt;&lt;Year&gt;2025&lt;/Year&gt;&lt;Details&gt;&lt;_accessed&gt;66378320&lt;/_accessed&gt;&lt;_created&gt;66375421&lt;/_created&gt;&lt;_modified&gt;66378461&lt;/_modified&gt;&lt;_place_published&gt;烟台&lt;/_place_published&gt;&lt;_translated_publisher&gt;万华化学集团股份有限公司&lt;/_translated_publisher&gt;&lt;_translated_author&gt;Wan, Hua hua xue ji&lt;/_translated_author&gt;&lt;/Details&gt;&lt;Extra&gt;&lt;DBUID&gt;{48F5BF10-E291-40E3-92E7-B7164C0E842C}&lt;/DBUID&gt;&lt;/Extra&gt;&lt;/Item&gt;&lt;/References&gt;&lt;/Group&gt;&lt;/Citation&gt;_x000a_"/>
    <w:docVar w:name="NE.Ref{55E471CF-2A20-4E84-B403-595F3FD9C89A}" w:val=" ADDIN NE.Ref.{55E471CF-2A20-4E84-B403-595F3FD9C89A}&lt;Citation&gt;&lt;Group&gt;&lt;References&gt;&lt;Item&gt;&lt;ID&gt;87&lt;/ID&gt;&lt;UID&gt;{DCAC8654-C144-407D-A501-EB69068EB952}&lt;/UID&gt;&lt;Title&gt;快递业ESG信息披露质量评价——以顺丰控股为例&lt;/Title&gt;&lt;Template&gt;Journal Article&lt;/Template&gt;&lt;Star&gt;1&lt;/Star&gt;&lt;Tag&gt;0&lt;/Tag&gt;&lt;Author&gt;陈智; 冯慧; 杨金凤; 董江春&lt;/Author&gt;&lt;Year&gt;2022&lt;/Year&gt;&lt;Details&gt;&lt;_accessed&gt;66378297&lt;/_accessed&gt;&lt;_author_adr&gt;山东工商学院会计学院;山东建筑大学商学院;&lt;/_author_adr&gt;&lt;_collection_scope&gt;PKU&lt;/_collection_scope&gt;&lt;_created&gt;66378036&lt;/_created&gt;&lt;_db_provider&gt;CNKI&lt;/_db_provider&gt;&lt;_doi&gt;10.19641/j.cnki.42-1290/f.2022.12.015&lt;/_doi&gt;&lt;_isbn&gt;1004-0994&lt;/_isbn&gt;&lt;_issue&gt;12&lt;/_issue&gt;&lt;_journal&gt;财会月刊&lt;/_journal&gt;&lt;_keywords&gt;ESG;信息披露质量;快递业;GRI准则&lt;/_keywords&gt;&lt;_modified&gt;66378461&lt;/_modified&gt;&lt;_pages&gt;120-127&lt;/_pages&gt;&lt;_url&gt;https://link.cnki.net/doi/10.19641/j.cnki.42-1290/f.2022.12.015&lt;/_url&gt;&lt;_translated_author&gt;Chen, Zhi;Feng, Hui;Yang, Jin feng;Dong, Jiang chun&lt;/_translated_author&gt;&lt;/Details&gt;&lt;Extra&gt;&lt;DBUID&gt;{48F5BF10-E291-40E3-92E7-B7164C0E842C}&lt;/DBUID&gt;&lt;/Extra&gt;&lt;/Item&gt;&lt;/References&gt;&lt;/Group&gt;&lt;/Citation&gt;_x000a_"/>
    <w:docVar w:name="NE.Ref{5EDC58C2-4EED-4656-919D-889683BEA104}" w:val=" ADDIN NE.Ref.{5EDC58C2-4EED-4656-919D-889683BEA104}&lt;Citation&gt;&lt;Group&gt;&lt;References&gt;&lt;Item&gt;&lt;ID&gt;87&lt;/ID&gt;&lt;UID&gt;{DCAC8654-C144-407D-A501-EB69068EB952}&lt;/UID&gt;&lt;Title&gt;快递业ESG信息披露质量评价——以顺丰控股为例&lt;/Title&gt;&lt;Template&gt;Journal Article&lt;/Template&gt;&lt;Star&gt;0&lt;/Star&gt;&lt;Tag&gt;0&lt;/Tag&gt;&lt;Author&gt;陈智; 冯慧; 杨金凤; 董江春&lt;/Author&gt;&lt;Year&gt;2022&lt;/Year&gt;&lt;Details&gt;&lt;_author_adr&gt;山东工商学院会计学院;山东建筑大学商学院;&lt;/_author_adr&gt;&lt;_db_provider&gt;CNKI&lt;/_db_provider&gt;&lt;_doi&gt;10.19641/j.cnki.42-1290/f.2022.12.015&lt;/_doi&gt;&lt;_isbn&gt;1004-0994&lt;/_isbn&gt;&lt;_issue&gt;12&lt;/_issue&gt;&lt;_journal&gt;财会月刊&lt;/_journal&gt;&lt;_keywords&gt;ESG;信息披露质量;快递业;GRI准则&lt;/_keywords&gt;&lt;_pages&gt;120-127&lt;/_pages&gt;&lt;_url&gt;https://link.cnki.net/doi/10.19641/j.cnki.42-1290/f.2022.12.015&lt;/_url&gt;&lt;_created&gt;66378036&lt;/_created&gt;&lt;_modified&gt;66378036&lt;/_modified&gt;&lt;_collection_scope&gt;PKU&lt;/_collection_scope&gt;&lt;_translated_author&gt;Chen, Zhi;Feng, Hui;Yang, Jinfeng;Dong, Jiangchun&lt;/_translated_author&gt;&lt;/Details&gt;&lt;Extra&gt;&lt;DBUID&gt;{48F5BF10-E291-40E3-92E7-B7164C0E842C}&lt;/DBUID&gt;&lt;/Extra&gt;&lt;/Item&gt;&lt;/References&gt;&lt;/Group&gt;&lt;/Citation&gt;_x000a_"/>
    <w:docVar w:name="NE.Ref{6B020959-B4E2-43B4-A032-142562125A53}" w:val=" ADDIN NE.Ref.{6B020959-B4E2-43B4-A032-142562125A53}&lt;Citation&gt;&lt;Group&gt;&lt;References&gt;&lt;Item&gt;&lt;ID&gt;79&lt;/ID&gt;&lt;UID&gt;{DFE4E5CD-0D91-410A-9D97-8FB861F1CBB2}&lt;/UID&gt;&lt;Title&gt;宜宾天原集团股份有限公司2023年年度报告&lt;/Title&gt;&lt;Template&gt;Report&lt;/Template&gt;&lt;Star&gt;1&lt;/Star&gt;&lt;Tag&gt;0&lt;/Tag&gt;&lt;Author&gt;宜宾天原集团股份有限公司&lt;/Author&gt;&lt;Year&gt;2024&lt;/Year&gt;&lt;Details&gt;&lt;_accessed&gt;66378357&lt;/_accessed&gt;&lt;_created&gt;66375420&lt;/_created&gt;&lt;_modified&gt;66378461&lt;/_modified&gt;&lt;_place_published&gt;宜宾&lt;/_place_published&gt;&lt;_translated_publisher&gt;宜宾天原集团股份有限公司&lt;/_translated_publisher&gt;&lt;_translated_author&gt;Yi, Bin tian yuan ji&lt;/_translated_author&gt;&lt;/Details&gt;&lt;Extra&gt;&lt;DBUID&gt;{48F5BF10-E291-40E3-92E7-B7164C0E842C}&lt;/DBUID&gt;&lt;/Extra&gt;&lt;/Item&gt;&lt;/References&gt;&lt;/Group&gt;&lt;/Citation&gt;_x000a_"/>
    <w:docVar w:name="NE.Ref{760E04D9-4A5F-4A8A-9325-6260C610CA0B}" w:val=" ADDIN NE.Ref.{760E04D9-4A5F-4A8A-9325-6260C610CA0B}&lt;Citation&gt;&lt;Group&gt;&lt;References&gt;&lt;Item&gt;&lt;ID&gt;78&lt;/ID&gt;&lt;UID&gt;{5BE41DC6-2DCF-4FC1-8082-661598F151CA}&lt;/UID&gt;&lt;Title&gt;宜宾天原集团股份有限公司2025年半年度报告&lt;/Title&gt;&lt;Template&gt;Report&lt;/Template&gt;&lt;Star&gt;1&lt;/Star&gt;&lt;Tag&gt;0&lt;/Tag&gt;&lt;Author&gt;宜宾天原集团股份有限公司&lt;/Author&gt;&lt;Year&gt;2025&lt;/Year&gt;&lt;Details&gt;&lt;_accessed&gt;66378357&lt;/_accessed&gt;&lt;_created&gt;66375420&lt;/_created&gt;&lt;_modified&gt;66378461&lt;/_modified&gt;&lt;_place_published&gt;宜宾&lt;/_place_published&gt;&lt;_translated_publisher&gt;宜宾天原集团股份有限公司&lt;/_translated_publisher&gt;&lt;_translated_author&gt;Yi, Bin tian yuan ji&lt;/_translated_author&gt;&lt;/Details&gt;&lt;Extra&gt;&lt;DBUID&gt;{48F5BF10-E291-40E3-92E7-B7164C0E842C}&lt;/DBUID&gt;&lt;/Extra&gt;&lt;/Item&gt;&lt;/References&gt;&lt;/Group&gt;&lt;/Citation&gt;_x000a_"/>
    <w:docVar w:name="NE.Ref{7FAF40E9-CB4C-411F-A7F2-273A950BA9B2}" w:val=" ADDIN NE.Ref.{7FAF40E9-CB4C-411F-A7F2-273A950BA9B2}&lt;Citation&gt;&lt;Group&gt;&lt;References&gt;&lt;Item&gt;&lt;ID&gt;74&lt;/ID&gt;&lt;UID&gt;{1EAFCE87-EA03-48BB-9ECC-D3222E71FBEA}&lt;/UID&gt;&lt;Title&gt;天原股份2021社会责任报告&lt;/Title&gt;&lt;Template&gt;Report&lt;/Template&gt;&lt;Star&gt;1&lt;/Star&gt;&lt;Tag&gt;0&lt;/Tag&gt;&lt;Author&gt;宜宾天原集团股份有限公司&lt;/Author&gt;&lt;Year&gt;2022&lt;/Year&gt;&lt;Details&gt;&lt;_accessed&gt;66378484&lt;/_accessed&gt;&lt;_created&gt;66375418&lt;/_created&gt;&lt;_modified&gt;66378461&lt;/_modified&gt;&lt;_place_published&gt;宜宾&lt;/_place_published&gt;&lt;_translated_publisher&gt;宜宾天原集团股份有限公司&lt;/_translated_publisher&gt;&lt;_translated_author&gt;Yi, Bin tian yuan ji&lt;/_translated_author&gt;&lt;/Details&gt;&lt;Extra&gt;&lt;DBUID&gt;{48F5BF10-E291-40E3-92E7-B7164C0E842C}&lt;/DBUID&gt;&lt;/Extra&gt;&lt;/Item&gt;&lt;/References&gt;&lt;/Group&gt;&lt;/Citation&gt;_x000a_"/>
    <w:docVar w:name="NE.Ref{8835E7B0-EF37-46AA-98B5-6C0282402BCF}" w:val=" ADDIN NE.Ref.{8835E7B0-EF37-46AA-98B5-6C0282402BCF}&lt;Citation&gt;&lt;Group&gt;&lt;References&gt;&lt;Item&gt;&lt;ID&gt;73&lt;/ID&gt;&lt;UID&gt;{8166655B-B7AD-42CB-B4A1-F69C3DF859C2}&lt;/UID&gt;&lt;Title&gt;天原股份2024年度环境、社会及治理（ESG）报告&lt;/Title&gt;&lt;Template&gt;Report&lt;/Template&gt;&lt;Star&gt;1&lt;/Star&gt;&lt;Tag&gt;0&lt;/Tag&gt;&lt;Author&gt;宜宾天原集团股份有限公司&lt;/Author&gt;&lt;Year&gt;2025&lt;/Year&gt;&lt;Details&gt;&lt;_accessed&gt;66378352&lt;/_accessed&gt;&lt;_created&gt;66375413&lt;/_created&gt;&lt;_modified&gt;66378461&lt;/_modified&gt;&lt;_place_published&gt;宜宾&lt;/_place_published&gt;&lt;_translated_publisher&gt;宜宾天原集团股份有限公司&lt;/_translated_publisher&gt;&lt;_translated_author&gt;Yi, Bin tian yuan ji&lt;/_translated_author&gt;&lt;/Details&gt;&lt;Extra&gt;&lt;DBUID&gt;{48F5BF10-E291-40E3-92E7-B7164C0E842C}&lt;/DBUID&gt;&lt;/Extra&gt;&lt;/Item&gt;&lt;/References&gt;&lt;/Group&gt;&lt;/Citation&gt;_x000a_"/>
    <w:docVar w:name="NE.Ref{8C69687B-6900-4EEF-8E0B-0F0F21C24B34}" w:val=" ADDIN NE.Ref.{8C69687B-6900-4EEF-8E0B-0F0F21C24B34}&lt;Citation&gt;&lt;Group&gt;&lt;References&gt;&lt;Item&gt;&lt;ID&gt;60&lt;/ID&gt;&lt;UID&gt;{B0408233-B1D1-4375-9EA3-753E6F453345}&lt;/UID&gt;&lt;Title&gt;重污染企业数字化转型对其ESG表现的影响及作用机制&lt;/Title&gt;&lt;Template&gt;Journal Article&lt;/Template&gt;&lt;Star&gt;1&lt;/Star&gt;&lt;Tag&gt;0&lt;/Tag&gt;&lt;Author&gt;王金; 洪梓涵; 段清清; 熊剑&lt;/Author&gt;&lt;Year&gt;2024&lt;/Year&gt;&lt;Details&gt;&lt;_accessed&gt;66378384&lt;/_accessed&gt;&lt;_author_adr&gt;广东技术师范大学财经学院;广东科技学院财经学院;暨南大学管理学院;&lt;/_author_adr&gt;&lt;_collection_scope&gt;CSSCI-E&lt;/_collection_scope&gt;&lt;_created&gt;66375291&lt;/_created&gt;&lt;_db_provider&gt;CNKI&lt;/_db_provider&gt;&lt;_isbn&gt;1000-7695&lt;/_isbn&gt;&lt;_issue&gt;01&lt;/_issue&gt;&lt;_journal&gt;科技管理研究&lt;/_journal&gt;&lt;_keywords&gt;企业数字化转型;ESG表现;重污染企业;绿色发展&lt;/_keywords&gt;&lt;_modified&gt;66378461&lt;/_modified&gt;&lt;_pages&gt;192-205&lt;/_pages&gt;&lt;_url&gt;https://kns.cnki.net/kcms2/article/abstract?v=tC3tAMdiXNdiM9-ZCapWL7kH7JbYSMV6p0YkVcUoJdmOkA46_UMG_QhPK11HAvx98jJmvDnuCUZA2RN735Meqvr9pgjNcXMTBbIDCqPsS-OouQNEUHwyNWarYlkWS6EOrEY4x3pZtvMecmKOt1clFpjQyUNDu6LlhmnfOLt4wmg1im--9iQ6iFPmVYSXy1Ww&amp;amp;uniplatform=NZKPT&amp;amp;language=CHS&lt;/_url&gt;&lt;_volume&gt;44&lt;/_volume&gt;&lt;_translated_author&gt;Wang, Jin;Hong, Zi han;Duan, Qing qing;Xiong, Jian&lt;/_translated_author&gt;&lt;/Details&gt;&lt;Extra&gt;&lt;DBUID&gt;{48F5BF10-E291-40E3-92E7-B7164C0E842C}&lt;/DBUID&gt;&lt;/Extra&gt;&lt;/Item&gt;&lt;/References&gt;&lt;/Group&gt;&lt;/Citation&gt;_x000a_"/>
    <w:docVar w:name="NE.Ref{96318228-0AE2-48D1-BCA2-DC55E2F19F24}" w:val=" ADDIN NE.Ref.{96318228-0AE2-48D1-BCA2-DC55E2F19F24}&lt;Citation&gt;&lt;Group&gt;&lt;References&gt;&lt;Item&gt;&lt;ID&gt;73&lt;/ID&gt;&lt;UID&gt;{8166655B-B7AD-42CB-B4A1-F69C3DF859C2}&lt;/UID&gt;&lt;Title&gt;天原股份2024年度环境、社会及治理（ESG）报告&lt;/Title&gt;&lt;Template&gt;Report&lt;/Template&gt;&lt;Star&gt;1&lt;/Star&gt;&lt;Tag&gt;0&lt;/Tag&gt;&lt;Author&gt;宜宾天原集团股份有限公司&lt;/Author&gt;&lt;Year&gt;2025&lt;/Year&gt;&lt;Details&gt;&lt;_accessed&gt;66378352&lt;/_accessed&gt;&lt;_created&gt;66375413&lt;/_created&gt;&lt;_modified&gt;66378461&lt;/_modified&gt;&lt;_place_published&gt;宜宾&lt;/_place_published&gt;&lt;_translated_publisher&gt;宜宾天原集团股份有限公司&lt;/_translated_publisher&gt;&lt;_translated_author&gt;Yi, Bin tian yuan ji&lt;/_translated_author&gt;&lt;/Details&gt;&lt;Extra&gt;&lt;DBUID&gt;{48F5BF10-E291-40E3-92E7-B7164C0E842C}&lt;/DBUID&gt;&lt;/Extra&gt;&lt;/Item&gt;&lt;/References&gt;&lt;/Group&gt;&lt;/Citation&gt;_x000a_"/>
    <w:docVar w:name="NE.Ref{AB4CFC37-B63A-4DB0-ADF4-DCFFB98E5BDC}" w:val=" ADDIN NE.Ref.{AB4CFC37-B63A-4DB0-ADF4-DCFFB98E5BDC}&lt;Citation&gt;&lt;Group&gt;&lt;References&gt;&lt;Item&gt;&lt;ID&gt;84&lt;/ID&gt;&lt;UID&gt;{9FCC4CF6-73F9-4880-88BF-7A7EEEC48570}&lt;/UID&gt;&lt;Title&gt;ESG表现与企业风险-基于资源获取视角的解释&lt;/Title&gt;&lt;Template&gt;Journal Article&lt;/Template&gt;&lt;Star&gt;1&lt;/Star&gt;&lt;Tag&gt;0&lt;/Tag&gt;&lt;Author&gt;谭劲松; 黄仁玉; 张京心&lt;/Author&gt;&lt;Year&gt;2022&lt;/Year&gt;&lt;Details&gt;&lt;_author_adr&gt;中山大学现代会计与财务研究中心;中山大学管理学院;华南农业大学经济管理学院;&lt;/_author_adr&gt;&lt;_collection_scope&gt;CSSCI;PKU&lt;/_collection_scope&gt;&lt;_created&gt;66377993&lt;/_created&gt;&lt;_db_provider&gt;CNKI&lt;/_db_provider&gt;&lt;_isbn&gt;1672-0334&lt;/_isbn&gt;&lt;_issue&gt;05&lt;/_issue&gt;&lt;_journal&gt;管理科学&lt;/_journal&gt;&lt;_keywords&gt;ESG;企业风险;利益相关者;资源获取;可持续发展&lt;/_keywords&gt;&lt;_modified&gt;66378461&lt;/_modified&gt;&lt;_pages&gt;3-18&lt;/_pages&gt;&lt;_url&gt;https://kns.cnki.net/kcms2/article/abstract?v=jpN_MAf5WI48YRoEcSi6s75Ezda3JWb1mm6N8q_fyccyUYMoaoqcDpwubzFLL6gcfGlCy_OedpHlb-KLschozoDUsnqpa9SIwuM1-kIlcN6Raa2_2jeTupdYs0Eb46O3IYeg-HuguifkaWeLS0rjW6NEuY76wCh-w0b7UGJNG7OdDrC4YzbJ-_HasqXiXs_V&amp;amp;uniplatform=NZKPT&amp;amp;language=CHS&lt;/_url&gt;&lt;_volume&gt;35&lt;/_volume&gt;&lt;_translated_author&gt;Tan, Jing song;Huang, Ren yu;Zhang, Jing xin&lt;/_translated_author&gt;&lt;/Details&gt;&lt;Extra&gt;&lt;DBUID&gt;{48F5BF10-E291-40E3-92E7-B7164C0E842C}&lt;/DBUID&gt;&lt;/Extra&gt;&lt;/Item&gt;&lt;/References&gt;&lt;/Group&gt;&lt;/Citation&gt;_x000a_"/>
    <w:docVar w:name="NE.Ref{AD19F52D-5E0B-4993-B4A9-DC69A6339811}" w:val=" ADDIN NE.Ref.{AD19F52D-5E0B-4993-B4A9-DC69A6339811}&lt;Citation&gt;&lt;Group&gt;&lt;References&gt;&lt;Item&gt;&lt;ID&gt;59&lt;/ID&gt;&lt;UID&gt;{45E973CA-1E40-4C38-B606-3031BF890643}&lt;/UID&gt;&lt;Title&gt;ESG投资中的“漂绿”风险耦合机理与监管对策&lt;/Title&gt;&lt;Template&gt;Journal Article&lt;/Template&gt;&lt;Star&gt;1&lt;/Star&gt;&lt;Tag&gt;0&lt;/Tag&gt;&lt;Author&gt;王宇熹&lt;/Author&gt;&lt;Year&gt;2024&lt;/Year&gt;&lt;Details&gt;&lt;_accessed&gt;66378297&lt;/_accessed&gt;&lt;_author_adr&gt;上海师范大学全球城市研究院;&lt;/_author_adr&gt;&lt;_collection_scope&gt;PKU&lt;/_collection_scope&gt;&lt;_created&gt;66375291&lt;/_created&gt;&lt;_db_provider&gt;CNKI&lt;/_db_provider&gt;&lt;_doi&gt;10.19641/j.cnki.42-1290/f.2024.06.017&lt;/_doi&gt;&lt;_isbn&gt;1004-0994&lt;/_isbn&gt;&lt;_issue&gt;06&lt;/_issue&gt;&lt;_journal&gt;财会月刊&lt;/_journal&gt;&lt;_keywords&gt;漂绿;ESG;可持续投资;风险监管&lt;/_keywords&gt;&lt;_modified&gt;66378461&lt;/_modified&gt;&lt;_pages&gt;123-129&lt;/_pages&gt;&lt;_url&gt;https://link.cnki.net/doi/10.19641/j.cnki.42-1290/f.2024.06.017&lt;/_url&gt;&lt;_volume&gt;45&lt;/_volume&gt;&lt;_translated_author&gt;Wang, Yu xi&lt;/_translated_author&gt;&lt;/Details&gt;&lt;Extra&gt;&lt;DBUID&gt;{48F5BF10-E291-40E3-92E7-B7164C0E842C}&lt;/DBUID&gt;&lt;/Extra&gt;&lt;/Item&gt;&lt;/References&gt;&lt;/Group&gt;&lt;/Citation&gt;_x000a_"/>
    <w:docVar w:name="NE.Ref{AE482486-14D6-493D-9243-543CFCE764C2}" w:val=" ADDIN NE.Ref.{AE482486-14D6-493D-9243-543CFCE764C2}&lt;Citation&gt;&lt;Group&gt;&lt;References&gt;&lt;Item&gt;&lt;ID&gt;59&lt;/ID&gt;&lt;UID&gt;{45E973CA-1E40-4C38-B606-3031BF890643}&lt;/UID&gt;&lt;Title&gt;ESG投资中的“漂绿”风险耦合机理与监管对策&lt;/Title&gt;&lt;Template&gt;Journal Article&lt;/Template&gt;&lt;Star&gt;1&lt;/Star&gt;&lt;Tag&gt;0&lt;/Tag&gt;&lt;Author&gt;王宇熹&lt;/Author&gt;&lt;Year&gt;2024&lt;/Year&gt;&lt;Details&gt;&lt;_accessed&gt;66378297&lt;/_accessed&gt;&lt;_author_adr&gt;上海师范大学全球城市研究院;&lt;/_author_adr&gt;&lt;_collection_scope&gt;PKU&lt;/_collection_scope&gt;&lt;_created&gt;66375291&lt;/_created&gt;&lt;_db_provider&gt;CNKI&lt;/_db_provider&gt;&lt;_doi&gt;10.19641/j.cnki.42-1290/f.2024.06.017&lt;/_doi&gt;&lt;_isbn&gt;1004-0994&lt;/_isbn&gt;&lt;_issue&gt;06&lt;/_issue&gt;&lt;_journal&gt;财会月刊&lt;/_journal&gt;&lt;_keywords&gt;漂绿;ESG;可持续投资;风险监管&lt;/_keywords&gt;&lt;_modified&gt;66378461&lt;/_modified&gt;&lt;_pages&gt;123-129&lt;/_pages&gt;&lt;_url&gt;https://link.cnki.net/doi/10.19641/j.cnki.42-1290/f.2024.06.017&lt;/_url&gt;&lt;_volume&gt;45&lt;/_volume&gt;&lt;_translated_author&gt;Wang, Yu xi&lt;/_translated_author&gt;&lt;/Details&gt;&lt;Extra&gt;&lt;DBUID&gt;{48F5BF10-E291-40E3-92E7-B7164C0E842C}&lt;/DBUID&gt;&lt;/Extra&gt;&lt;/Item&gt;&lt;/References&gt;&lt;/Group&gt;&lt;/Citation&gt;_x000a_"/>
    <w:docVar w:name="NE.Ref{B60FCA7B-4341-4F27-84B8-61CC7C7A047F}" w:val=" ADDIN NE.Ref.{B60FCA7B-4341-4F27-84B8-61CC7C7A047F}&lt;Citation&gt;&lt;Group&gt;&lt;References&gt;&lt;Item&gt;&lt;ID&gt;86&lt;/ID&gt;&lt;UID&gt;{BD186D32-B46F-412B-98DD-89055F6BCE88}&lt;/UID&gt;&lt;Title&gt;“双轮”驱动下环境规制差异与企业绿色创新——基于信号传递理论&lt;/Title&gt;&lt;Template&gt;Journal Article&lt;/Template&gt;&lt;Star&gt;1&lt;/Star&gt;&lt;Tag&gt;0&lt;/Tag&gt;&lt;Author&gt;谭瑾; 徐光伟&lt;/Author&gt;&lt;Year&gt;2023&lt;/Year&gt;&lt;Details&gt;&lt;_author_adr&gt;常州大学商学院;复旦大学管理学院;&lt;/_author_adr&gt;&lt;_collection_scope&gt;CSSCI;PKU&lt;/_collection_scope&gt;&lt;_created&gt;66378014&lt;/_created&gt;&lt;_db_provider&gt;CNKI&lt;/_db_provider&gt;&lt;_doi&gt;10.13956/j.ss.1001-8409.2023.11.14&lt;/_doi&gt;&lt;_isbn&gt;1001-8409&lt;/_isbn&gt;&lt;_issue&gt;11&lt;/_issue&gt;&lt;_journal&gt;软科学&lt;/_journal&gt;&lt;_keywords&gt;环境规制;绿色创新;信号传递;“环境;社会;治理”关注度;绿色金融发展&lt;/_keywords&gt;&lt;_modified&gt;66378461&lt;/_modified&gt;&lt;_pages&gt;99-106&lt;/_pages&gt;&lt;_url&gt;https://link.cnki.net/doi/10.13956/j.ss.1001-8409.2023.11.14&lt;/_url&gt;&lt;_volume&gt;37&lt;/_volume&gt;&lt;_translated_author&gt;Tan, Jin;Xu, Guang wei&lt;/_translated_author&gt;&lt;/Details&gt;&lt;Extra&gt;&lt;DBUID&gt;{48F5BF10-E291-40E3-92E7-B7164C0E842C}&lt;/DBUID&gt;&lt;/Extra&gt;&lt;/Item&gt;&lt;/References&gt;&lt;/Group&gt;&lt;/Citation&gt;_x000a_"/>
    <w:docVar w:name="NE.Ref{B6569955-4CA5-40E5-A25B-8F2A6E89A77B}" w:val=" ADDIN NE.Ref.{B6569955-4CA5-40E5-A25B-8F2A6E89A77B}&lt;Citation&gt;&lt;Group&gt;&lt;References&gt;&lt;Item&gt;&lt;ID&gt;89&lt;/ID&gt;&lt;UID&gt;{BF70EBD7-3546-46B7-949F-6A406686471D}&lt;/UID&gt;&lt;Title&gt;管理者短视主义影响企业长期投资吗？——基于文本分析和机器学习&lt;/Title&gt;&lt;Template&gt;Journal Article&lt;/Template&gt;&lt;Star&gt;1&lt;/Star&gt;&lt;Tag&gt;0&lt;/Tag&gt;&lt;Author&gt;胡楠; 薛付婧; 王昊楠&lt;/Author&gt;&lt;Year&gt;2021&lt;/Year&gt;&lt;Details&gt;&lt;_accessed&gt;66378381&lt;/_accessed&gt;&lt;_author_adr&gt;西安交通大学管理学院;&lt;/_author_adr&gt;&lt;_collection_scope&gt;CSSCI;PKU&lt;/_collection_scope&gt;&lt;_created&gt;66378049&lt;/_created&gt;&lt;_db_provider&gt;CNKI&lt;/_db_provider&gt;&lt;_doi&gt;10.19744/j.cnki.11-1235/f.2021.0070&lt;/_doi&gt;&lt;_isbn&gt;1002-5502&lt;/_isbn&gt;&lt;_issue&gt;05&lt;/_issue&gt;&lt;_journal&gt;管理世界&lt;/_journal&gt;&lt;_keywords&gt;管理者短视;长期投资;文本分析;机器学习&lt;/_keywords&gt;&lt;_modified&gt;66378461&lt;/_modified&gt;&lt;_pages&gt;139-156+11+19-21&lt;/_pages&gt;&lt;_url&gt;https://link.cnki.net/doi/10.19744/j.cnki.11-1235/f.2021.0070&lt;/_url&gt;&lt;_volume&gt;37&lt;/_volume&gt;&lt;_translated_author&gt;Hu, Nan;Xue, Fu jing;Wang, Hao nan&lt;/_translated_author&gt;&lt;/Details&gt;&lt;Extra&gt;&lt;DBUID&gt;{48F5BF10-E291-40E3-92E7-B7164C0E842C}&lt;/DBUID&gt;&lt;/Extra&gt;&lt;/Item&gt;&lt;/References&gt;&lt;/Group&gt;&lt;/Citation&gt;_x000a_"/>
    <w:docVar w:name="NE.Ref{D1B443B8-6005-40AE-9E4B-4AB326677D1F}" w:val=" ADDIN NE.Ref.{D1B443B8-6005-40AE-9E4B-4AB326677D1F}&lt;Citation&gt;&lt;Group&gt;&lt;References&gt;&lt;Item&gt;&lt;ID&gt;75&lt;/ID&gt;&lt;UID&gt;{9B5276DE-A0B9-4D38-9606-CB9B5FB48EFB}&lt;/UID&gt;&lt;Title&gt;天原股份2022年度环境、社会及治理（ESG）报告&lt;/Title&gt;&lt;Template&gt;Report&lt;/Template&gt;&lt;Star&gt;1&lt;/Star&gt;&lt;Tag&gt;0&lt;/Tag&gt;&lt;Author&gt;宜宾天原集团股份有限公司&lt;/Author&gt;&lt;Year&gt;2023&lt;/Year&gt;&lt;Details&gt;&lt;_accessed&gt;66378351&lt;/_accessed&gt;&lt;_created&gt;66375419&lt;/_created&gt;&lt;_modified&gt;66378461&lt;/_modified&gt;&lt;_place_published&gt;宜宾&lt;/_place_published&gt;&lt;_translated_publisher&gt;宜宾天原集团股份有限公司&lt;/_translated_publisher&gt;&lt;_translated_author&gt;Yi, Bin tian yuan ji&lt;/_translated_author&gt;&lt;/Details&gt;&lt;Extra&gt;&lt;DBUID&gt;{48F5BF10-E291-40E3-92E7-B7164C0E842C}&lt;/DBUID&gt;&lt;/Extra&gt;&lt;/Item&gt;&lt;/References&gt;&lt;/Group&gt;&lt;/Citation&gt;_x000a_"/>
    <w:docVar w:name="NE.Ref{E5883DD5-F5E5-4635-9359-449779C4045A}" w:val=" ADDIN NE.Ref.{E5883DD5-F5E5-4635-9359-449779C4045A}&lt;Citation&gt;&lt;Group&gt;&lt;References&gt;&lt;Item&gt;&lt;ID&gt;70&lt;/ID&gt;&lt;UID&gt;{D5EB3933-0E9D-49F7-96DA-DDB5CB2314A8}&lt;/UID&gt;&lt;Title&gt;ESG信息披露会提高企业价值吗？&lt;/Title&gt;&lt;Template&gt;Journal Article&lt;/Template&gt;&lt;Star&gt;1&lt;/Star&gt;&lt;Tag&gt;0&lt;/Tag&gt;&lt;Author&gt;徐光华; 卓瑶瑶; 张艺萌; 张佳怡&lt;/Author&gt;&lt;Year&gt;2022&lt;/Year&gt;&lt;Details&gt;&lt;_author_adr&gt;南京理工大学经济管理学院;&lt;/_author_adr&gt;&lt;_collection_scope&gt;PKU&lt;/_collection_scope&gt;&lt;_created&gt;66375291&lt;/_created&gt;&lt;_db_provider&gt;CNKI&lt;/_db_provider&gt;&lt;_doi&gt;10.16144/j.cnki.issn1002-8072.2022.04.029&lt;/_doi&gt;&lt;_isbn&gt;1002-8072&lt;/_isbn&gt;&lt;_issue&gt;04&lt;/_issue&gt;&lt;_journal&gt;财会通讯&lt;/_journal&gt;&lt;_keywords&gt;ESG信息披露;企业价值;制造业&lt;/_keywords&gt;&lt;_modified&gt;66378461&lt;/_modified&gt;&lt;_pages&gt;33-37&lt;/_pages&gt;&lt;_url&gt;https://link.cnki.net/doi/10.16144/j.cnki.issn1002-8072.2022.04.029&lt;/_url&gt;&lt;_translated_author&gt;Xu, Guang hua;Zhuo, Yao yao;Zhang, Yi meng;Zhang, Jia yi&lt;/_translated_author&gt;&lt;/Details&gt;&lt;Extra&gt;&lt;DBUID&gt;{48F5BF10-E291-40E3-92E7-B7164C0E842C}&lt;/DBUID&gt;&lt;/Extra&gt;&lt;/Item&gt;&lt;/References&gt;&lt;/Group&gt;&lt;/Citation&gt;_x000a_"/>
    <w:docVar w:name="NE.Ref{E5C9D47B-C7D0-4AED-9F2E-8E158951C1F7}" w:val=" ADDIN NE.Ref.{E5C9D47B-C7D0-4AED-9F2E-8E158951C1F7}&lt;Citation&gt;&lt;Group&gt;&lt;References&gt;&lt;Item&gt;&lt;ID&gt;73&lt;/ID&gt;&lt;UID&gt;{8166655B-B7AD-42CB-B4A1-F69C3DF859C2}&lt;/UID&gt;&lt;Title&gt;天原股份2024年度环境、社会及治理（ESG）报告&lt;/Title&gt;&lt;Template&gt;Report&lt;/Template&gt;&lt;Star&gt;1&lt;/Star&gt;&lt;Tag&gt;0&lt;/Tag&gt;&lt;Author&gt;宜宾天原集团股份有限公司&lt;/Author&gt;&lt;Year&gt;2025&lt;/Year&gt;&lt;Details&gt;&lt;_accessed&gt;66378352&lt;/_accessed&gt;&lt;_created&gt;66375413&lt;/_created&gt;&lt;_modified&gt;66378461&lt;/_modified&gt;&lt;_place_published&gt;宜宾&lt;/_place_published&gt;&lt;_translated_publisher&gt;宜宾天原集团股份有限公司&lt;/_translated_publisher&gt;&lt;_translated_author&gt;Yi, Bin tian yuan ji&lt;/_translated_author&gt;&lt;/Details&gt;&lt;Extra&gt;&lt;DBUID&gt;{48F5BF10-E291-40E3-92E7-B7164C0E842C}&lt;/DBUID&gt;&lt;/Extra&gt;&lt;/Item&gt;&lt;/References&gt;&lt;/Group&gt;&lt;/Citation&gt;_x000a_"/>
    <w:docVar w:name="NE.Ref{E8EBB1D3-F316-4E8C-8382-CED65225D7BE}" w:val=" ADDIN NE.Ref.{E8EBB1D3-F316-4E8C-8382-CED65225D7BE}&lt;Citation&gt;&lt;Group&gt;&lt;References&gt;&lt;Item&gt;&lt;ID&gt;62&lt;/ID&gt;&lt;UID&gt;{18FF59BC-D098-4788-8938-2388E95775EA}&lt;/UID&gt;&lt;Title&gt;我国上市公司ESG表现对企业价值的影响研究&lt;/Title&gt;&lt;Template&gt;Thesis&lt;/Template&gt;&lt;Star&gt;1&lt;/Star&gt;&lt;Tag&gt;0&lt;/Tag&gt;&lt;Author&gt;陆园园&lt;/Author&gt;&lt;Year&gt;2023&lt;/Year&gt;&lt;Details&gt;&lt;_accessed&gt;66378259&lt;/_accessed&gt;&lt;_created&gt;66375291&lt;/_created&gt;&lt;_db_provider&gt;CNKI&lt;/_db_provider&gt;&lt;_doi&gt;10.27015/d.cnki.gdwju.2023.000169&lt;/_doi&gt;&lt;_keywords&gt;ESG;环境表现;企业社会责任;公司治理;企业价值&lt;/_keywords&gt;&lt;_modified&gt;66378461&lt;/_modified&gt;&lt;_place_published&gt;北京&lt;/_place_published&gt;&lt;_publisher&gt;对外经济贸易大学&lt;/_publisher&gt;&lt;_tertiary_author&gt;赵秀芝&lt;/_tertiary_author&gt;&lt;_type_work&gt;硕士&lt;/_type_work&gt;&lt;_url&gt;https://link.cnki.net/doi/10.27015/d.cnki.gdwju.2023.000169&lt;/_url&gt;&lt;_translated_author&gt;Lu, Yuan yuan&lt;/_translated_author&gt;&lt;_translated_tertiary_author&gt;Zhao, Xiu zhi&lt;/_translated_tertiary_author&gt;&lt;/Details&gt;&lt;Extra&gt;&lt;DBUID&gt;{48F5BF10-E291-40E3-92E7-B7164C0E842C}&lt;/DBUID&gt;&lt;/Extra&gt;&lt;/Item&gt;&lt;/References&gt;&lt;/Group&gt;&lt;/Citation&gt;_x000a_"/>
    <w:docVar w:name="NE.Ref{E917D159-934A-4E07-82E9-AE74F6140A05}" w:val=" ADDIN NE.Ref.{E917D159-934A-4E07-82E9-AE74F6140A05}&lt;Citation&gt;&lt;Group&gt;&lt;References&gt;&lt;Item&gt;&lt;ID&gt;73&lt;/ID&gt;&lt;UID&gt;{8166655B-B7AD-42CB-B4A1-F69C3DF859C2}&lt;/UID&gt;&lt;Title&gt;天原股份2024年度环境、社会及治理（ESG）报告&lt;/Title&gt;&lt;Template&gt;Report&lt;/Template&gt;&lt;Star&gt;1&lt;/Star&gt;&lt;Tag&gt;0&lt;/Tag&gt;&lt;Author&gt;宜宾天原集团股份有限公司&lt;/Author&gt;&lt;Year&gt;2025&lt;/Year&gt;&lt;Details&gt;&lt;_accessed&gt;66378352&lt;/_accessed&gt;&lt;_created&gt;66375413&lt;/_created&gt;&lt;_modified&gt;66378461&lt;/_modified&gt;&lt;_place_published&gt;宜宾&lt;/_place_published&gt;&lt;_translated_publisher&gt;宜宾天原集团股份有限公司&lt;/_translated_publisher&gt;&lt;_translated_author&gt;Yi, Bin tian yuan ji&lt;/_translated_author&gt;&lt;/Details&gt;&lt;Extra&gt;&lt;DBUID&gt;{48F5BF10-E291-40E3-92E7-B7164C0E842C}&lt;/DBUID&gt;&lt;/Extra&gt;&lt;/Item&gt;&lt;/References&gt;&lt;/Group&gt;&lt;/Citation&gt;_x000a_"/>
    <w:docVar w:name="NE.Ref{EF1F92D7-998C-488D-9528-922A64B5E758}" w:val=" ADDIN NE.Ref.{EF1F92D7-998C-488D-9528-922A64B5E758}&lt;Citation&gt;&lt;Group&gt;&lt;References&gt;&lt;Item&gt;&lt;ID&gt;73&lt;/ID&gt;&lt;UID&gt;{8166655B-B7AD-42CB-B4A1-F69C3DF859C2}&lt;/UID&gt;&lt;Title&gt;天原股份：2024年度环境、社会及治理（ESG）报告&lt;/Title&gt;&lt;Template&gt;Report&lt;/Template&gt;&lt;Star&gt;0&lt;/Star&gt;&lt;Tag&gt;0&lt;/Tag&gt;&lt;Author&gt;宜宾天原集团股份有限公司&lt;/Author&gt;&lt;Year&gt;2025&lt;/Year&gt;&lt;Details&gt;&lt;_translated_publisher&gt;宜宾天原集团股份有限公司&lt;/_translated_publisher&gt;&lt;_translated_place_published&gt;宜宾&lt;/_translated_place_published&gt;&lt;_accessed&gt;66375413&lt;/_accessed&gt;&lt;_created&gt;66375413&lt;/_created&gt;&lt;_modified&gt;66375445&lt;/_modified&gt;&lt;_translated_author&gt;Yi, Bintianyuanjituangufenyouxiangongsi&lt;/_translated_author&gt;&lt;/Details&gt;&lt;Extra&gt;&lt;DBUID&gt;{48F5BF10-E291-40E3-92E7-B7164C0E842C}&lt;/DBUID&gt;&lt;/Extra&gt;&lt;/Item&gt;&lt;/References&gt;&lt;/Group&gt;&lt;/Citation&gt;_x000a_"/>
    <w:docVar w:name="NE.Ref{F02E4070-AE99-4637-A037-71D65361ACA6}" w:val=" ADDIN NE.Ref.{F02E4070-AE99-4637-A037-71D65361ACA6}&lt;Citation&gt;&lt;Group&gt;&lt;References&gt;&lt;Item&gt;&lt;ID&gt;73&lt;/ID&gt;&lt;UID&gt;{8166655B-B7AD-42CB-B4A1-F69C3DF859C2}&lt;/UID&gt;&lt;Title&gt;天原股份2024年度环境、社会及治理（ESG）报告&lt;/Title&gt;&lt;Template&gt;Report&lt;/Template&gt;&lt;Star&gt;1&lt;/Star&gt;&lt;Tag&gt;0&lt;/Tag&gt;&lt;Author&gt;宜宾天原集团股份有限公司&lt;/Author&gt;&lt;Year&gt;2025&lt;/Year&gt;&lt;Details&gt;&lt;_accessed&gt;66378352&lt;/_accessed&gt;&lt;_created&gt;66375413&lt;/_created&gt;&lt;_modified&gt;66378461&lt;/_modified&gt;&lt;_place_published&gt;宜宾&lt;/_place_published&gt;&lt;_translated_publisher&gt;宜宾天原集团股份有限公司&lt;/_translated_publisher&gt;&lt;_translated_author&gt;Yi, Bin tian yuan ji&lt;/_translated_author&gt;&lt;/Details&gt;&lt;Extra&gt;&lt;DBUID&gt;{48F5BF10-E291-40E3-92E7-B7164C0E842C}&lt;/DBUID&gt;&lt;/Extra&gt;&lt;/Item&gt;&lt;/References&gt;&lt;/Group&gt;&lt;/Citation&gt;_x000a_"/>
    <w:docVar w:name="NE.Ref{FD540DC8-B04A-488A-8AE5-B2BD18F3CAA5}" w:val=" ADDIN NE.Ref.{FD540DC8-B04A-488A-8AE5-B2BD18F3CAA5}&lt;Citation&gt;&lt;Group&gt;&lt;References&gt;&lt;Item&gt;&lt;ID&gt;81&lt;/ID&gt;&lt;UID&gt;{5134C4EA-F009-4807-AD07-1AA6BD766A01}&lt;/UID&gt;&lt;Title&gt;宁德时代2024年度环境、社会及治理（ESG）报告&lt;/Title&gt;&lt;Template&gt;Report&lt;/Template&gt;&lt;Star&gt;1&lt;/Star&gt;&lt;Tag&gt;0&lt;/Tag&gt;&lt;Author&gt;宁德时代新能源科技股份有限公司&lt;/Author&gt;&lt;Year&gt;2025&lt;/Year&gt;&lt;Details&gt;&lt;_accessed&gt;66378328&lt;/_accessed&gt;&lt;_created&gt;66375421&lt;/_created&gt;&lt;_modified&gt;66378461&lt;/_modified&gt;&lt;_place_published&gt;宁德&lt;/_place_published&gt;&lt;_translated_publisher&gt;宁德时代新能源科技股份有限公司&lt;/_translated_publisher&gt;&lt;_translated_author&gt;Ning, De shi dai xin&lt;/_translated_author&gt;&lt;/Details&gt;&lt;Extra&gt;&lt;DBUID&gt;{48F5BF10-E291-40E3-92E7-B7164C0E842C}&lt;/DBUID&gt;&lt;/Extra&gt;&lt;/Item&gt;&lt;/References&gt;&lt;/Group&gt;&lt;/Citation&gt;_x000a_"/>
    <w:docVar w:name="ne_docsoft" w:val="MSWord"/>
    <w:docVar w:name="ne_docversion" w:val="NoteExpress 2.0"/>
    <w:docVar w:name="ne_stylename" w:val="乐山师范"/>
  </w:docVars>
  <w:rsids>
    <w:rsidRoot w:val="00172A27"/>
    <w:rsid w:val="003357D8"/>
    <w:rsid w:val="003F23CE"/>
    <w:rsid w:val="005319D6"/>
    <w:rsid w:val="006140F3"/>
    <w:rsid w:val="006A727A"/>
    <w:rsid w:val="006D2A98"/>
    <w:rsid w:val="00973FB8"/>
    <w:rsid w:val="00AA1178"/>
    <w:rsid w:val="00C14B91"/>
    <w:rsid w:val="00E103ED"/>
    <w:rsid w:val="00E46AD2"/>
    <w:rsid w:val="00E52F76"/>
    <w:rsid w:val="00F46D15"/>
    <w:rsid w:val="01064E01"/>
    <w:rsid w:val="012B4701"/>
    <w:rsid w:val="013435B5"/>
    <w:rsid w:val="013637D1"/>
    <w:rsid w:val="015E5F44"/>
    <w:rsid w:val="01657C13"/>
    <w:rsid w:val="01916C5A"/>
    <w:rsid w:val="01AE15BA"/>
    <w:rsid w:val="01B12E58"/>
    <w:rsid w:val="024E4B4B"/>
    <w:rsid w:val="028773A2"/>
    <w:rsid w:val="02994018"/>
    <w:rsid w:val="02E01C47"/>
    <w:rsid w:val="02E86B7B"/>
    <w:rsid w:val="02EA1256"/>
    <w:rsid w:val="031D13A2"/>
    <w:rsid w:val="032B6C3A"/>
    <w:rsid w:val="03323B24"/>
    <w:rsid w:val="03541CED"/>
    <w:rsid w:val="035A307B"/>
    <w:rsid w:val="03A24A44"/>
    <w:rsid w:val="03A32C74"/>
    <w:rsid w:val="03A8028B"/>
    <w:rsid w:val="03AA5DB1"/>
    <w:rsid w:val="03C76963"/>
    <w:rsid w:val="03DA1A56"/>
    <w:rsid w:val="03F84D6E"/>
    <w:rsid w:val="03FB660C"/>
    <w:rsid w:val="04041965"/>
    <w:rsid w:val="044C0C16"/>
    <w:rsid w:val="04531FA4"/>
    <w:rsid w:val="045D50D4"/>
    <w:rsid w:val="045F303F"/>
    <w:rsid w:val="045F4DED"/>
    <w:rsid w:val="049727D9"/>
    <w:rsid w:val="04A942BA"/>
    <w:rsid w:val="04AB0032"/>
    <w:rsid w:val="04EB48D3"/>
    <w:rsid w:val="051A6F66"/>
    <w:rsid w:val="05216546"/>
    <w:rsid w:val="05414E3A"/>
    <w:rsid w:val="055C757F"/>
    <w:rsid w:val="056401E1"/>
    <w:rsid w:val="058014BF"/>
    <w:rsid w:val="059705B7"/>
    <w:rsid w:val="05A21435"/>
    <w:rsid w:val="05A30D0A"/>
    <w:rsid w:val="05B41169"/>
    <w:rsid w:val="05B42F17"/>
    <w:rsid w:val="05BB24F7"/>
    <w:rsid w:val="05C80803"/>
    <w:rsid w:val="05E35D4E"/>
    <w:rsid w:val="060519C4"/>
    <w:rsid w:val="06231E4A"/>
    <w:rsid w:val="06436049"/>
    <w:rsid w:val="066761DB"/>
    <w:rsid w:val="0676641E"/>
    <w:rsid w:val="069A210C"/>
    <w:rsid w:val="06A44D39"/>
    <w:rsid w:val="06EC66E0"/>
    <w:rsid w:val="071A149F"/>
    <w:rsid w:val="074D3623"/>
    <w:rsid w:val="077C09B2"/>
    <w:rsid w:val="078057A6"/>
    <w:rsid w:val="07B05960"/>
    <w:rsid w:val="07B76CEE"/>
    <w:rsid w:val="07E65656"/>
    <w:rsid w:val="08346319"/>
    <w:rsid w:val="08376DC6"/>
    <w:rsid w:val="083B16CD"/>
    <w:rsid w:val="084F5179"/>
    <w:rsid w:val="087370B9"/>
    <w:rsid w:val="087A0447"/>
    <w:rsid w:val="088A61B1"/>
    <w:rsid w:val="08A2799E"/>
    <w:rsid w:val="08B03AFB"/>
    <w:rsid w:val="08B374B6"/>
    <w:rsid w:val="08B60D54"/>
    <w:rsid w:val="08B6248C"/>
    <w:rsid w:val="08DA7138"/>
    <w:rsid w:val="08E91129"/>
    <w:rsid w:val="08F16230"/>
    <w:rsid w:val="090F1B9E"/>
    <w:rsid w:val="09293C1C"/>
    <w:rsid w:val="09371A75"/>
    <w:rsid w:val="09436A8B"/>
    <w:rsid w:val="09473B2C"/>
    <w:rsid w:val="094B1DE4"/>
    <w:rsid w:val="0965366A"/>
    <w:rsid w:val="0969226A"/>
    <w:rsid w:val="09815806"/>
    <w:rsid w:val="09862E1C"/>
    <w:rsid w:val="098F027E"/>
    <w:rsid w:val="09A80FE4"/>
    <w:rsid w:val="09B2776D"/>
    <w:rsid w:val="09B63701"/>
    <w:rsid w:val="09B72FD5"/>
    <w:rsid w:val="09C6146A"/>
    <w:rsid w:val="09C86009"/>
    <w:rsid w:val="09CC68A5"/>
    <w:rsid w:val="09EF276F"/>
    <w:rsid w:val="0A140428"/>
    <w:rsid w:val="0A14667A"/>
    <w:rsid w:val="0A2166A1"/>
    <w:rsid w:val="0A2D3298"/>
    <w:rsid w:val="0A4A6522"/>
    <w:rsid w:val="0A537061"/>
    <w:rsid w:val="0A6F565E"/>
    <w:rsid w:val="0A851326"/>
    <w:rsid w:val="0A8C4462"/>
    <w:rsid w:val="0A8D3D36"/>
    <w:rsid w:val="0AC51722"/>
    <w:rsid w:val="0AC94BF5"/>
    <w:rsid w:val="0ACB31DC"/>
    <w:rsid w:val="0AF142C5"/>
    <w:rsid w:val="0B2E376B"/>
    <w:rsid w:val="0B464611"/>
    <w:rsid w:val="0B6B4077"/>
    <w:rsid w:val="0BC33EB3"/>
    <w:rsid w:val="0C060244"/>
    <w:rsid w:val="0C170B8A"/>
    <w:rsid w:val="0C216E2C"/>
    <w:rsid w:val="0C22507E"/>
    <w:rsid w:val="0C230DF6"/>
    <w:rsid w:val="0C3628D7"/>
    <w:rsid w:val="0C430B50"/>
    <w:rsid w:val="0C4F1BEB"/>
    <w:rsid w:val="0C5745FC"/>
    <w:rsid w:val="0CC43FE3"/>
    <w:rsid w:val="0CCF6888"/>
    <w:rsid w:val="0CD12600"/>
    <w:rsid w:val="0CD674C0"/>
    <w:rsid w:val="0CE265BB"/>
    <w:rsid w:val="0D087D8B"/>
    <w:rsid w:val="0D251F9D"/>
    <w:rsid w:val="0D2804A9"/>
    <w:rsid w:val="0D411050"/>
    <w:rsid w:val="0D4728C2"/>
    <w:rsid w:val="0D70006B"/>
    <w:rsid w:val="0DAD4E1B"/>
    <w:rsid w:val="0DB735A4"/>
    <w:rsid w:val="0DB8731C"/>
    <w:rsid w:val="0DDE4FD5"/>
    <w:rsid w:val="0DE620DB"/>
    <w:rsid w:val="0DEE0F90"/>
    <w:rsid w:val="0E060087"/>
    <w:rsid w:val="0E107158"/>
    <w:rsid w:val="0E216CB2"/>
    <w:rsid w:val="0E3C619F"/>
    <w:rsid w:val="0E470192"/>
    <w:rsid w:val="0E4A266A"/>
    <w:rsid w:val="0E54061E"/>
    <w:rsid w:val="0E5B1247"/>
    <w:rsid w:val="0E5D73A8"/>
    <w:rsid w:val="0E63197E"/>
    <w:rsid w:val="0E655899"/>
    <w:rsid w:val="0E6A2D0C"/>
    <w:rsid w:val="0E6B438E"/>
    <w:rsid w:val="0E736559"/>
    <w:rsid w:val="0E7C47EE"/>
    <w:rsid w:val="0E9448BE"/>
    <w:rsid w:val="0EA56624"/>
    <w:rsid w:val="0EA855E3"/>
    <w:rsid w:val="0EB07C3C"/>
    <w:rsid w:val="0EC95C85"/>
    <w:rsid w:val="0ECE5049"/>
    <w:rsid w:val="0EFB2CE8"/>
    <w:rsid w:val="0EFD592E"/>
    <w:rsid w:val="0F130CAE"/>
    <w:rsid w:val="0F452E31"/>
    <w:rsid w:val="0F515C7A"/>
    <w:rsid w:val="0F6058F3"/>
    <w:rsid w:val="0F621C35"/>
    <w:rsid w:val="0FFA00C0"/>
    <w:rsid w:val="101F18D4"/>
    <w:rsid w:val="103709CC"/>
    <w:rsid w:val="106E514D"/>
    <w:rsid w:val="10AD5132"/>
    <w:rsid w:val="10B16763"/>
    <w:rsid w:val="10EA3C90"/>
    <w:rsid w:val="10FD39C4"/>
    <w:rsid w:val="110C00AB"/>
    <w:rsid w:val="112221AD"/>
    <w:rsid w:val="112F57EF"/>
    <w:rsid w:val="11421C3D"/>
    <w:rsid w:val="11447845"/>
    <w:rsid w:val="115732CE"/>
    <w:rsid w:val="115B2DE0"/>
    <w:rsid w:val="116E48C1"/>
    <w:rsid w:val="11877731"/>
    <w:rsid w:val="11CB1D14"/>
    <w:rsid w:val="120174E4"/>
    <w:rsid w:val="12064AFA"/>
    <w:rsid w:val="121D3BF2"/>
    <w:rsid w:val="124A64D9"/>
    <w:rsid w:val="12525F91"/>
    <w:rsid w:val="12661A3D"/>
    <w:rsid w:val="129B3434"/>
    <w:rsid w:val="12CA3408"/>
    <w:rsid w:val="12D1335A"/>
    <w:rsid w:val="12F6691D"/>
    <w:rsid w:val="13541895"/>
    <w:rsid w:val="136C562E"/>
    <w:rsid w:val="13961EAE"/>
    <w:rsid w:val="13BA5351"/>
    <w:rsid w:val="13BF7656"/>
    <w:rsid w:val="13E1581F"/>
    <w:rsid w:val="13ED41C3"/>
    <w:rsid w:val="13EE5AF3"/>
    <w:rsid w:val="13F15336"/>
    <w:rsid w:val="13F35552"/>
    <w:rsid w:val="143A6CDD"/>
    <w:rsid w:val="143D057B"/>
    <w:rsid w:val="14404512"/>
    <w:rsid w:val="14445DAD"/>
    <w:rsid w:val="144638D4"/>
    <w:rsid w:val="14537014"/>
    <w:rsid w:val="147026FF"/>
    <w:rsid w:val="14A30D26"/>
    <w:rsid w:val="14A95C11"/>
    <w:rsid w:val="14AD5701"/>
    <w:rsid w:val="14C8253B"/>
    <w:rsid w:val="14D233B9"/>
    <w:rsid w:val="14DB04C0"/>
    <w:rsid w:val="14E54E9B"/>
    <w:rsid w:val="15086F25"/>
    <w:rsid w:val="151412DC"/>
    <w:rsid w:val="152754B3"/>
    <w:rsid w:val="1534197E"/>
    <w:rsid w:val="15397EDF"/>
    <w:rsid w:val="15642450"/>
    <w:rsid w:val="15695ACC"/>
    <w:rsid w:val="15787ABD"/>
    <w:rsid w:val="15806971"/>
    <w:rsid w:val="15910B7E"/>
    <w:rsid w:val="15B40B18"/>
    <w:rsid w:val="15B566CC"/>
    <w:rsid w:val="15C27804"/>
    <w:rsid w:val="15C90318"/>
    <w:rsid w:val="15D05B4B"/>
    <w:rsid w:val="15E433A4"/>
    <w:rsid w:val="164D719B"/>
    <w:rsid w:val="166B1868"/>
    <w:rsid w:val="166E1E4E"/>
    <w:rsid w:val="16797F90"/>
    <w:rsid w:val="167A7D4A"/>
    <w:rsid w:val="168626AD"/>
    <w:rsid w:val="16976668"/>
    <w:rsid w:val="169A3A63"/>
    <w:rsid w:val="16A575D1"/>
    <w:rsid w:val="16B8213B"/>
    <w:rsid w:val="16BA4105"/>
    <w:rsid w:val="16CA07EC"/>
    <w:rsid w:val="16DE1BA1"/>
    <w:rsid w:val="16EA49EA"/>
    <w:rsid w:val="17051824"/>
    <w:rsid w:val="170B2BB3"/>
    <w:rsid w:val="17141A67"/>
    <w:rsid w:val="17350E29"/>
    <w:rsid w:val="175C6F6A"/>
    <w:rsid w:val="176C53FF"/>
    <w:rsid w:val="17797B1C"/>
    <w:rsid w:val="179606CE"/>
    <w:rsid w:val="17AA301A"/>
    <w:rsid w:val="17C36FE9"/>
    <w:rsid w:val="17CC2342"/>
    <w:rsid w:val="17FF2717"/>
    <w:rsid w:val="18023FB5"/>
    <w:rsid w:val="18043F40"/>
    <w:rsid w:val="180970F2"/>
    <w:rsid w:val="1818352B"/>
    <w:rsid w:val="18240C92"/>
    <w:rsid w:val="184D106D"/>
    <w:rsid w:val="18512847"/>
    <w:rsid w:val="18581E27"/>
    <w:rsid w:val="185F6D12"/>
    <w:rsid w:val="18BF5A03"/>
    <w:rsid w:val="18CE5C46"/>
    <w:rsid w:val="18E14395"/>
    <w:rsid w:val="18F03E0E"/>
    <w:rsid w:val="18F558C8"/>
    <w:rsid w:val="19006747"/>
    <w:rsid w:val="19102702"/>
    <w:rsid w:val="19202945"/>
    <w:rsid w:val="19575C3B"/>
    <w:rsid w:val="19577592"/>
    <w:rsid w:val="197113F3"/>
    <w:rsid w:val="19931C6B"/>
    <w:rsid w:val="19BD2641"/>
    <w:rsid w:val="19DC4392"/>
    <w:rsid w:val="19EC6401"/>
    <w:rsid w:val="1A07370A"/>
    <w:rsid w:val="1A077661"/>
    <w:rsid w:val="1A277D03"/>
    <w:rsid w:val="1A4F2DB6"/>
    <w:rsid w:val="1A501008"/>
    <w:rsid w:val="1A7A42D7"/>
    <w:rsid w:val="1AA9696A"/>
    <w:rsid w:val="1ABA135F"/>
    <w:rsid w:val="1B293607"/>
    <w:rsid w:val="1B326960"/>
    <w:rsid w:val="1B75684C"/>
    <w:rsid w:val="1B776A68"/>
    <w:rsid w:val="1B797A2F"/>
    <w:rsid w:val="1BBE6F12"/>
    <w:rsid w:val="1BCA462D"/>
    <w:rsid w:val="1BCD024B"/>
    <w:rsid w:val="1BCE4516"/>
    <w:rsid w:val="1BD143CB"/>
    <w:rsid w:val="1C085913"/>
    <w:rsid w:val="1C2C6EB4"/>
    <w:rsid w:val="1C5D5C5E"/>
    <w:rsid w:val="1C6A081D"/>
    <w:rsid w:val="1C6C5EA1"/>
    <w:rsid w:val="1C8036FB"/>
    <w:rsid w:val="1C97240B"/>
    <w:rsid w:val="1C980A44"/>
    <w:rsid w:val="1C986C96"/>
    <w:rsid w:val="1C9B22E3"/>
    <w:rsid w:val="1CC21F65"/>
    <w:rsid w:val="1CD35F20"/>
    <w:rsid w:val="1CF77E61"/>
    <w:rsid w:val="1D0C4EF2"/>
    <w:rsid w:val="1D1125A5"/>
    <w:rsid w:val="1D1F3B6C"/>
    <w:rsid w:val="1D3A7D4E"/>
    <w:rsid w:val="1D3D339A"/>
    <w:rsid w:val="1D412E8A"/>
    <w:rsid w:val="1D48246B"/>
    <w:rsid w:val="1D4D0F01"/>
    <w:rsid w:val="1D4F618B"/>
    <w:rsid w:val="1D50131F"/>
    <w:rsid w:val="1D74500E"/>
    <w:rsid w:val="1D7E081F"/>
    <w:rsid w:val="1DE877AA"/>
    <w:rsid w:val="1E0C1593"/>
    <w:rsid w:val="1E110AAE"/>
    <w:rsid w:val="1E426EBA"/>
    <w:rsid w:val="1E5310C7"/>
    <w:rsid w:val="1E6A26E0"/>
    <w:rsid w:val="1E74728F"/>
    <w:rsid w:val="1E7B6870"/>
    <w:rsid w:val="1E9F255E"/>
    <w:rsid w:val="1ED41ADC"/>
    <w:rsid w:val="1EE429E9"/>
    <w:rsid w:val="1F026649"/>
    <w:rsid w:val="1F176598"/>
    <w:rsid w:val="1F325180"/>
    <w:rsid w:val="1F443106"/>
    <w:rsid w:val="1F645556"/>
    <w:rsid w:val="1F8F6DB2"/>
    <w:rsid w:val="1FA15E62"/>
    <w:rsid w:val="1FA80734"/>
    <w:rsid w:val="1FAE057F"/>
    <w:rsid w:val="1FD60202"/>
    <w:rsid w:val="1FED72F9"/>
    <w:rsid w:val="1FF266BE"/>
    <w:rsid w:val="20140D2A"/>
    <w:rsid w:val="202645B9"/>
    <w:rsid w:val="204C04C4"/>
    <w:rsid w:val="204D1B46"/>
    <w:rsid w:val="205B4263"/>
    <w:rsid w:val="209F6845"/>
    <w:rsid w:val="20A91472"/>
    <w:rsid w:val="20EF2BFD"/>
    <w:rsid w:val="21026DD4"/>
    <w:rsid w:val="211B1C44"/>
    <w:rsid w:val="213A47C0"/>
    <w:rsid w:val="21562C7C"/>
    <w:rsid w:val="216D6944"/>
    <w:rsid w:val="217F0425"/>
    <w:rsid w:val="21823A71"/>
    <w:rsid w:val="218D48F0"/>
    <w:rsid w:val="21A7792B"/>
    <w:rsid w:val="21AD0AEE"/>
    <w:rsid w:val="21B06830"/>
    <w:rsid w:val="21BC51D5"/>
    <w:rsid w:val="21C0138E"/>
    <w:rsid w:val="224156DA"/>
    <w:rsid w:val="22561186"/>
    <w:rsid w:val="226B2757"/>
    <w:rsid w:val="228026A7"/>
    <w:rsid w:val="22B32CC5"/>
    <w:rsid w:val="23045086"/>
    <w:rsid w:val="231F3C6E"/>
    <w:rsid w:val="23201794"/>
    <w:rsid w:val="234611FA"/>
    <w:rsid w:val="238B30B1"/>
    <w:rsid w:val="23A73CF3"/>
    <w:rsid w:val="23C6058D"/>
    <w:rsid w:val="23F8626D"/>
    <w:rsid w:val="23FB4356"/>
    <w:rsid w:val="242F6132"/>
    <w:rsid w:val="245165E7"/>
    <w:rsid w:val="24B86128"/>
    <w:rsid w:val="24BC729A"/>
    <w:rsid w:val="24D40A88"/>
    <w:rsid w:val="24E707BB"/>
    <w:rsid w:val="24F9229C"/>
    <w:rsid w:val="25046042"/>
    <w:rsid w:val="251175E6"/>
    <w:rsid w:val="25151BAE"/>
    <w:rsid w:val="25257535"/>
    <w:rsid w:val="252A06A8"/>
    <w:rsid w:val="253F3884"/>
    <w:rsid w:val="25401C79"/>
    <w:rsid w:val="254B6F9C"/>
    <w:rsid w:val="25641E0C"/>
    <w:rsid w:val="25A641D2"/>
    <w:rsid w:val="25BC0EAB"/>
    <w:rsid w:val="25C97EC1"/>
    <w:rsid w:val="25CE3729"/>
    <w:rsid w:val="25D54AB7"/>
    <w:rsid w:val="25D6438C"/>
    <w:rsid w:val="25DF56C4"/>
    <w:rsid w:val="25EB6089"/>
    <w:rsid w:val="25ED0053"/>
    <w:rsid w:val="25EE662D"/>
    <w:rsid w:val="25F969F8"/>
    <w:rsid w:val="25FF7D86"/>
    <w:rsid w:val="26092E0C"/>
    <w:rsid w:val="260B3AE0"/>
    <w:rsid w:val="26211AAB"/>
    <w:rsid w:val="262F241A"/>
    <w:rsid w:val="26355556"/>
    <w:rsid w:val="2637307C"/>
    <w:rsid w:val="2641214D"/>
    <w:rsid w:val="26413497"/>
    <w:rsid w:val="26467763"/>
    <w:rsid w:val="265C0D35"/>
    <w:rsid w:val="266050D7"/>
    <w:rsid w:val="26753BA5"/>
    <w:rsid w:val="26AA7CF2"/>
    <w:rsid w:val="26E01966"/>
    <w:rsid w:val="26F40F6D"/>
    <w:rsid w:val="27005B64"/>
    <w:rsid w:val="270B712E"/>
    <w:rsid w:val="27337E5F"/>
    <w:rsid w:val="273D2914"/>
    <w:rsid w:val="274517C9"/>
    <w:rsid w:val="2753038A"/>
    <w:rsid w:val="27545EB0"/>
    <w:rsid w:val="275F557D"/>
    <w:rsid w:val="27624129"/>
    <w:rsid w:val="277504A6"/>
    <w:rsid w:val="27D52B4D"/>
    <w:rsid w:val="27E15995"/>
    <w:rsid w:val="27E17743"/>
    <w:rsid w:val="27E86D24"/>
    <w:rsid w:val="281265C6"/>
    <w:rsid w:val="2829733C"/>
    <w:rsid w:val="284657F9"/>
    <w:rsid w:val="287265EE"/>
    <w:rsid w:val="287F0D0A"/>
    <w:rsid w:val="28C055AB"/>
    <w:rsid w:val="28DE1ED5"/>
    <w:rsid w:val="28DF17A9"/>
    <w:rsid w:val="28E55011"/>
    <w:rsid w:val="28E842A1"/>
    <w:rsid w:val="28F45255"/>
    <w:rsid w:val="291D4652"/>
    <w:rsid w:val="2936465A"/>
    <w:rsid w:val="29387837"/>
    <w:rsid w:val="29475CCC"/>
    <w:rsid w:val="296028EA"/>
    <w:rsid w:val="29C235A5"/>
    <w:rsid w:val="29D36CC5"/>
    <w:rsid w:val="29DA08EE"/>
    <w:rsid w:val="29DD3F3B"/>
    <w:rsid w:val="29F15C38"/>
    <w:rsid w:val="29FD282F"/>
    <w:rsid w:val="29FF2103"/>
    <w:rsid w:val="2A0C65CE"/>
    <w:rsid w:val="2A1A0CEB"/>
    <w:rsid w:val="2A1F09F7"/>
    <w:rsid w:val="2A30050E"/>
    <w:rsid w:val="2A314286"/>
    <w:rsid w:val="2A6B1546"/>
    <w:rsid w:val="2A7F3244"/>
    <w:rsid w:val="2A816F12"/>
    <w:rsid w:val="2ABF1892"/>
    <w:rsid w:val="2AEA4B61"/>
    <w:rsid w:val="2AF14141"/>
    <w:rsid w:val="2B255B99"/>
    <w:rsid w:val="2B34402E"/>
    <w:rsid w:val="2B3E30FF"/>
    <w:rsid w:val="2B4D6E9E"/>
    <w:rsid w:val="2B4F0E68"/>
    <w:rsid w:val="2B7E52A9"/>
    <w:rsid w:val="2B88437A"/>
    <w:rsid w:val="2BA80578"/>
    <w:rsid w:val="2BC76C50"/>
    <w:rsid w:val="2BE21CDC"/>
    <w:rsid w:val="2BEF7F55"/>
    <w:rsid w:val="2BFF463C"/>
    <w:rsid w:val="2C071743"/>
    <w:rsid w:val="2C7C300F"/>
    <w:rsid w:val="2C974875"/>
    <w:rsid w:val="2CB57E76"/>
    <w:rsid w:val="2CD0422B"/>
    <w:rsid w:val="2CD755B9"/>
    <w:rsid w:val="2CE33F5E"/>
    <w:rsid w:val="2CF5681C"/>
    <w:rsid w:val="2D145EC5"/>
    <w:rsid w:val="2D3B5B48"/>
    <w:rsid w:val="2D6A1F89"/>
    <w:rsid w:val="2D8D5C78"/>
    <w:rsid w:val="2DA03BFD"/>
    <w:rsid w:val="2DB476A8"/>
    <w:rsid w:val="2DBB4593"/>
    <w:rsid w:val="2DF857E7"/>
    <w:rsid w:val="2E2465DC"/>
    <w:rsid w:val="2E383E35"/>
    <w:rsid w:val="2E41718E"/>
    <w:rsid w:val="2E532A1D"/>
    <w:rsid w:val="2E690493"/>
    <w:rsid w:val="2E7127A1"/>
    <w:rsid w:val="2E840E29"/>
    <w:rsid w:val="2E8452CD"/>
    <w:rsid w:val="2E9C2616"/>
    <w:rsid w:val="2EB42CB5"/>
    <w:rsid w:val="2EB57234"/>
    <w:rsid w:val="2EC97183"/>
    <w:rsid w:val="2EFA10EB"/>
    <w:rsid w:val="2F1F7F46"/>
    <w:rsid w:val="2F2148C9"/>
    <w:rsid w:val="2F25260C"/>
    <w:rsid w:val="2F340AA1"/>
    <w:rsid w:val="2F370591"/>
    <w:rsid w:val="2F4405B8"/>
    <w:rsid w:val="2F6F649B"/>
    <w:rsid w:val="2F7F5230"/>
    <w:rsid w:val="2F8530AA"/>
    <w:rsid w:val="2F927575"/>
    <w:rsid w:val="2FB120F1"/>
    <w:rsid w:val="2FB35E69"/>
    <w:rsid w:val="2FC1027E"/>
    <w:rsid w:val="2FC82F97"/>
    <w:rsid w:val="2FD44032"/>
    <w:rsid w:val="2FE85726"/>
    <w:rsid w:val="2FEA0EE4"/>
    <w:rsid w:val="300C0F62"/>
    <w:rsid w:val="306058C5"/>
    <w:rsid w:val="30607673"/>
    <w:rsid w:val="30716B1B"/>
    <w:rsid w:val="30C9346B"/>
    <w:rsid w:val="30E107B4"/>
    <w:rsid w:val="30E12562"/>
    <w:rsid w:val="30FC4416"/>
    <w:rsid w:val="31140B8A"/>
    <w:rsid w:val="3115220C"/>
    <w:rsid w:val="315D43B0"/>
    <w:rsid w:val="31AD0696"/>
    <w:rsid w:val="31B732C3"/>
    <w:rsid w:val="31CF3EBA"/>
    <w:rsid w:val="31EF6F01"/>
    <w:rsid w:val="31FE2B92"/>
    <w:rsid w:val="320358CC"/>
    <w:rsid w:val="322C5A5F"/>
    <w:rsid w:val="322F72FD"/>
    <w:rsid w:val="32427031"/>
    <w:rsid w:val="325A6A70"/>
    <w:rsid w:val="32645A87"/>
    <w:rsid w:val="326571C3"/>
    <w:rsid w:val="326A2A2B"/>
    <w:rsid w:val="326A4C5E"/>
    <w:rsid w:val="326F5A60"/>
    <w:rsid w:val="32726D17"/>
    <w:rsid w:val="32870EE7"/>
    <w:rsid w:val="32FC0B79"/>
    <w:rsid w:val="33244988"/>
    <w:rsid w:val="33325CDC"/>
    <w:rsid w:val="33380434"/>
    <w:rsid w:val="33466FF4"/>
    <w:rsid w:val="33664FA1"/>
    <w:rsid w:val="336701F0"/>
    <w:rsid w:val="3370146E"/>
    <w:rsid w:val="337C6DC7"/>
    <w:rsid w:val="33857B1D"/>
    <w:rsid w:val="3390201E"/>
    <w:rsid w:val="339A10EE"/>
    <w:rsid w:val="33B10912"/>
    <w:rsid w:val="33B73A4E"/>
    <w:rsid w:val="33E67E90"/>
    <w:rsid w:val="33F20F2A"/>
    <w:rsid w:val="33F64577"/>
    <w:rsid w:val="340D18C0"/>
    <w:rsid w:val="3414192E"/>
    <w:rsid w:val="3415696D"/>
    <w:rsid w:val="342C7F98"/>
    <w:rsid w:val="343155AF"/>
    <w:rsid w:val="3435708E"/>
    <w:rsid w:val="343B642D"/>
    <w:rsid w:val="344352E2"/>
    <w:rsid w:val="34441786"/>
    <w:rsid w:val="344F3C87"/>
    <w:rsid w:val="345D7F7F"/>
    <w:rsid w:val="345E3ECA"/>
    <w:rsid w:val="34645984"/>
    <w:rsid w:val="349B511E"/>
    <w:rsid w:val="34C24459"/>
    <w:rsid w:val="34F767F8"/>
    <w:rsid w:val="34FB5BBD"/>
    <w:rsid w:val="351D3D85"/>
    <w:rsid w:val="35246EC1"/>
    <w:rsid w:val="35337105"/>
    <w:rsid w:val="353C792F"/>
    <w:rsid w:val="354220CE"/>
    <w:rsid w:val="35577297"/>
    <w:rsid w:val="35777F31"/>
    <w:rsid w:val="35A26038"/>
    <w:rsid w:val="35AF0E81"/>
    <w:rsid w:val="35E87EEF"/>
    <w:rsid w:val="361909F0"/>
    <w:rsid w:val="364000C3"/>
    <w:rsid w:val="3652180C"/>
    <w:rsid w:val="365E28A7"/>
    <w:rsid w:val="36905E7A"/>
    <w:rsid w:val="36BE06ED"/>
    <w:rsid w:val="36C46BA6"/>
    <w:rsid w:val="36E83F1F"/>
    <w:rsid w:val="37405B09"/>
    <w:rsid w:val="376D2DA2"/>
    <w:rsid w:val="37797999"/>
    <w:rsid w:val="37893954"/>
    <w:rsid w:val="379B1519"/>
    <w:rsid w:val="37B502A5"/>
    <w:rsid w:val="382316B2"/>
    <w:rsid w:val="382471D8"/>
    <w:rsid w:val="3834566E"/>
    <w:rsid w:val="383E025E"/>
    <w:rsid w:val="384F24A7"/>
    <w:rsid w:val="385555E4"/>
    <w:rsid w:val="38571F02"/>
    <w:rsid w:val="386121DB"/>
    <w:rsid w:val="3862667F"/>
    <w:rsid w:val="389205E6"/>
    <w:rsid w:val="3893040E"/>
    <w:rsid w:val="38AA1DD4"/>
    <w:rsid w:val="38B16CBE"/>
    <w:rsid w:val="38CD161E"/>
    <w:rsid w:val="38E36C27"/>
    <w:rsid w:val="38EC7CF6"/>
    <w:rsid w:val="3905700A"/>
    <w:rsid w:val="393618B9"/>
    <w:rsid w:val="393B0C7E"/>
    <w:rsid w:val="39537D75"/>
    <w:rsid w:val="397321C6"/>
    <w:rsid w:val="39785343"/>
    <w:rsid w:val="398268AC"/>
    <w:rsid w:val="39861EF9"/>
    <w:rsid w:val="39AE1450"/>
    <w:rsid w:val="39C07B1E"/>
    <w:rsid w:val="39CD7B28"/>
    <w:rsid w:val="39D00AF2"/>
    <w:rsid w:val="39E60BE9"/>
    <w:rsid w:val="39EC3F23"/>
    <w:rsid w:val="39EF3F42"/>
    <w:rsid w:val="3A2F2590"/>
    <w:rsid w:val="3A4659BD"/>
    <w:rsid w:val="3A612966"/>
    <w:rsid w:val="3A661D2A"/>
    <w:rsid w:val="3A775CE5"/>
    <w:rsid w:val="3AA0523C"/>
    <w:rsid w:val="3AA36ADA"/>
    <w:rsid w:val="3AB807D8"/>
    <w:rsid w:val="3B043A1D"/>
    <w:rsid w:val="3B070E17"/>
    <w:rsid w:val="3B2A71FC"/>
    <w:rsid w:val="3B2C2F74"/>
    <w:rsid w:val="3B334302"/>
    <w:rsid w:val="3B381919"/>
    <w:rsid w:val="3B4F27BE"/>
    <w:rsid w:val="3B5B1163"/>
    <w:rsid w:val="3B8C756F"/>
    <w:rsid w:val="3BDB547B"/>
    <w:rsid w:val="3C1001A0"/>
    <w:rsid w:val="3C241E9D"/>
    <w:rsid w:val="3C3176E0"/>
    <w:rsid w:val="3C340332"/>
    <w:rsid w:val="3C4B11D8"/>
    <w:rsid w:val="3C4D13F4"/>
    <w:rsid w:val="3C5C5193"/>
    <w:rsid w:val="3C8D0E2D"/>
    <w:rsid w:val="3CC86CCC"/>
    <w:rsid w:val="3CF531BE"/>
    <w:rsid w:val="3D0F66A9"/>
    <w:rsid w:val="3D115AB1"/>
    <w:rsid w:val="3D5642D8"/>
    <w:rsid w:val="3D605157"/>
    <w:rsid w:val="3DAC214A"/>
    <w:rsid w:val="3DC41242"/>
    <w:rsid w:val="3DD1395F"/>
    <w:rsid w:val="3DD516A1"/>
    <w:rsid w:val="3DE90CA8"/>
    <w:rsid w:val="3DEC0798"/>
    <w:rsid w:val="3DF179BE"/>
    <w:rsid w:val="3DFC4E7F"/>
    <w:rsid w:val="3E125345"/>
    <w:rsid w:val="3E157CEF"/>
    <w:rsid w:val="3E1F0B6E"/>
    <w:rsid w:val="3E261A87"/>
    <w:rsid w:val="3E265A58"/>
    <w:rsid w:val="3E3A59A8"/>
    <w:rsid w:val="3E3C527C"/>
    <w:rsid w:val="3E5666FD"/>
    <w:rsid w:val="3E594080"/>
    <w:rsid w:val="3E6622F9"/>
    <w:rsid w:val="3E66679D"/>
    <w:rsid w:val="3EAF3CA0"/>
    <w:rsid w:val="3ED100BA"/>
    <w:rsid w:val="3EEE4458"/>
    <w:rsid w:val="3F204B9E"/>
    <w:rsid w:val="3F406FEE"/>
    <w:rsid w:val="3F47212A"/>
    <w:rsid w:val="3F5B3E28"/>
    <w:rsid w:val="3F670307"/>
    <w:rsid w:val="3F6E3B5B"/>
    <w:rsid w:val="3F880CFE"/>
    <w:rsid w:val="3FAE152D"/>
    <w:rsid w:val="3FCF2120"/>
    <w:rsid w:val="3FD80FD4"/>
    <w:rsid w:val="3FDF6729"/>
    <w:rsid w:val="3FE06FE9"/>
    <w:rsid w:val="40295CD4"/>
    <w:rsid w:val="404B17A6"/>
    <w:rsid w:val="4061721C"/>
    <w:rsid w:val="406805AA"/>
    <w:rsid w:val="406B2131"/>
    <w:rsid w:val="40956EC5"/>
    <w:rsid w:val="40A9471F"/>
    <w:rsid w:val="40C652D1"/>
    <w:rsid w:val="40CA3013"/>
    <w:rsid w:val="40FE4A6B"/>
    <w:rsid w:val="41016309"/>
    <w:rsid w:val="410305B7"/>
    <w:rsid w:val="416C5E78"/>
    <w:rsid w:val="417E5BAB"/>
    <w:rsid w:val="418E2292"/>
    <w:rsid w:val="419929E5"/>
    <w:rsid w:val="41A27AEC"/>
    <w:rsid w:val="41B17D2F"/>
    <w:rsid w:val="41BF069E"/>
    <w:rsid w:val="41D41C6F"/>
    <w:rsid w:val="41F06AA9"/>
    <w:rsid w:val="41FD5D6A"/>
    <w:rsid w:val="42073099"/>
    <w:rsid w:val="423050F8"/>
    <w:rsid w:val="4242307D"/>
    <w:rsid w:val="424E557E"/>
    <w:rsid w:val="428060A3"/>
    <w:rsid w:val="42870A90"/>
    <w:rsid w:val="429C278D"/>
    <w:rsid w:val="42AF3336"/>
    <w:rsid w:val="42B775C7"/>
    <w:rsid w:val="42BF647C"/>
    <w:rsid w:val="42CB6BCE"/>
    <w:rsid w:val="42D23573"/>
    <w:rsid w:val="42E303BC"/>
    <w:rsid w:val="42E67EAC"/>
    <w:rsid w:val="42EA799C"/>
    <w:rsid w:val="43030A5E"/>
    <w:rsid w:val="433A3D54"/>
    <w:rsid w:val="4352109E"/>
    <w:rsid w:val="437D4EFD"/>
    <w:rsid w:val="43DB5537"/>
    <w:rsid w:val="43DD12AF"/>
    <w:rsid w:val="442E1B0B"/>
    <w:rsid w:val="442F13DF"/>
    <w:rsid w:val="44356037"/>
    <w:rsid w:val="44366C11"/>
    <w:rsid w:val="449B0822"/>
    <w:rsid w:val="44A771C7"/>
    <w:rsid w:val="44F00B6E"/>
    <w:rsid w:val="44FE3AFE"/>
    <w:rsid w:val="450A60D4"/>
    <w:rsid w:val="451231DA"/>
    <w:rsid w:val="451B597D"/>
    <w:rsid w:val="45252F0E"/>
    <w:rsid w:val="452627E2"/>
    <w:rsid w:val="45294080"/>
    <w:rsid w:val="452B7DF8"/>
    <w:rsid w:val="4537679D"/>
    <w:rsid w:val="453E5D7D"/>
    <w:rsid w:val="45435142"/>
    <w:rsid w:val="45927E77"/>
    <w:rsid w:val="45A2455E"/>
    <w:rsid w:val="45B27FEC"/>
    <w:rsid w:val="45B47DEE"/>
    <w:rsid w:val="45DD5596"/>
    <w:rsid w:val="460366D7"/>
    <w:rsid w:val="460A3EB2"/>
    <w:rsid w:val="461026A2"/>
    <w:rsid w:val="46144D30"/>
    <w:rsid w:val="46192347"/>
    <w:rsid w:val="46195EA3"/>
    <w:rsid w:val="46274A64"/>
    <w:rsid w:val="46333408"/>
    <w:rsid w:val="4642189D"/>
    <w:rsid w:val="46827EEC"/>
    <w:rsid w:val="4689127A"/>
    <w:rsid w:val="469F0A9E"/>
    <w:rsid w:val="46BA1434"/>
    <w:rsid w:val="46C329DE"/>
    <w:rsid w:val="46C93D6D"/>
    <w:rsid w:val="46CE4EDF"/>
    <w:rsid w:val="46F34BEB"/>
    <w:rsid w:val="47134FE8"/>
    <w:rsid w:val="47172313"/>
    <w:rsid w:val="471E7C15"/>
    <w:rsid w:val="47217705"/>
    <w:rsid w:val="472F1E22"/>
    <w:rsid w:val="473C135B"/>
    <w:rsid w:val="474D2516"/>
    <w:rsid w:val="474E7DCE"/>
    <w:rsid w:val="47596E9F"/>
    <w:rsid w:val="476C240D"/>
    <w:rsid w:val="47A65E5C"/>
    <w:rsid w:val="47A67C0A"/>
    <w:rsid w:val="47C87B80"/>
    <w:rsid w:val="47E67F40"/>
    <w:rsid w:val="47EF39AD"/>
    <w:rsid w:val="482256BB"/>
    <w:rsid w:val="482A083B"/>
    <w:rsid w:val="4832149E"/>
    <w:rsid w:val="48375B97"/>
    <w:rsid w:val="484216E1"/>
    <w:rsid w:val="48531B40"/>
    <w:rsid w:val="487970CD"/>
    <w:rsid w:val="48981C49"/>
    <w:rsid w:val="48AC1250"/>
    <w:rsid w:val="48E076C9"/>
    <w:rsid w:val="48F84978"/>
    <w:rsid w:val="4929464F"/>
    <w:rsid w:val="49380D36"/>
    <w:rsid w:val="493C0826"/>
    <w:rsid w:val="493C6A78"/>
    <w:rsid w:val="49470F79"/>
    <w:rsid w:val="497B72B8"/>
    <w:rsid w:val="49816239"/>
    <w:rsid w:val="499248EA"/>
    <w:rsid w:val="49A735B5"/>
    <w:rsid w:val="49BB30DD"/>
    <w:rsid w:val="49CA4084"/>
    <w:rsid w:val="4A05330E"/>
    <w:rsid w:val="4A17094B"/>
    <w:rsid w:val="4A437992"/>
    <w:rsid w:val="4A4A6C64"/>
    <w:rsid w:val="4A54394D"/>
    <w:rsid w:val="4A56522E"/>
    <w:rsid w:val="4A7933B4"/>
    <w:rsid w:val="4A8204BA"/>
    <w:rsid w:val="4AB368C6"/>
    <w:rsid w:val="4ACB00B3"/>
    <w:rsid w:val="4AD223BA"/>
    <w:rsid w:val="4AE42F23"/>
    <w:rsid w:val="4AEE5B50"/>
    <w:rsid w:val="4AF5418B"/>
    <w:rsid w:val="4AF60EA8"/>
    <w:rsid w:val="4B315A3D"/>
    <w:rsid w:val="4B5D4A84"/>
    <w:rsid w:val="4B5D6832"/>
    <w:rsid w:val="4B7778F3"/>
    <w:rsid w:val="4B7A5635"/>
    <w:rsid w:val="4B83098E"/>
    <w:rsid w:val="4B944949"/>
    <w:rsid w:val="4BC34C93"/>
    <w:rsid w:val="4BE96317"/>
    <w:rsid w:val="4BF21670"/>
    <w:rsid w:val="4C0575F5"/>
    <w:rsid w:val="4C0F2ADB"/>
    <w:rsid w:val="4C1C24D9"/>
    <w:rsid w:val="4C285091"/>
    <w:rsid w:val="4C3439F7"/>
    <w:rsid w:val="4C52210E"/>
    <w:rsid w:val="4C547C35"/>
    <w:rsid w:val="4C583BC9"/>
    <w:rsid w:val="4C63256E"/>
    <w:rsid w:val="4C7E73A7"/>
    <w:rsid w:val="4CA3296A"/>
    <w:rsid w:val="4CC4400D"/>
    <w:rsid w:val="4CD3324F"/>
    <w:rsid w:val="4CFE4613"/>
    <w:rsid w:val="4D19729C"/>
    <w:rsid w:val="4D317F76"/>
    <w:rsid w:val="4D550108"/>
    <w:rsid w:val="4D891B60"/>
    <w:rsid w:val="4DA370C6"/>
    <w:rsid w:val="4DCB4199"/>
    <w:rsid w:val="4DCE3A17"/>
    <w:rsid w:val="4DD92AE7"/>
    <w:rsid w:val="4DF07E31"/>
    <w:rsid w:val="4E2D4BE1"/>
    <w:rsid w:val="4E345F70"/>
    <w:rsid w:val="4E395334"/>
    <w:rsid w:val="4E3B72FE"/>
    <w:rsid w:val="4E606D65"/>
    <w:rsid w:val="4E7B2225"/>
    <w:rsid w:val="4EBE4A9B"/>
    <w:rsid w:val="4ECC61A8"/>
    <w:rsid w:val="4ED65279"/>
    <w:rsid w:val="4EE23C1E"/>
    <w:rsid w:val="4EEE25C2"/>
    <w:rsid w:val="4EF15C0F"/>
    <w:rsid w:val="4F155DA1"/>
    <w:rsid w:val="4F2C10E6"/>
    <w:rsid w:val="4F361873"/>
    <w:rsid w:val="4F363F69"/>
    <w:rsid w:val="4F691C49"/>
    <w:rsid w:val="4F8016F7"/>
    <w:rsid w:val="4FF37764"/>
    <w:rsid w:val="4FF754A7"/>
    <w:rsid w:val="501543CB"/>
    <w:rsid w:val="50302767"/>
    <w:rsid w:val="50407221"/>
    <w:rsid w:val="50697A27"/>
    <w:rsid w:val="507C775A"/>
    <w:rsid w:val="507F1FC4"/>
    <w:rsid w:val="508F1B83"/>
    <w:rsid w:val="50A373DC"/>
    <w:rsid w:val="50B52C6C"/>
    <w:rsid w:val="50BC224C"/>
    <w:rsid w:val="50DD469C"/>
    <w:rsid w:val="50E023DF"/>
    <w:rsid w:val="50FE2865"/>
    <w:rsid w:val="51087240"/>
    <w:rsid w:val="514A7C56"/>
    <w:rsid w:val="514C537E"/>
    <w:rsid w:val="515B3813"/>
    <w:rsid w:val="51A96C75"/>
    <w:rsid w:val="51B66C9C"/>
    <w:rsid w:val="51C8534D"/>
    <w:rsid w:val="51E11F6A"/>
    <w:rsid w:val="51E27A91"/>
    <w:rsid w:val="51E47CAD"/>
    <w:rsid w:val="51EE6435"/>
    <w:rsid w:val="522B58DB"/>
    <w:rsid w:val="524424F9"/>
    <w:rsid w:val="525C3CE7"/>
    <w:rsid w:val="5268268C"/>
    <w:rsid w:val="52854FEC"/>
    <w:rsid w:val="52AD009F"/>
    <w:rsid w:val="52AD4542"/>
    <w:rsid w:val="52AE3084"/>
    <w:rsid w:val="52E31D12"/>
    <w:rsid w:val="531620E8"/>
    <w:rsid w:val="534E4BBF"/>
    <w:rsid w:val="53620E89"/>
    <w:rsid w:val="5367649F"/>
    <w:rsid w:val="536C7F5A"/>
    <w:rsid w:val="538928BA"/>
    <w:rsid w:val="53A21BCD"/>
    <w:rsid w:val="53B37937"/>
    <w:rsid w:val="53C71634"/>
    <w:rsid w:val="53DF24DA"/>
    <w:rsid w:val="53EB5322"/>
    <w:rsid w:val="54930906"/>
    <w:rsid w:val="54AD082A"/>
    <w:rsid w:val="54B27BEE"/>
    <w:rsid w:val="54B576DE"/>
    <w:rsid w:val="54B86B3E"/>
    <w:rsid w:val="54CC5154"/>
    <w:rsid w:val="54DA0EF3"/>
    <w:rsid w:val="55020B76"/>
    <w:rsid w:val="550541C2"/>
    <w:rsid w:val="550A17D8"/>
    <w:rsid w:val="552C79A0"/>
    <w:rsid w:val="558306D2"/>
    <w:rsid w:val="55943798"/>
    <w:rsid w:val="55D83684"/>
    <w:rsid w:val="55FF50B5"/>
    <w:rsid w:val="560B7692"/>
    <w:rsid w:val="562468CA"/>
    <w:rsid w:val="562E599A"/>
    <w:rsid w:val="56334D5F"/>
    <w:rsid w:val="5643162A"/>
    <w:rsid w:val="565D6F39"/>
    <w:rsid w:val="56753CBB"/>
    <w:rsid w:val="56837A94"/>
    <w:rsid w:val="5684380C"/>
    <w:rsid w:val="56876E58"/>
    <w:rsid w:val="5689497F"/>
    <w:rsid w:val="568F73A8"/>
    <w:rsid w:val="56951575"/>
    <w:rsid w:val="569752EE"/>
    <w:rsid w:val="56996A54"/>
    <w:rsid w:val="56CF5DCB"/>
    <w:rsid w:val="57392E32"/>
    <w:rsid w:val="575D034E"/>
    <w:rsid w:val="57715B3F"/>
    <w:rsid w:val="57770C7B"/>
    <w:rsid w:val="57947A7F"/>
    <w:rsid w:val="57AC301B"/>
    <w:rsid w:val="57B343A9"/>
    <w:rsid w:val="57CC546B"/>
    <w:rsid w:val="57E502DB"/>
    <w:rsid w:val="581A4428"/>
    <w:rsid w:val="5822508B"/>
    <w:rsid w:val="58276B45"/>
    <w:rsid w:val="583E10B7"/>
    <w:rsid w:val="5852676D"/>
    <w:rsid w:val="587D49B7"/>
    <w:rsid w:val="587F6039"/>
    <w:rsid w:val="588642CA"/>
    <w:rsid w:val="589870FB"/>
    <w:rsid w:val="58A27F7A"/>
    <w:rsid w:val="58B24661"/>
    <w:rsid w:val="58B507D8"/>
    <w:rsid w:val="58CA7BFC"/>
    <w:rsid w:val="58CD3249"/>
    <w:rsid w:val="59267D45"/>
    <w:rsid w:val="59417793"/>
    <w:rsid w:val="594D25DB"/>
    <w:rsid w:val="595474C6"/>
    <w:rsid w:val="595B0854"/>
    <w:rsid w:val="596D4A2C"/>
    <w:rsid w:val="59725B9E"/>
    <w:rsid w:val="5999312B"/>
    <w:rsid w:val="599B6F3B"/>
    <w:rsid w:val="59CB09C8"/>
    <w:rsid w:val="5A0709DC"/>
    <w:rsid w:val="5A074538"/>
    <w:rsid w:val="5A132EDD"/>
    <w:rsid w:val="5A1F7D48"/>
    <w:rsid w:val="5A20384C"/>
    <w:rsid w:val="5A252C10"/>
    <w:rsid w:val="5A46501F"/>
    <w:rsid w:val="5A647BDD"/>
    <w:rsid w:val="5AA12BDF"/>
    <w:rsid w:val="5ACC7530"/>
    <w:rsid w:val="5ADD34EB"/>
    <w:rsid w:val="5B0F5D9A"/>
    <w:rsid w:val="5B296730"/>
    <w:rsid w:val="5B3E042E"/>
    <w:rsid w:val="5B857E0A"/>
    <w:rsid w:val="5B9E2C7A"/>
    <w:rsid w:val="5BD963A8"/>
    <w:rsid w:val="5BE43388"/>
    <w:rsid w:val="5BE663CF"/>
    <w:rsid w:val="5BF94355"/>
    <w:rsid w:val="5C0C22DA"/>
    <w:rsid w:val="5C142F3C"/>
    <w:rsid w:val="5C1E200D"/>
    <w:rsid w:val="5C4A2E02"/>
    <w:rsid w:val="5C693288"/>
    <w:rsid w:val="5C6C2D78"/>
    <w:rsid w:val="5C7834CB"/>
    <w:rsid w:val="5C8002B9"/>
    <w:rsid w:val="5C8C51C9"/>
    <w:rsid w:val="5CAE513F"/>
    <w:rsid w:val="5CB84B6A"/>
    <w:rsid w:val="5CB87D6C"/>
    <w:rsid w:val="5CBA1D36"/>
    <w:rsid w:val="5CCE30DB"/>
    <w:rsid w:val="5CDF7F7A"/>
    <w:rsid w:val="5D2378DB"/>
    <w:rsid w:val="5D414BCE"/>
    <w:rsid w:val="5D7E0FB5"/>
    <w:rsid w:val="5D8365CC"/>
    <w:rsid w:val="5D867E6A"/>
    <w:rsid w:val="5D8F6D1E"/>
    <w:rsid w:val="5DA216B3"/>
    <w:rsid w:val="5DAB167E"/>
    <w:rsid w:val="5DC70453"/>
    <w:rsid w:val="5DE352BC"/>
    <w:rsid w:val="5DE828D3"/>
    <w:rsid w:val="5DEC4171"/>
    <w:rsid w:val="5DFC1EDA"/>
    <w:rsid w:val="5E062D59"/>
    <w:rsid w:val="5E2E29DB"/>
    <w:rsid w:val="5E5835B4"/>
    <w:rsid w:val="5E7A5C21"/>
    <w:rsid w:val="5E7E6D93"/>
    <w:rsid w:val="5EA507C4"/>
    <w:rsid w:val="5EDD1D0C"/>
    <w:rsid w:val="5F0157EA"/>
    <w:rsid w:val="5F16521D"/>
    <w:rsid w:val="5F3A715E"/>
    <w:rsid w:val="5F4B136B"/>
    <w:rsid w:val="5F5875E4"/>
    <w:rsid w:val="5F6917F1"/>
    <w:rsid w:val="5FA647F3"/>
    <w:rsid w:val="5FAA44B0"/>
    <w:rsid w:val="5FD924D3"/>
    <w:rsid w:val="5FEB730D"/>
    <w:rsid w:val="603B318E"/>
    <w:rsid w:val="60430294"/>
    <w:rsid w:val="604C539B"/>
    <w:rsid w:val="607D5554"/>
    <w:rsid w:val="60AA3E6F"/>
    <w:rsid w:val="60BF33BF"/>
    <w:rsid w:val="60CA62C0"/>
    <w:rsid w:val="60E47381"/>
    <w:rsid w:val="610E43FE"/>
    <w:rsid w:val="61241E74"/>
    <w:rsid w:val="61395E3C"/>
    <w:rsid w:val="615564D1"/>
    <w:rsid w:val="61610431"/>
    <w:rsid w:val="61A86601"/>
    <w:rsid w:val="61B96A60"/>
    <w:rsid w:val="61D54F1C"/>
    <w:rsid w:val="61D92C5E"/>
    <w:rsid w:val="62141EE8"/>
    <w:rsid w:val="62175534"/>
    <w:rsid w:val="622F6D22"/>
    <w:rsid w:val="62426A55"/>
    <w:rsid w:val="62B0756B"/>
    <w:rsid w:val="62BE3C02"/>
    <w:rsid w:val="62EF200D"/>
    <w:rsid w:val="6300421A"/>
    <w:rsid w:val="632B573B"/>
    <w:rsid w:val="633A3BD0"/>
    <w:rsid w:val="633A772C"/>
    <w:rsid w:val="63421B9D"/>
    <w:rsid w:val="636C7B02"/>
    <w:rsid w:val="6379138E"/>
    <w:rsid w:val="63846BFA"/>
    <w:rsid w:val="639332E1"/>
    <w:rsid w:val="63963A64"/>
    <w:rsid w:val="639F3861"/>
    <w:rsid w:val="63A63014"/>
    <w:rsid w:val="63D23E09"/>
    <w:rsid w:val="63D95197"/>
    <w:rsid w:val="63FF0976"/>
    <w:rsid w:val="640B731B"/>
    <w:rsid w:val="64326656"/>
    <w:rsid w:val="644F13EC"/>
    <w:rsid w:val="64630F05"/>
    <w:rsid w:val="646B7259"/>
    <w:rsid w:val="64990483"/>
    <w:rsid w:val="64AB005B"/>
    <w:rsid w:val="64BB489D"/>
    <w:rsid w:val="64CD45D0"/>
    <w:rsid w:val="64D36927"/>
    <w:rsid w:val="64ED07CF"/>
    <w:rsid w:val="64F15490"/>
    <w:rsid w:val="64FE478A"/>
    <w:rsid w:val="651421FF"/>
    <w:rsid w:val="654E74BF"/>
    <w:rsid w:val="6558033E"/>
    <w:rsid w:val="656960A7"/>
    <w:rsid w:val="65875064"/>
    <w:rsid w:val="65A90B99"/>
    <w:rsid w:val="65B01F28"/>
    <w:rsid w:val="65C634F9"/>
    <w:rsid w:val="664D7777"/>
    <w:rsid w:val="66650F64"/>
    <w:rsid w:val="66B07D06"/>
    <w:rsid w:val="66B725C0"/>
    <w:rsid w:val="66C35C8B"/>
    <w:rsid w:val="66EF4CD2"/>
    <w:rsid w:val="66EF6A80"/>
    <w:rsid w:val="671E1113"/>
    <w:rsid w:val="67220C03"/>
    <w:rsid w:val="672A7AB8"/>
    <w:rsid w:val="67340937"/>
    <w:rsid w:val="67717495"/>
    <w:rsid w:val="677F6056"/>
    <w:rsid w:val="678418BE"/>
    <w:rsid w:val="678A0557"/>
    <w:rsid w:val="678C42CF"/>
    <w:rsid w:val="679118E5"/>
    <w:rsid w:val="679A2E90"/>
    <w:rsid w:val="679D028A"/>
    <w:rsid w:val="67F81964"/>
    <w:rsid w:val="68064081"/>
    <w:rsid w:val="68113120"/>
    <w:rsid w:val="68242304"/>
    <w:rsid w:val="682C160E"/>
    <w:rsid w:val="6865279D"/>
    <w:rsid w:val="686F7E78"/>
    <w:rsid w:val="6870599E"/>
    <w:rsid w:val="68882CE8"/>
    <w:rsid w:val="688B4586"/>
    <w:rsid w:val="688F22C8"/>
    <w:rsid w:val="68AF4719"/>
    <w:rsid w:val="68C77CB4"/>
    <w:rsid w:val="68CA1553"/>
    <w:rsid w:val="68CB0E27"/>
    <w:rsid w:val="68D45F2D"/>
    <w:rsid w:val="68FB795E"/>
    <w:rsid w:val="69076303"/>
    <w:rsid w:val="690C6AFD"/>
    <w:rsid w:val="691B497C"/>
    <w:rsid w:val="69635503"/>
    <w:rsid w:val="69636720"/>
    <w:rsid w:val="696A60B8"/>
    <w:rsid w:val="69801C11"/>
    <w:rsid w:val="69847953"/>
    <w:rsid w:val="699D6C67"/>
    <w:rsid w:val="69B1626F"/>
    <w:rsid w:val="69CA7330"/>
    <w:rsid w:val="69CC7408"/>
    <w:rsid w:val="69CE6E20"/>
    <w:rsid w:val="69E412A3"/>
    <w:rsid w:val="6A8A5962"/>
    <w:rsid w:val="6A933BC6"/>
    <w:rsid w:val="6A9962E0"/>
    <w:rsid w:val="6AAD4C88"/>
    <w:rsid w:val="6AB06526"/>
    <w:rsid w:val="6AC86D5F"/>
    <w:rsid w:val="6ADD3C1C"/>
    <w:rsid w:val="6AF1726A"/>
    <w:rsid w:val="6AF9548E"/>
    <w:rsid w:val="6B1A6F95"/>
    <w:rsid w:val="6B2E61E0"/>
    <w:rsid w:val="6B376C47"/>
    <w:rsid w:val="6B480E55"/>
    <w:rsid w:val="6B607F4C"/>
    <w:rsid w:val="6B6C069F"/>
    <w:rsid w:val="6B7834E8"/>
    <w:rsid w:val="6B79100E"/>
    <w:rsid w:val="6B7E1C6E"/>
    <w:rsid w:val="6BAE0CB8"/>
    <w:rsid w:val="6BB87D88"/>
    <w:rsid w:val="6BD46244"/>
    <w:rsid w:val="6BE0108D"/>
    <w:rsid w:val="6BE20961"/>
    <w:rsid w:val="6BF608B1"/>
    <w:rsid w:val="6BFC2025"/>
    <w:rsid w:val="6C0703C8"/>
    <w:rsid w:val="6C152AE5"/>
    <w:rsid w:val="6C1D7BEB"/>
    <w:rsid w:val="6C20148A"/>
    <w:rsid w:val="6C3513D9"/>
    <w:rsid w:val="6C417D7E"/>
    <w:rsid w:val="6C436ECD"/>
    <w:rsid w:val="6C5B2EC3"/>
    <w:rsid w:val="6C5B7135"/>
    <w:rsid w:val="6C627CF4"/>
    <w:rsid w:val="6C8034E5"/>
    <w:rsid w:val="6C855786"/>
    <w:rsid w:val="6CAD71C1"/>
    <w:rsid w:val="6CB542C8"/>
    <w:rsid w:val="6CF941B4"/>
    <w:rsid w:val="6D2B6338"/>
    <w:rsid w:val="6D325918"/>
    <w:rsid w:val="6D413DAD"/>
    <w:rsid w:val="6D4F64CA"/>
    <w:rsid w:val="6D5F37C3"/>
    <w:rsid w:val="6D617FAC"/>
    <w:rsid w:val="6D7E0B5E"/>
    <w:rsid w:val="6D8223FC"/>
    <w:rsid w:val="6D940381"/>
    <w:rsid w:val="6D9E4D5C"/>
    <w:rsid w:val="6DA85BDA"/>
    <w:rsid w:val="6DE24C48"/>
    <w:rsid w:val="6DE313AF"/>
    <w:rsid w:val="6DEC1F6B"/>
    <w:rsid w:val="6DFD5F26"/>
    <w:rsid w:val="6E072901"/>
    <w:rsid w:val="6E3A2CD6"/>
    <w:rsid w:val="6E3A4A84"/>
    <w:rsid w:val="6E4E6782"/>
    <w:rsid w:val="6E5D4C17"/>
    <w:rsid w:val="6E8A6EA2"/>
    <w:rsid w:val="6E9543B1"/>
    <w:rsid w:val="6E965BA6"/>
    <w:rsid w:val="6EAE7221"/>
    <w:rsid w:val="6EB011EB"/>
    <w:rsid w:val="6EB20ABF"/>
    <w:rsid w:val="6EBF6172"/>
    <w:rsid w:val="6EE80984"/>
    <w:rsid w:val="6F01647B"/>
    <w:rsid w:val="6F045092"/>
    <w:rsid w:val="6F082DD5"/>
    <w:rsid w:val="6F1654F2"/>
    <w:rsid w:val="6F1E6154"/>
    <w:rsid w:val="6F397E6E"/>
    <w:rsid w:val="6F5C6C7D"/>
    <w:rsid w:val="6F6046A7"/>
    <w:rsid w:val="6F9401C4"/>
    <w:rsid w:val="6F9C351D"/>
    <w:rsid w:val="6F9C7312"/>
    <w:rsid w:val="6FA06B69"/>
    <w:rsid w:val="6FA938B1"/>
    <w:rsid w:val="6FAF3250"/>
    <w:rsid w:val="6FCE205B"/>
    <w:rsid w:val="6FD76303"/>
    <w:rsid w:val="6FE50A20"/>
    <w:rsid w:val="6FE80510"/>
    <w:rsid w:val="70216130"/>
    <w:rsid w:val="702B4EBC"/>
    <w:rsid w:val="702B5468"/>
    <w:rsid w:val="702F7EED"/>
    <w:rsid w:val="70651A10"/>
    <w:rsid w:val="70673B2B"/>
    <w:rsid w:val="706933FF"/>
    <w:rsid w:val="706D73FE"/>
    <w:rsid w:val="70814BED"/>
    <w:rsid w:val="709D16AE"/>
    <w:rsid w:val="70A46B2D"/>
    <w:rsid w:val="70A83187"/>
    <w:rsid w:val="70B56644"/>
    <w:rsid w:val="70D54F38"/>
    <w:rsid w:val="70DF7B65"/>
    <w:rsid w:val="713F0A11"/>
    <w:rsid w:val="714D0F73"/>
    <w:rsid w:val="71A546C2"/>
    <w:rsid w:val="71AF7537"/>
    <w:rsid w:val="71DE7E1D"/>
    <w:rsid w:val="72203F91"/>
    <w:rsid w:val="722F68CA"/>
    <w:rsid w:val="724834E8"/>
    <w:rsid w:val="724E4FA2"/>
    <w:rsid w:val="7265409A"/>
    <w:rsid w:val="726732E2"/>
    <w:rsid w:val="72842772"/>
    <w:rsid w:val="729D55E2"/>
    <w:rsid w:val="72D405E0"/>
    <w:rsid w:val="72DD6326"/>
    <w:rsid w:val="72F22B73"/>
    <w:rsid w:val="72F62F44"/>
    <w:rsid w:val="732301DD"/>
    <w:rsid w:val="739A7D73"/>
    <w:rsid w:val="739F3B17"/>
    <w:rsid w:val="73AF1A71"/>
    <w:rsid w:val="73BF77DA"/>
    <w:rsid w:val="73C13552"/>
    <w:rsid w:val="73C60B68"/>
    <w:rsid w:val="73C92407"/>
    <w:rsid w:val="73CA4C47"/>
    <w:rsid w:val="73D56FFD"/>
    <w:rsid w:val="73EB05CF"/>
    <w:rsid w:val="74257F85"/>
    <w:rsid w:val="74387CB8"/>
    <w:rsid w:val="743C0E2B"/>
    <w:rsid w:val="744F0B5E"/>
    <w:rsid w:val="74640AAD"/>
    <w:rsid w:val="74716D26"/>
    <w:rsid w:val="748E78D8"/>
    <w:rsid w:val="74B11819"/>
    <w:rsid w:val="74C4779E"/>
    <w:rsid w:val="74D6302D"/>
    <w:rsid w:val="74DB0643"/>
    <w:rsid w:val="74E67714"/>
    <w:rsid w:val="74F02341"/>
    <w:rsid w:val="75385A96"/>
    <w:rsid w:val="754B6911"/>
    <w:rsid w:val="75504B8E"/>
    <w:rsid w:val="75994786"/>
    <w:rsid w:val="759C6025"/>
    <w:rsid w:val="75B570E6"/>
    <w:rsid w:val="75B94E29"/>
    <w:rsid w:val="75CE1F56"/>
    <w:rsid w:val="75DE03EB"/>
    <w:rsid w:val="75E62897"/>
    <w:rsid w:val="75ED062E"/>
    <w:rsid w:val="760B4F58"/>
    <w:rsid w:val="7621652A"/>
    <w:rsid w:val="765B4AC5"/>
    <w:rsid w:val="76756EFF"/>
    <w:rsid w:val="769431A0"/>
    <w:rsid w:val="76960CC6"/>
    <w:rsid w:val="76B178AE"/>
    <w:rsid w:val="76C05D43"/>
    <w:rsid w:val="76C07AF1"/>
    <w:rsid w:val="76CF41D8"/>
    <w:rsid w:val="76D37824"/>
    <w:rsid w:val="76D65566"/>
    <w:rsid w:val="76E934EC"/>
    <w:rsid w:val="76EE6D95"/>
    <w:rsid w:val="76EF6628"/>
    <w:rsid w:val="7718792D"/>
    <w:rsid w:val="77356731"/>
    <w:rsid w:val="773A3D47"/>
    <w:rsid w:val="774921DC"/>
    <w:rsid w:val="776C1A27"/>
    <w:rsid w:val="777C7EBC"/>
    <w:rsid w:val="777F79AC"/>
    <w:rsid w:val="778E4093"/>
    <w:rsid w:val="77DE46D3"/>
    <w:rsid w:val="77E3618D"/>
    <w:rsid w:val="7819395D"/>
    <w:rsid w:val="783C3AEF"/>
    <w:rsid w:val="78766669"/>
    <w:rsid w:val="78874D6A"/>
    <w:rsid w:val="788C2381"/>
    <w:rsid w:val="789C633C"/>
    <w:rsid w:val="78A6583E"/>
    <w:rsid w:val="78B2790D"/>
    <w:rsid w:val="792702FB"/>
    <w:rsid w:val="794013BD"/>
    <w:rsid w:val="795804B5"/>
    <w:rsid w:val="79654980"/>
    <w:rsid w:val="79E23A8A"/>
    <w:rsid w:val="79EE0E19"/>
    <w:rsid w:val="79FD55A8"/>
    <w:rsid w:val="7A0B19CB"/>
    <w:rsid w:val="7A4D3D91"/>
    <w:rsid w:val="7A5213A8"/>
    <w:rsid w:val="7A6733F7"/>
    <w:rsid w:val="7A721A4A"/>
    <w:rsid w:val="7A794B87"/>
    <w:rsid w:val="7A9D6AC7"/>
    <w:rsid w:val="7A9E283F"/>
    <w:rsid w:val="7ABD0F17"/>
    <w:rsid w:val="7AC65055"/>
    <w:rsid w:val="7AD16771"/>
    <w:rsid w:val="7AE77D42"/>
    <w:rsid w:val="7B0A57DF"/>
    <w:rsid w:val="7B0A7F26"/>
    <w:rsid w:val="7B1228E5"/>
    <w:rsid w:val="7B334D35"/>
    <w:rsid w:val="7B371A3C"/>
    <w:rsid w:val="7B451E91"/>
    <w:rsid w:val="7B705F89"/>
    <w:rsid w:val="7B713AB0"/>
    <w:rsid w:val="7B871525"/>
    <w:rsid w:val="7B9A085A"/>
    <w:rsid w:val="7B9A1258"/>
    <w:rsid w:val="7B9A3006"/>
    <w:rsid w:val="7BDA3403"/>
    <w:rsid w:val="7BDF4EBD"/>
    <w:rsid w:val="7BF87D2D"/>
    <w:rsid w:val="7BFE17E7"/>
    <w:rsid w:val="7C084414"/>
    <w:rsid w:val="7C484810"/>
    <w:rsid w:val="7C756C42"/>
    <w:rsid w:val="7C8F0691"/>
    <w:rsid w:val="7C920181"/>
    <w:rsid w:val="7CAB078B"/>
    <w:rsid w:val="7CC04CEF"/>
    <w:rsid w:val="7CD10CAA"/>
    <w:rsid w:val="7CD412AB"/>
    <w:rsid w:val="7D0C1CE2"/>
    <w:rsid w:val="7D2A03BA"/>
    <w:rsid w:val="7D480840"/>
    <w:rsid w:val="7D4E12AF"/>
    <w:rsid w:val="7D7635FF"/>
    <w:rsid w:val="7D9B3066"/>
    <w:rsid w:val="7D9F3AB2"/>
    <w:rsid w:val="7DAC5273"/>
    <w:rsid w:val="7DBA0AB7"/>
    <w:rsid w:val="7DD4121B"/>
    <w:rsid w:val="7DD6409E"/>
    <w:rsid w:val="7DED0F2E"/>
    <w:rsid w:val="7DF34C50"/>
    <w:rsid w:val="7E2E7A36"/>
    <w:rsid w:val="7E3E5A94"/>
    <w:rsid w:val="7E8835EA"/>
    <w:rsid w:val="7EB73ECF"/>
    <w:rsid w:val="7EBB27AA"/>
    <w:rsid w:val="7EC30AC6"/>
    <w:rsid w:val="7ECF1219"/>
    <w:rsid w:val="7EDD4B2B"/>
    <w:rsid w:val="7EEB1545"/>
    <w:rsid w:val="7EF649F8"/>
    <w:rsid w:val="7EFE1AFE"/>
    <w:rsid w:val="7F037914"/>
    <w:rsid w:val="7F043A6F"/>
    <w:rsid w:val="7F17671C"/>
    <w:rsid w:val="7F196938"/>
    <w:rsid w:val="7F2C666B"/>
    <w:rsid w:val="7F3E40AB"/>
    <w:rsid w:val="7F6D27E0"/>
    <w:rsid w:val="7F75661B"/>
    <w:rsid w:val="7F7678E7"/>
    <w:rsid w:val="7F8B3A42"/>
    <w:rsid w:val="7F8C710A"/>
    <w:rsid w:val="7FA97CBC"/>
    <w:rsid w:val="7FCA378E"/>
    <w:rsid w:val="7FE757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widowControl w:val="0"/>
      <w:bidi w:val="0"/>
      <w:snapToGrid w:val="0"/>
      <w:spacing w:line="360" w:lineRule="auto"/>
      <w:ind w:firstLine="400" w:firstLineChars="200"/>
      <w:jc w:val="both"/>
    </w:pPr>
    <w:rPr>
      <w:rFonts w:ascii="宋体" w:hAnsi="宋体" w:eastAsia="宋体" w:cs="宋体"/>
      <w:sz w:val="24"/>
      <w:szCs w:val="24"/>
      <w:highlight w:val="none"/>
    </w:rPr>
  </w:style>
  <w:style w:type="paragraph" w:styleId="2">
    <w:name w:val="heading 1"/>
    <w:basedOn w:val="1"/>
    <w:next w:val="1"/>
    <w:qFormat/>
    <w:uiPriority w:val="0"/>
    <w:pPr>
      <w:keepNext/>
      <w:keepLines w:val="0"/>
      <w:numPr>
        <w:ilvl w:val="0"/>
        <w:numId w:val="1"/>
      </w:numPr>
      <w:spacing w:beforeLines="0" w:afterLines="0"/>
      <w:ind w:firstLine="643" w:firstLineChars="200"/>
      <w:outlineLvl w:val="0"/>
    </w:pPr>
    <w:rPr>
      <w:rFonts w:ascii="宋体" w:hAnsi="宋体" w:cs="宋体"/>
      <w:b/>
      <w:kern w:val="44"/>
      <w:lang w:val="en-US" w:eastAsia="zh-CN"/>
    </w:rPr>
  </w:style>
  <w:style w:type="paragraph" w:styleId="3">
    <w:name w:val="heading 2"/>
    <w:basedOn w:val="2"/>
    <w:next w:val="1"/>
    <w:link w:val="23"/>
    <w:unhideWhenUsed/>
    <w:qFormat/>
    <w:uiPriority w:val="0"/>
    <w:pPr>
      <w:keepNext w:val="0"/>
      <w:keepLines w:val="0"/>
      <w:numPr>
        <w:ilvl w:val="1"/>
      </w:numPr>
      <w:outlineLvl w:val="1"/>
    </w:pPr>
  </w:style>
  <w:style w:type="paragraph" w:styleId="4">
    <w:name w:val="heading 3"/>
    <w:basedOn w:val="1"/>
    <w:next w:val="1"/>
    <w:unhideWhenUsed/>
    <w:qFormat/>
    <w:uiPriority w:val="0"/>
    <w:pPr>
      <w:keepNext w:val="0"/>
      <w:keepLines w:val="0"/>
      <w:numPr>
        <w:ilvl w:val="2"/>
        <w:numId w:val="1"/>
      </w:numPr>
      <w:spacing w:beforeLines="0" w:afterLines="0"/>
      <w:ind w:firstLine="643"/>
      <w:outlineLvl w:val="2"/>
    </w:pPr>
    <w:rPr>
      <w:b/>
    </w:rPr>
  </w:style>
  <w:style w:type="paragraph" w:styleId="5">
    <w:name w:val="heading 4"/>
    <w:basedOn w:val="1"/>
    <w:next w:val="1"/>
    <w:link w:val="24"/>
    <w:unhideWhenUsed/>
    <w:qFormat/>
    <w:uiPriority w:val="0"/>
    <w:pPr>
      <w:keepNext/>
      <w:keepLines w:val="0"/>
      <w:numPr>
        <w:ilvl w:val="3"/>
        <w:numId w:val="1"/>
      </w:numPr>
      <w:spacing w:beforeLines="0" w:beforeAutospacing="0" w:afterLines="0" w:afterAutospacing="0" w:line="360" w:lineRule="auto"/>
      <w:ind w:firstLine="643" w:firstLineChars="200"/>
      <w:outlineLvl w:val="3"/>
    </w:pPr>
    <w:rPr>
      <w:rFonts w:ascii="宋体" w:hAnsi="宋体" w:cs="宋体"/>
      <w:b/>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firstLine="402"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firstLine="402"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firstLine="402"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firstLine="402"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firstLine="402" w:firstLineChars="0"/>
      <w:outlineLvl w:val="8"/>
    </w:pPr>
    <w:rPr>
      <w:rFonts w:ascii="Arial" w:hAnsi="Arial" w:eastAsia="黑体"/>
      <w:sz w:val="21"/>
    </w:rPr>
  </w:style>
  <w:style w:type="character" w:default="1" w:styleId="21">
    <w:name w:val="Default Paragraph Font"/>
    <w:semiHidden/>
    <w:qFormat/>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11">
    <w:name w:val="annotation text"/>
    <w:basedOn w:val="1"/>
    <w:next w:val="1"/>
    <w:qFormat/>
    <w:uiPriority w:val="0"/>
    <w:pPr>
      <w:jc w:val="left"/>
    </w:pPr>
  </w:style>
  <w:style w:type="paragraph" w:styleId="12">
    <w:name w:val="toc 3"/>
    <w:basedOn w:val="1"/>
    <w:next w:val="1"/>
    <w:qFormat/>
    <w:uiPriority w:val="0"/>
    <w:pPr>
      <w:ind w:left="840" w:leftChars="400"/>
    </w:pPr>
  </w:style>
  <w:style w:type="paragraph" w:styleId="13">
    <w:name w:val="footer"/>
    <w:basedOn w:val="1"/>
    <w:qFormat/>
    <w:uiPriority w:val="0"/>
    <w:pPr>
      <w:tabs>
        <w:tab w:val="center" w:pos="4153"/>
        <w:tab w:val="right" w:pos="8306"/>
      </w:tabs>
      <w:autoSpaceDE w:val="0"/>
      <w:autoSpaceDN w:val="0"/>
      <w:adjustRightInd w:val="0"/>
      <w:snapToGrid w:val="0"/>
      <w:ind w:firstLine="0" w:firstLineChars="0"/>
      <w:jc w:val="left"/>
    </w:pPr>
    <w:rPr>
      <w:sz w:val="18"/>
    </w:rPr>
  </w:style>
  <w:style w:type="paragraph" w:styleId="1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qFormat/>
    <w:uiPriority w:val="0"/>
  </w:style>
  <w:style w:type="paragraph" w:styleId="16">
    <w:name w:val="toc 4"/>
    <w:basedOn w:val="1"/>
    <w:next w:val="1"/>
    <w:qFormat/>
    <w:uiPriority w:val="0"/>
    <w:pPr>
      <w:ind w:left="1260" w:leftChars="600"/>
    </w:pPr>
  </w:style>
  <w:style w:type="paragraph" w:styleId="17">
    <w:name w:val="toc 2"/>
    <w:basedOn w:val="1"/>
    <w:next w:val="1"/>
    <w:qFormat/>
    <w:uiPriority w:val="0"/>
    <w:pPr>
      <w:ind w:left="420" w:leftChars="200"/>
    </w:pPr>
  </w:style>
  <w:style w:type="paragraph" w:styleId="18">
    <w:name w:val="Normal (Web)"/>
    <w:basedOn w:val="1"/>
    <w:qFormat/>
    <w:uiPriority w:val="0"/>
    <w:pPr>
      <w:spacing w:before="0" w:beforeAutospacing="1" w:after="0" w:afterAutospacing="1"/>
      <w:ind w:left="0" w:right="0"/>
      <w:jc w:val="left"/>
    </w:pPr>
    <w:rPr>
      <w:kern w:val="0"/>
      <w:sz w:val="24"/>
      <w:lang w:val="en-US" w:eastAsia="zh-CN" w:bidi="ar"/>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rPr>
  </w:style>
  <w:style w:type="character" w:customStyle="1" w:styleId="23">
    <w:name w:val="标题 2 Char"/>
    <w:link w:val="3"/>
    <w:qFormat/>
    <w:uiPriority w:val="0"/>
    <w:rPr>
      <w:rFonts w:eastAsia="宋体"/>
    </w:rPr>
  </w:style>
  <w:style w:type="character" w:customStyle="1" w:styleId="24">
    <w:name w:val="标题 4 Char"/>
    <w:link w:val="5"/>
    <w:qFormat/>
    <w:uiPriority w:val="0"/>
    <w:rPr>
      <w:rFonts w:ascii="宋体" w:hAnsi="宋体" w:eastAsia="宋体" w:cs="宋体"/>
      <w:b/>
    </w:rPr>
  </w:style>
  <w:style w:type="paragraph" w:customStyle="1" w:styleId="25">
    <w:name w:val="参考文献专用"/>
    <w:basedOn w:val="1"/>
    <w:qFormat/>
    <w:uiPriority w:val="0"/>
    <w:pPr>
      <w:adjustRightInd w:val="0"/>
      <w:ind w:firstLine="0" w:firstLineChars="0"/>
    </w:pPr>
    <w:rPr>
      <w:rFonts w:hint="eastAsi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extobjs>
    <extobj name="ECB019B1-382A-4266-B25C-5B523AA43C14-1">
      <extobjdata type="ECB019B1-382A-4266-B25C-5B523AA43C14" data="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1049</Words>
  <Characters>1169</Characters>
  <Lines>0</Lines>
  <Paragraphs>0</Paragraphs>
  <TotalTime>61</TotalTime>
  <ScaleCrop>false</ScaleCrop>
  <LinksUpToDate>false</LinksUpToDate>
  <CharactersWithSpaces>1331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2026-03-13T07:07:00Z</dcterms:created>
  <dc:creator>WPS_1650892062</dc:creator>
  <cp:lastModifiedBy>15528722150</cp:lastModifiedBy>
  <dcterms:modified xsi:type="dcterms:W3CDTF">2026-10-23T10:31:32Z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1ED21A4CFAB34E30A5758B98DA2D35FA_13</vt:lpwstr>
  </property>
  <property fmtid="{D5CDD505-2E9C-101B-9397-08002B2CF9AE}" pid="4" name="KSOTemplateDocerSaveRecord">
    <vt:lpwstr>eyJoZGlkIjoiOWFkMzAxMzQ0MDI2Zjc4YWJkODQ0NjQxMjZlY2Y4M2UiLCJ1c2VySWQiOiIxMzY1MTIxMTEyIn0=</vt:lpwstr>
  </property>
</Properties>
</file>