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b/>
          <w:color w:val="087E8B"/>
          <w:sz w:val="20"/>
        </w:rPr>
        <w:t>PRODUCT LAUNCH PLAYBOOK</w:t>
      </w:r>
    </w:p>
    <w:p>
      <w:pPr>
        <w:pStyle w:val="Title"/>
      </w:pPr>
      <w:r>
        <w:t>Multi-Agent</w:t>
        <w:br/>
        <w:t>Workspace Guardian</w:t>
      </w:r>
    </w:p>
    <w:p>
      <w:r>
        <w:rPr>
          <w:color w:val="56687A"/>
          <w:sz w:val="24"/>
        </w:rPr>
        <w:t>Six-week business validation and engineering plan  |  19 October – 29 November 2026</w:t>
      </w:r>
    </w:p>
    <w:p>
      <w:pPr>
        <w:pStyle w:val="Heading1"/>
      </w:pPr>
      <w:r>
        <w:t>Mission</w:t>
      </w:r>
    </w:p>
    <w:p>
      <w:r>
        <w:t>Help individual AI-assisted developers coordinate concurrent coding tasks, detect integration risks before merge, and hand off verified work without a heavyweight orchestration platform.</w:t>
      </w:r>
    </w:p>
    <w:p>
      <w:pPr>
        <w:pStyle w:val="Heading1"/>
      </w:pPr>
      <w:r>
        <w:t>The product bet</w:t>
      </w:r>
    </w:p>
    <w:p>
      <w:r>
        <w:t>Start with individual Claude Code users running two or more parallel sessions in one Git repository. Provide task claims, explainable overlap warnings and concise evidence-based handoff reports. Offer a free core first; test willingness to pay only after repeat use is demonstrated.</w:t>
      </w:r>
    </w:p>
    <w:p>
      <w:pPr>
        <w:pStyle w:val="Heading1"/>
      </w:pPr>
      <w:r>
        <w:t>Our differentiator</w:t>
      </w:r>
    </w:p>
    <w:p>
      <w:r>
        <w:t>Claude Code already supports Git worktrees. Conductor and Claude Squad already run multiple coding sessions. A new session launcher is not enough. We must validate a clear unmet gap: proactive coordination before overlapping changes and auditable handoff before integration.</w:t>
      </w:r>
    </w:p>
    <w:p>
      <w:pPr>
        <w:pStyle w:val="Heading1"/>
      </w:pPr>
      <w:r>
        <w:t>Hard boundaries</w:t>
      </w:r>
    </w:p>
    <w:p>
      <w:pPr>
        <w:pStyle w:val="ListBullet"/>
        <w:spacing w:after="80"/>
      </w:pPr>
      <w:r>
        <w:rPr>
          <w:b/>
        </w:rPr>
        <w:t>Local-first, read-only inspection</w:t>
      </w:r>
      <w:r>
        <w:t xml:space="preserve"> — No required cloud account, code uploads or background telemetry.</w:t>
      </w:r>
    </w:p>
    <w:p>
      <w:pPr>
        <w:pStyle w:val="ListBullet"/>
        <w:spacing w:after="80"/>
      </w:pPr>
      <w:r>
        <w:rPr>
          <w:b/>
        </w:rPr>
        <w:t>Manual integration</w:t>
      </w:r>
      <w:r>
        <w:t xml:space="preserve"> — No automatic merge, rebase, push, reset, delete or unchecked repository writes.</w:t>
      </w:r>
    </w:p>
    <w:p>
      <w:pPr>
        <w:pStyle w:val="ListBullet"/>
        <w:spacing w:after="80"/>
      </w:pPr>
      <w:r>
        <w:rPr>
          <w:b/>
        </w:rPr>
        <w:t>Synthetic examples only</w:t>
      </w:r>
      <w:r>
        <w:t xml:space="preserve"> — No employer/customer source code, secrets, incident data, or proprietary workflow exports.</w:t>
      </w:r>
    </w:p>
    <w:p>
      <w:pPr>
        <w:pStyle w:val="ListBullet"/>
        <w:spacing w:after="80"/>
      </w:pPr>
      <w:r>
        <w:rPr>
          <w:b/>
        </w:rPr>
        <w:t>Evidence over optics</w:t>
      </w:r>
      <w:r>
        <w:t xml:space="preserve"> — Features shipped are not proof of demand, retention or revenue.</w:t>
      </w:r>
    </w:p>
    <w:p>
      <w:pPr>
        <w:pStyle w:val="Heading1"/>
      </w:pPr>
      <w:r>
        <w:t>Commercial hypothesis</w:t>
      </w:r>
    </w:p>
    <w:p>
      <w:r>
        <w:t>Free useful base skill + CLI; optional $19–$29 one-time Pro offer if user research identifies genuine premium value. Exact price, plan structure, demand and conversion remain unproven assumptions.</w:t>
      </w:r>
    </w:p>
    <w:p>
      <w:r>
        <w:br w:type="page"/>
      </w:r>
    </w:p>
    <w:p>
      <w:pPr>
        <w:pStyle w:val="Heading1"/>
      </w:pPr>
      <w:r>
        <w:t>1  |  Six-week execution gates</w:t>
      </w:r>
    </w:p>
    <w:p>
      <w:r>
        <w:t>The founder approves each release gate. Engineering may start limited discovery earlier, but G1 problem validation must precede any substantial product expansion.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792"/>
            <w:shd w:fill="10243A"/>
            <w:vAlign w:val="center"/>
          </w:tcPr>
          <w:p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1440"/>
            <w:shd w:fill="10243A"/>
            <w:vAlign w:val="center"/>
          </w:tcPr>
          <w:p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3802"/>
            <w:shd w:fill="10243A"/>
            <w:vAlign w:val="center"/>
          </w:tcPr>
          <w:p>
            <w:r>
              <w:rPr>
                <w:b/>
                <w:color w:val="FFFFFF"/>
                <w:sz w:val="15"/>
              </w:rPr>
              <w:t>Required output</w:t>
            </w:r>
          </w:p>
        </w:tc>
        <w:tc>
          <w:tcPr>
            <w:tcW w:type="dxa" w:w="3629"/>
            <w:shd w:fill="10243A"/>
            <w:vAlign w:val="center"/>
          </w:tcPr>
          <w:p>
            <w:r>
              <w:rPr>
                <w:b/>
                <w:color w:val="FFFFFF"/>
                <w:sz w:val="15"/>
              </w:rPr>
              <w:t>Pass condition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G1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5"/>
              </w:rPr>
              <w:t>19–25 Oct</w:t>
            </w:r>
          </w:p>
        </w:tc>
        <w:tc>
          <w:tcPr>
            <w:tcW w:type="dxa" w:w="3802"/>
            <w:vAlign w:val="center"/>
          </w:tcPr>
          <w:p>
            <w:pPr>
              <w:spacing w:after="0"/>
            </w:pPr>
            <w:r>
              <w:rPr>
                <w:sz w:val="15"/>
              </w:rPr>
              <w:t>10 competitors; 8–10 interviews; PRD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>
              <w:rPr>
                <w:sz w:val="15"/>
              </w:rPr>
              <w:t>≥5 users describe a recent actual problem</w:t>
            </w:r>
          </w:p>
        </w:tc>
      </w:tr>
      <w:tr>
        <w:tc>
          <w:tcPr>
            <w:tcW w:type="dxa" w:w="792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G2</w:t>
            </w:r>
          </w:p>
        </w:tc>
        <w:tc>
          <w:tcPr>
            <w:tcW w:type="dxa" w:w="1440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26 Oct–1 Nov</w:t>
            </w:r>
          </w:p>
        </w:tc>
        <w:tc>
          <w:tcPr>
            <w:tcW w:type="dxa" w:w="3802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Offline CLI prototype; 20+ test fixtures</w:t>
            </w:r>
          </w:p>
        </w:tc>
        <w:tc>
          <w:tcPr>
            <w:tcW w:type="dxa" w:w="3629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Deterministic warnings, no unsolicited writes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G3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5"/>
              </w:rPr>
              <w:t>2–8 Nov</w:t>
            </w:r>
          </w:p>
        </w:tc>
        <w:tc>
          <w:tcPr>
            <w:tcW w:type="dxa" w:w="3802"/>
            <w:vAlign w:val="center"/>
          </w:tcPr>
          <w:p>
            <w:pPr>
              <w:spacing w:after="0"/>
            </w:pPr>
            <w:r>
              <w:rPr>
                <w:sz w:val="15"/>
              </w:rPr>
              <w:t>Private alpha with 5 qualified testers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>
              <w:rPr>
                <w:sz w:val="15"/>
              </w:rPr>
              <w:t>≥4 successfully finish full workflow; safe</w:t>
            </w:r>
          </w:p>
        </w:tc>
      </w:tr>
      <w:tr>
        <w:tc>
          <w:tcPr>
            <w:tcW w:type="dxa" w:w="792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G4</w:t>
            </w:r>
          </w:p>
        </w:tc>
        <w:tc>
          <w:tcPr>
            <w:tcW w:type="dxa" w:w="1440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9–15 Nov</w:t>
            </w:r>
          </w:p>
        </w:tc>
        <w:tc>
          <w:tcPr>
            <w:tcW w:type="dxa" w:w="3802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Public free beta + docs + demos</w:t>
            </w:r>
          </w:p>
        </w:tc>
        <w:tc>
          <w:tcPr>
            <w:tcW w:type="dxa" w:w="3629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0 known P0/P1 defects; clean installer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G5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5"/>
              </w:rPr>
              <w:t>16–22 Nov</w:t>
            </w:r>
          </w:p>
        </w:tc>
        <w:tc>
          <w:tcPr>
            <w:tcW w:type="dxa" w:w="3802"/>
            <w:vAlign w:val="center"/>
          </w:tcPr>
          <w:p>
            <w:pPr>
              <w:spacing w:after="0"/>
            </w:pPr>
            <w:r>
              <w:rPr>
                <w:sz w:val="15"/>
              </w:rPr>
              <w:t>Paid-value experiment + checkout test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>
              <w:rPr>
                <w:sz w:val="15"/>
              </w:rPr>
              <w:t>Clear premium value; real purchase evidence</w:t>
            </w:r>
          </w:p>
        </w:tc>
      </w:tr>
      <w:tr>
        <w:tc>
          <w:tcPr>
            <w:tcW w:type="dxa" w:w="792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G6</w:t>
            </w:r>
          </w:p>
        </w:tc>
        <w:tc>
          <w:tcPr>
            <w:tcW w:type="dxa" w:w="1440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23–29 Nov</w:t>
            </w:r>
          </w:p>
        </w:tc>
        <w:tc>
          <w:tcPr>
            <w:tcW w:type="dxa" w:w="3802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Cohort/funnel review and founder decision</w:t>
            </w:r>
          </w:p>
        </w:tc>
        <w:tc>
          <w:tcPr>
            <w:tcW w:type="dxa" w:w="3629"/>
            <w:shd w:fill="EFF5F7"/>
            <w:vAlign w:val="center"/>
          </w:tcPr>
          <w:p>
            <w:pPr>
              <w:spacing w:after="0"/>
            </w:pPr>
            <w:r>
              <w:rPr>
                <w:sz w:val="15"/>
              </w:rPr>
              <w:t>50 installs; 15 activated; 8 repeat; 3 paid</w:t>
            </w:r>
          </w:p>
        </w:tc>
      </w:tr>
    </w:tbl>
    <w:p>
      <w:pPr>
        <w:spacing w:after="0"/>
      </w:pPr>
    </w:p>
    <w:p>
      <w:pPr>
        <w:pStyle w:val="Heading2"/>
      </w:pPr>
      <w:r>
        <w:t>Decision rules</w:t>
      </w:r>
    </w:p>
    <w:p>
      <w:pPr>
        <w:pStyle w:val="ListBullet"/>
        <w:spacing w:after="80"/>
      </w:pPr>
      <w:r>
        <w:rPr>
          <w:b/>
        </w:rPr>
        <w:t>Scale</w:t>
      </w:r>
      <w:r>
        <w:t xml:space="preserve"> — Safety and value gates pass, funnel meets or meaningfully approaches targets with paid evidence.</w:t>
      </w:r>
    </w:p>
    <w:p>
      <w:pPr>
        <w:pStyle w:val="ListBullet"/>
        <w:spacing w:after="80"/>
      </w:pPr>
      <w:r>
        <w:rPr>
          <w:b/>
        </w:rPr>
        <w:t>Iterate</w:t>
      </w:r>
      <w:r>
        <w:t xml:space="preserve"> — Use and enthusiasm are genuine, but adoption, retention or purchases underperform. Test a specific funnel bottleneck.</w:t>
      </w:r>
    </w:p>
    <w:p>
      <w:pPr>
        <w:pStyle w:val="ListBullet"/>
        <w:spacing w:after="80"/>
      </w:pPr>
      <w:r>
        <w:rPr>
          <w:b/>
        </w:rPr>
        <w:t>Pivot</w:t>
      </w:r>
      <w:r>
        <w:t xml:space="preserve"> — Users consistently value a narrower feature than the proposed product; redefine the wedge.</w:t>
      </w:r>
    </w:p>
    <w:p>
      <w:pPr>
        <w:pStyle w:val="ListBullet"/>
        <w:spacing w:after="80"/>
      </w:pPr>
      <w:r>
        <w:rPr>
          <w:b/>
        </w:rPr>
        <w:t>Stop</w:t>
      </w:r>
      <w:r>
        <w:t xml:space="preserve"> — No compelling real problem is validated, or a credible safe implementation remains infeasible.</w:t>
      </w:r>
    </w:p>
    <w:p>
      <w:pPr>
        <w:pStyle w:val="Heading2"/>
      </w:pPr>
      <w:r>
        <w:t>Roles and accountability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10243A"/>
            <w:vAlign w:val="center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4392"/>
            <w:shd w:fill="10243A"/>
            <w:vAlign w:val="center"/>
          </w:tcPr>
          <w:p>
            <w:r>
              <w:rPr>
                <w:b/>
                <w:color w:val="FFFFFF"/>
                <w:sz w:val="16"/>
              </w:rPr>
              <w:t>Accountable work</w:t>
            </w:r>
          </w:p>
        </w:tc>
        <w:tc>
          <w:tcPr>
            <w:tcW w:type="dxa" w:w="3456"/>
            <w:shd w:fill="10243A"/>
            <w:vAlign w:val="center"/>
          </w:tcPr>
          <w:p>
            <w:r>
              <w:rPr>
                <w:b/>
                <w:color w:val="FFFFFF"/>
                <w:sz w:val="16"/>
              </w:rPr>
              <w:t>Approval / evidence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6"/>
              </w:rPr>
              <w:t>Founder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sz w:val="16"/>
              </w:rPr>
              <w:t>Customer research, priorities, distribution, release and pricing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6"/>
              </w:rPr>
              <w:t>Owns gate decisions; reviews evidence</w:t>
            </w:r>
          </w:p>
        </w:tc>
      </w:tr>
      <w:tr>
        <w:tc>
          <w:tcPr>
            <w:tcW w:type="dxa" w:w="1800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Claude Code</w:t>
            </w:r>
          </w:p>
        </w:tc>
        <w:tc>
          <w:tcPr>
            <w:tcW w:type="dxa" w:w="439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Ticket-scoped implementation, tests and docs</w:t>
            </w:r>
          </w:p>
        </w:tc>
        <w:tc>
          <w:tcPr>
            <w:tcW w:type="dxa" w:w="3456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Human code/security review required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6"/>
              </w:rPr>
              <w:t>ChatGPT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>
              <w:rPr>
                <w:sz w:val="16"/>
              </w:rPr>
              <w:t>Specification review, docs, research synthesis, weekly assessment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6"/>
              </w:rPr>
              <w:t>Works on request; does not own autonomous work</w:t>
            </w:r>
          </w:p>
        </w:tc>
      </w:tr>
    </w:tbl>
    <w:p>
      <w:pPr>
        <w:spacing w:after="0"/>
      </w:pPr>
    </w:p>
    <w:p>
      <w:r>
        <w:t>No AI assistant should be treated as a continuously running project manager without explicitly configured access and scheduling.</w:t>
      </w:r>
    </w:p>
    <w:p>
      <w:r>
        <w:br w:type="page"/>
      </w:r>
    </w:p>
    <w:p>
      <w:pPr>
        <w:pStyle w:val="Heading1"/>
      </w:pPr>
      <w:r>
        <w:t>2  |  Product MVP specification</w:t>
      </w:r>
    </w:p>
    <w:p>
      <w:pPr>
        <w:pStyle w:val="Heading2"/>
      </w:pPr>
      <w:r>
        <w:t>P0: Main customer journey</w:t>
      </w:r>
    </w:p>
    <w:p>
      <w:r>
        <w:rPr>
          <w:b/>
          <w:color w:val="087E8B"/>
        </w:rPr>
        <w:t xml:space="preserve">1. </w:t>
      </w:r>
      <w:r>
        <w:rPr>
          <w:b w:val="0"/>
        </w:rPr>
        <w:t>Inspect a local Git repository and worktrees (`guardian inspect`).</w:t>
      </w:r>
    </w:p>
    <w:p>
      <w:r>
        <w:rPr>
          <w:b/>
          <w:color w:val="087E8B"/>
        </w:rPr>
        <w:t xml:space="preserve">2. </w:t>
      </w:r>
      <w:r>
        <w:rPr>
          <w:b w:val="0"/>
        </w:rPr>
        <w:t>Register a scoped task and expected owned paths with an explicit write (`guardian task add`).</w:t>
      </w:r>
    </w:p>
    <w:p>
      <w:r>
        <w:rPr>
          <w:b/>
          <w:color w:val="087E8B"/>
        </w:rPr>
        <w:t xml:space="preserve">3. </w:t>
      </w:r>
      <w:r>
        <w:rPr>
          <w:b w:val="0"/>
        </w:rPr>
        <w:t>Compare claims, local changed paths and branch state; report advisory overlap risks (`guardian check`).</w:t>
      </w:r>
    </w:p>
    <w:p>
      <w:r>
        <w:rPr>
          <w:b/>
          <w:color w:val="087E8B"/>
        </w:rPr>
        <w:t xml:space="preserve">4. </w:t>
      </w:r>
      <w:r>
        <w:rPr>
          <w:b w:val="0"/>
        </w:rPr>
        <w:t>Generate Markdown + versioned JSON handoff with commits, changed files, known tests and unknowns (`guardian handoff`).</w:t>
      </w:r>
    </w:p>
    <w:p>
      <w:r>
        <w:rPr>
          <w:b/>
          <w:color w:val="087E8B"/>
        </w:rPr>
        <w:t xml:space="preserve">5. </w:t>
      </w:r>
      <w:r>
        <w:rPr>
          <w:b w:val="0"/>
        </w:rPr>
        <w:t>Let the developer review, test and integrate manually.</w:t>
      </w:r>
    </w:p>
    <w:p>
      <w:pPr>
        <w:pStyle w:val="Heading2"/>
      </w:pPr>
      <w:r>
        <w:t>Definition of done for P0</w:t>
      </w:r>
    </w:p>
    <w:p>
      <w:pPr>
        <w:pStyle w:val="ListBullet"/>
        <w:spacing w:after="80"/>
      </w:pPr>
      <w:r>
        <w:rPr>
          <w:b/>
        </w:rPr>
        <w:t>Functional</w:t>
      </w:r>
      <w:r>
        <w:t xml:space="preserve"> — All commands work offline with real Git repos on macOS/Linux; clear error cases.</w:t>
      </w:r>
    </w:p>
    <w:p>
      <w:pPr>
        <w:pStyle w:val="ListBullet"/>
        <w:spacing w:after="80"/>
      </w:pPr>
      <w:r>
        <w:rPr>
          <w:b/>
        </w:rPr>
        <w:t>Safety</w:t>
      </w:r>
      <w:r>
        <w:t xml:space="preserve"> — Read commands never change tracked code. Manifest/handoff writes require explicit intent and are limited to documented paths.</w:t>
      </w:r>
    </w:p>
    <w:p>
      <w:pPr>
        <w:pStyle w:val="ListBullet"/>
        <w:spacing w:after="80"/>
      </w:pPr>
      <w:r>
        <w:rPr>
          <w:b/>
        </w:rPr>
        <w:t>Trustworthy claims</w:t>
      </w:r>
      <w:r>
        <w:t xml:space="preserve"> — Warnings explain why they fired and what they cannot determine. Never claim a guaranteed conflict-free merge.</w:t>
      </w:r>
    </w:p>
    <w:p>
      <w:pPr>
        <w:pStyle w:val="ListBullet"/>
        <w:spacing w:after="80"/>
      </w:pPr>
      <w:r>
        <w:rPr>
          <w:b/>
        </w:rPr>
        <w:t>Verifiable evidence</w:t>
      </w:r>
      <w:r>
        <w:t xml:space="preserve"> — A test is marked passed only if substantiated; otherwise it says “Not verified”.</w:t>
      </w:r>
    </w:p>
    <w:p>
      <w:pPr>
        <w:pStyle w:val="ListBullet"/>
        <w:spacing w:after="80"/>
      </w:pPr>
      <w:r>
        <w:rPr>
          <w:b/>
        </w:rPr>
        <w:t>Tests</w:t>
      </w:r>
      <w:r>
        <w:t xml:space="preserve"> — 20+ fixture tests including branch divergence, same-file changes, globs, untracked files, renamed paths and special characters.</w:t>
      </w:r>
    </w:p>
    <w:p>
      <w:pPr>
        <w:pStyle w:val="ListBullet"/>
        <w:spacing w:after="80"/>
      </w:pPr>
      <w:r>
        <w:rPr>
          <w:b/>
        </w:rPr>
        <w:t>Release quality</w:t>
      </w:r>
      <w:r>
        <w:t xml:space="preserve"> — 0 known P0/P1 defects for public beta; documentation, install/uninstall guide, license and privacy policy.</w:t>
      </w:r>
    </w:p>
    <w:p>
      <w:pPr>
        <w:pStyle w:val="Heading2"/>
      </w:pPr>
      <w:r>
        <w:t>Not in v0.1</w:t>
      </w:r>
    </w:p>
    <w:p>
      <w:r>
        <w:t>No hosted backend, GUI, background daemon, IDE extension, full agent orchestrator, automatic merge/conflict resolution, multi-user sharing, user analytics by default, or enterprise SSO. A companion SKILL.md can teach Claude Code the CLI workflow, but the safety-critical detection should run as deterministic code, not as agent guesswork.</w:t>
      </w:r>
    </w:p>
    <w:p>
      <w:pPr>
        <w:pStyle w:val="Heading2"/>
      </w:pPr>
      <w:r>
        <w:t>Risks to watch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0243A"/>
            <w:vAlign w:val="center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7430"/>
            <w:shd w:fill="10243A"/>
            <w:vAlign w:val="center"/>
          </w:tcPr>
          <w:p>
            <w:r>
              <w:rPr>
                <w:b/>
                <w:color w:val="FFFFFF"/>
                <w:sz w:val="16"/>
              </w:rPr>
              <w:t>Mitigation / trigger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Competition</w:t>
            </w:r>
          </w:p>
        </w:tc>
        <w:tc>
          <w:tcPr>
            <w:tcW w:type="dxa" w:w="7430"/>
            <w:vAlign w:val="center"/>
          </w:tcPr>
          <w:p>
            <w:pPr>
              <w:spacing w:after="0"/>
            </w:pPr>
            <w:r>
              <w:rPr>
                <w:sz w:val="16"/>
              </w:rPr>
              <w:t>If interviews reveal that native worktrees/Conductor already solve the problem, re-scope immediately.</w:t>
            </w:r>
          </w:p>
        </w:tc>
      </w:tr>
      <w:tr>
        <w:tc>
          <w:tcPr>
            <w:tcW w:type="dxa" w:w="223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False warnings</w:t>
            </w:r>
          </w:p>
        </w:tc>
        <w:tc>
          <w:tcPr>
            <w:tcW w:type="dxa" w:w="7430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Provide exact evidence and label uncertain signals; investigate excessive false positives.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Missed conflicts</w:t>
            </w:r>
          </w:p>
        </w:tc>
        <w:tc>
          <w:tcPr>
            <w:tcW w:type="dxa" w:w="7430"/>
            <w:vAlign w:val="center"/>
          </w:tcPr>
          <w:p>
            <w:pPr>
              <w:spacing w:after="0"/>
            </w:pPr>
            <w:r>
              <w:rPr>
                <w:sz w:val="16"/>
              </w:rPr>
              <w:t>Treat detection as advisory; a known overlap missed by tests is a release blocker.</w:t>
            </w:r>
          </w:p>
        </w:tc>
      </w:tr>
      <w:tr>
        <w:tc>
          <w:tcPr>
            <w:tcW w:type="dxa" w:w="223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Unsafe behavior</w:t>
            </w:r>
          </w:p>
        </w:tc>
        <w:tc>
          <w:tcPr>
            <w:tcW w:type="dxa" w:w="7430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No remote upload or destructive Git actions; any confirmed critical incident freezes rollout.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  |  Business scorecard and weekly review</w:t>
      </w:r>
    </w:p>
    <w:p>
      <w:r>
        <w:t>The accompanying EXECUTION_TRACKER.xlsx is the living source for actuals, gate evidence, issues, interviews, tester feedback, risk reviews and business decisions. The long-form MASTER_PLAN.md is the product and policy source of truth.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952"/>
            <w:shd w:fill="10243A"/>
            <w:vAlign w:val="center"/>
          </w:tcPr>
          <w:p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1512"/>
            <w:shd w:fill="10243A"/>
            <w:vAlign w:val="center"/>
          </w:tcPr>
          <w:p>
            <w:r>
              <w:rPr>
                <w:b/>
                <w:color w:val="FFFFFF"/>
                <w:sz w:val="16"/>
              </w:rPr>
              <w:t>G6 goal</w:t>
            </w:r>
          </w:p>
        </w:tc>
        <w:tc>
          <w:tcPr>
            <w:tcW w:type="dxa" w:w="5184"/>
            <w:shd w:fill="10243A"/>
            <w:vAlign w:val="center"/>
          </w:tcPr>
          <w:p>
            <w:r>
              <w:rPr>
                <w:b/>
                <w:color w:val="FFFFFF"/>
                <w:sz w:val="16"/>
              </w:rPr>
              <w:t>Proof required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Qualified interviews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≥8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6"/>
              </w:rPr>
              <w:t>Documented conversations with actual parallel-agent users</w:t>
            </w:r>
          </w:p>
        </w:tc>
      </w:tr>
      <w:tr>
        <w:tc>
          <w:tcPr>
            <w:tcW w:type="dxa" w:w="295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Verified recent pain</w:t>
            </w:r>
          </w:p>
        </w:tc>
        <w:tc>
          <w:tcPr>
            <w:tcW w:type="dxa" w:w="151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≥5</w:t>
            </w:r>
          </w:p>
        </w:tc>
        <w:tc>
          <w:tcPr>
            <w:tcW w:type="dxa" w:w="5184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Specific coordination incidents in preceding 30 days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Alpha completion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≥4 of 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Completed inspect → claim → check → handoff</w:t>
            </w:r>
          </w:p>
        </w:tc>
      </w:tr>
      <w:tr>
        <w:tc>
          <w:tcPr>
            <w:tcW w:type="dxa" w:w="295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Unique installs</w:t>
            </w:r>
          </w:p>
        </w:tc>
        <w:tc>
          <w:tcPr>
            <w:tcW w:type="dxa" w:w="151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≥50</w:t>
            </w:r>
          </w:p>
        </w:tc>
        <w:tc>
          <w:tcPr>
            <w:tcW w:type="dxa" w:w="5184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Distinct confirmed installers, not download counts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Activated users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≥15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Produced a meaningful risk report</w:t>
            </w:r>
          </w:p>
        </w:tc>
      </w:tr>
      <w:tr>
        <w:tc>
          <w:tcPr>
            <w:tcW w:type="dxa" w:w="295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Repeat users</w:t>
            </w:r>
          </w:p>
        </w:tc>
        <w:tc>
          <w:tcPr>
            <w:tcW w:type="dxa" w:w="151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≥8</w:t>
            </w:r>
          </w:p>
        </w:tc>
        <w:tc>
          <w:tcPr>
            <w:tcW w:type="dxa" w:w="5184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Returned in a separate session/day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sz w:val="16"/>
              </w:rPr>
              <w:t>Paying customers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≥3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6"/>
              </w:rPr>
              <w:t>Real non-refunded payments (5 stretch)</w:t>
            </w:r>
          </w:p>
        </w:tc>
      </w:tr>
      <w:tr>
        <w:tc>
          <w:tcPr>
            <w:tcW w:type="dxa" w:w="295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Critical incidents</w:t>
            </w:r>
          </w:p>
        </w:tc>
        <w:tc>
          <w:tcPr>
            <w:tcW w:type="dxa" w:w="1512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5184"/>
            <w:shd w:fill="EFF5F7"/>
            <w:vAlign w:val="center"/>
          </w:tcPr>
          <w:p>
            <w:pPr>
              <w:spacing w:after="0"/>
            </w:pPr>
            <w:r>
              <w:rPr>
                <w:sz w:val="16"/>
              </w:rPr>
              <w:t>No destructive Git writes or source/secret exposure</w:t>
            </w:r>
          </w:p>
        </w:tc>
      </w:tr>
    </w:tbl>
    <w:p>
      <w:pPr>
        <w:spacing w:after="0"/>
      </w:pPr>
    </w:p>
    <w:p>
      <w:pPr>
        <w:pStyle w:val="Heading2"/>
      </w:pPr>
      <w:r>
        <w:t>How we run the project</w:t>
      </w:r>
    </w:p>
    <w:p>
      <w:pPr>
        <w:pStyle w:val="ListBullet"/>
        <w:spacing w:after="80"/>
      </w:pPr>
      <w:r>
        <w:rPr>
          <w:b/>
        </w:rPr>
        <w:t>Monday / 20 min</w:t>
      </w:r>
      <w:r>
        <w:t xml:space="preserve"> — Review prior gate, identify the three top deliverables and blockers, assign one owner per issue.</w:t>
      </w:r>
    </w:p>
    <w:p>
      <w:pPr>
        <w:pStyle w:val="ListBullet"/>
        <w:spacing w:after="80"/>
      </w:pPr>
      <w:r>
        <w:rPr>
          <w:b/>
        </w:rPr>
        <w:t>Friday / 30 min</w:t>
      </w:r>
      <w:r>
        <w:t xml:space="preserve"> — Demo actual output, fill factual metrics, attach evidence, log decisions and reprioritize.</w:t>
      </w:r>
    </w:p>
    <w:p>
      <w:pPr>
        <w:pStyle w:val="ListBullet"/>
        <w:spacing w:after="80"/>
      </w:pPr>
      <w:r>
        <w:rPr>
          <w:b/>
        </w:rPr>
        <w:t>Every ticket</w:t>
      </w:r>
      <w:r>
        <w:t xml:space="preserve"> — Must include owner, linked gate, priority, acceptance test and concrete evidence.</w:t>
      </w:r>
    </w:p>
    <w:p>
      <w:pPr>
        <w:pStyle w:val="ListBullet"/>
        <w:spacing w:after="80"/>
      </w:pPr>
      <w:r>
        <w:rPr>
          <w:b/>
        </w:rPr>
        <w:t>Every target revision</w:t>
      </w:r>
      <w:r>
        <w:t xml:space="preserve"> — Must have a dated reason in the Decision Log; never retroactively redefine success.</w:t>
      </w:r>
    </w:p>
    <w:p>
      <w:pPr>
        <w:pStyle w:val="Heading2"/>
      </w:pPr>
      <w:r>
        <w:t>Measurement integrity</w:t>
      </w:r>
    </w:p>
    <w:p>
      <w:r>
        <w:t>A download is not an install; an install is not activation; activation is not retention; and expressing interest is not payment. Do not collect raw source code, credentials, file paths or identifiable telemetry. Prefer consent-based aggregated counts in the pilot. Blank weekly fields mean no report, not zero.</w:t>
      </w:r>
    </w:p>
    <w:p>
      <w:pPr>
        <w:pStyle w:val="Heading2"/>
      </w:pPr>
      <w:r>
        <w:t>Safety overrides business goals</w:t>
      </w:r>
    </w:p>
    <w:p>
      <w:r>
        <w:t>Any confirmed critical security/privacy incident halts public release regardless of installs, customer feedback or sales. Do not claim a product is safe merely because a unit-test suite passed.</w:t>
      </w:r>
    </w:p>
    <w:p>
      <w:r>
        <w:br w:type="page"/>
      </w:r>
    </w:p>
    <w:p>
      <w:pPr>
        <w:pStyle w:val="Heading1"/>
      </w:pPr>
      <w:r>
        <w:t>4  |  Start here: first 48 hours</w:t>
      </w:r>
    </w:p>
    <w:p>
      <w:r>
        <w:rPr>
          <w:b/>
          <w:color w:val="087E8B"/>
        </w:rPr>
        <w:t xml:space="preserve">☐  </w:t>
      </w:r>
      <w:r>
        <w:rPr>
          <w:b w:val="0"/>
        </w:rPr>
        <w:t>Confirm working name and establish a repository with docs/, src/, tests/fixtures/ and a license/provenance note.</w:t>
      </w:r>
    </w:p>
    <w:p>
      <w:r>
        <w:rPr>
          <w:b/>
          <w:color w:val="087E8B"/>
        </w:rPr>
        <w:t xml:space="preserve">☐  </w:t>
      </w:r>
      <w:r>
        <w:rPr>
          <w:b w:val="0"/>
        </w:rPr>
        <w:t>Copy MASTER_PLAN.md into docs/ and keep EXECUTION_TRACKER.xlsx available for Friday reviews.</w:t>
      </w:r>
    </w:p>
    <w:p>
      <w:r>
        <w:rPr>
          <w:b/>
          <w:color w:val="087E8B"/>
        </w:rPr>
        <w:t xml:space="preserve">☐  </w:t>
      </w:r>
      <w:r>
        <w:rPr>
          <w:b w:val="0"/>
        </w:rPr>
        <w:t>Expand competitor matrix from 4 verified starting points to at least 10 current alternatives.</w:t>
      </w:r>
    </w:p>
    <w:p>
      <w:r>
        <w:rPr>
          <w:b/>
          <w:color w:val="087E8B"/>
        </w:rPr>
        <w:t xml:space="preserve">☐  </w:t>
      </w:r>
      <w:r>
        <w:rPr>
          <w:b w:val="0"/>
        </w:rPr>
        <w:t>Invite 10 qualified developers to interviews and schedule at least 8.</w:t>
      </w:r>
    </w:p>
    <w:p>
      <w:r>
        <w:rPr>
          <w:b/>
          <w:color w:val="087E8B"/>
        </w:rPr>
        <w:t xml:space="preserve">☐  </w:t>
      </w:r>
      <w:r>
        <w:rPr>
          <w:b w:val="0"/>
        </w:rPr>
        <w:t>Prepare one small synthetic two-agent overlap scenario, including the warning we expect.</w:t>
      </w:r>
    </w:p>
    <w:p>
      <w:r>
        <w:rPr>
          <w:b/>
          <w:color w:val="087E8B"/>
        </w:rPr>
        <w:t xml:space="preserve">☐  </w:t>
      </w:r>
      <w:r>
        <w:rPr>
          <w:b w:val="0"/>
        </w:rPr>
        <w:t>Do NOT start a full app, hosted service or dashboard before G1 buyer/problem review.</w:t>
      </w:r>
    </w:p>
    <w:p>
      <w:pPr>
        <w:pStyle w:val="Heading2"/>
      </w:pPr>
      <w:r>
        <w:t>Interview prompts that matter</w:t>
      </w:r>
    </w:p>
    <w:p>
      <w:pPr>
        <w:pStyle w:val="ListBullet"/>
        <w:spacing w:after="80"/>
      </w:pPr>
      <w:r>
        <w:rPr>
          <w:b/>
        </w:rPr>
        <w:t>Recent experience</w:t>
      </w:r>
      <w:r>
        <w:t xml:space="preserve"> — Tell me about the last time two AI coding sessions changed related parts of your repository.</w:t>
      </w:r>
    </w:p>
    <w:p>
      <w:pPr>
        <w:pStyle w:val="ListBullet"/>
        <w:spacing w:after="80"/>
      </w:pPr>
      <w:r>
        <w:rPr>
          <w:b/>
        </w:rPr>
        <w:t>Observed harm</w:t>
      </w:r>
      <w:r>
        <w:t xml:space="preserve"> — What actually went wrong, when did you notice it, and what did you have to redo?</w:t>
      </w:r>
    </w:p>
    <w:p>
      <w:pPr>
        <w:pStyle w:val="ListBullet"/>
        <w:spacing w:after="80"/>
      </w:pPr>
      <w:r>
        <w:rPr>
          <w:b/>
        </w:rPr>
        <w:t>Current workaround</w:t>
      </w:r>
      <w:r>
        <w:t xml:space="preserve"> — How are you using Git worktrees, task boards or existing orchestration products?</w:t>
      </w:r>
    </w:p>
    <w:p>
      <w:pPr>
        <w:pStyle w:val="ListBullet"/>
        <w:spacing w:after="80"/>
      </w:pPr>
      <w:r>
        <w:rPr>
          <w:b/>
        </w:rPr>
        <w:t>Unmet value</w:t>
      </w:r>
      <w:r>
        <w:t xml:space="preserve"> — What does your current setup still fail to tell you before merge?</w:t>
      </w:r>
    </w:p>
    <w:p>
      <w:pPr>
        <w:pStyle w:val="ListBullet"/>
        <w:spacing w:after="80"/>
      </w:pPr>
      <w:r>
        <w:rPr>
          <w:b/>
        </w:rPr>
        <w:t>Payment signal</w:t>
      </w:r>
      <w:r>
        <w:t xml:space="preserve"> — After a real demo, ask which premium capability earns a $19 purchase and why.</w:t>
      </w:r>
    </w:p>
    <w:p>
      <w:pPr>
        <w:pStyle w:val="Heading2"/>
      </w:pPr>
      <w:r>
        <w:t>References / evidence baseline</w:t>
      </w:r>
    </w:p>
    <w:p>
      <w:pPr>
        <w:pStyle w:val="ListBullet"/>
        <w:spacing w:after="60"/>
      </w:pPr>
      <w:r>
        <w:rPr>
          <w:sz w:val="16"/>
        </w:rPr>
        <w:t>Claude Code native worktrees — support.claude.com/en/articles/14554000-claude-code-power-user-tips</w:t>
      </w:r>
    </w:p>
    <w:p>
      <w:pPr>
        <w:pStyle w:val="ListBullet"/>
        <w:spacing w:after="60"/>
      </w:pPr>
      <w:r>
        <w:rPr>
          <w:sz w:val="16"/>
        </w:rPr>
        <w:t>Conductor parallel sessions — conductor.build/docs/guides/parallel-agents/run-multiple-claude-code-sessions</w:t>
      </w:r>
    </w:p>
    <w:p>
      <w:pPr>
        <w:pStyle w:val="ListBullet"/>
        <w:spacing w:after="60"/>
      </w:pPr>
      <w:r>
        <w:rPr>
          <w:sz w:val="16"/>
        </w:rPr>
        <w:t>Claude Squad — github.com/smtg-ai/claude-squad</w:t>
      </w:r>
    </w:p>
    <w:p>
      <w:pPr>
        <w:pStyle w:val="ListBullet"/>
        <w:spacing w:after="60"/>
      </w:pPr>
      <w:r>
        <w:rPr>
          <w:sz w:val="16"/>
        </w:rPr>
        <w:t>Anthropic skills/hooks — claude.com/resources/articles/steering-claude-code-skills-hooks-rules-subagents-and-more</w:t>
      </w:r>
    </w:p>
    <w:p>
      <w:pPr>
        <w:pStyle w:val="ListBullet"/>
        <w:spacing w:after="60"/>
      </w:pPr>
      <w:r>
        <w:rPr>
          <w:sz w:val="16"/>
        </w:rPr>
        <w:t>Agent Skills overview — platform.claude.com/docs/en/agents-and-tools/agent-skills/overview</w:t>
      </w:r>
    </w:p>
    <w:p>
      <w:r>
        <w:t>Research snapshot: 17 October 2026. Platform capabilities and marketplace policies should be re-verified before the commercial release. The full plan contains the detailed competitor baseline, interview guide, MVP criteria and risk register.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389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6687A"/>
        <w:sz w:val="14"/>
      </w:rPr>
      <w:t>PLANNING DRAFT  •  17 OCT 2026   |   REVIEW ACTUALS EVERY FRIDAY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6687A"/>
        <w:sz w:val="14"/>
      </w:rPr>
      <w:t>MULTI-AGENT WORKSPACE GUARDIAN  /  EXECUTION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D29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4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320"/>
      <w:contextualSpacing/>
    </w:pPr>
    <w:rPr>
      <w:rFonts w:asciiTheme="majorHAnsi" w:eastAsiaTheme="majorEastAsia" w:hAnsiTheme="majorHAnsi" w:cstheme="majorBidi" w:ascii="Aptos Display" w:hAnsi="Aptos Display"/>
      <w:b/>
      <w:color w:val="1024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