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B08D57"/>
          <w:sz w:val="22"/>
          <w:szCs w:val="22"/>
        </w:rPr>
        <w:t xml:space="preserve">PORTFÓLIO — PROJETO 1</w:t>
      </w:r>
    </w:p>
    <w:p>
      <w:pPr>
        <w:spacing w:after="200" w:before="200"/>
        <w:jc w:val="center"/>
      </w:pPr>
      <w:r>
        <w:rPr>
          <w:b/>
          <w:bCs/>
          <w:color w:val="1F3864"/>
          <w:sz w:val="44"/>
          <w:szCs w:val="44"/>
        </w:rPr>
        <w:t xml:space="preserve">Diagnóstico de Solução de IA para Escritório de Advocacia</w:t>
      </w:r>
    </w:p>
    <w:p>
      <w:pPr>
        <w:spacing w:after="100"/>
        <w:jc w:val="center"/>
      </w:pPr>
      <w:r>
        <w:rPr>
          <w:i/>
          <w:iCs/>
          <w:color w:val="595959"/>
          <w:sz w:val="26"/>
          <w:szCs w:val="26"/>
        </w:rPr>
        <w:t xml:space="preserve">Automação de atendimento processual e painel de gestão estratégica</w:t>
      </w:r>
    </w:p>
    <w:p>
      <w:pPr>
        <w:spacing w:before="600"/>
        <w:jc w:val="center"/>
      </w:pPr>
      <w:r>
        <w:rPr>
          <w:color w:val="595959"/>
          <w:sz w:val="20"/>
          <w:szCs w:val="20"/>
        </w:rPr>
        <w:t xml:space="preserve">Elaborado como parte da formação prática em IA aplicada a Direito, Gestão e Dados</w:t>
      </w:r>
    </w:p>
    <w:p>
      <w:pPr>
        <w:spacing w:before="80"/>
        <w:jc w:val="center"/>
      </w:pPr>
      <w:r>
        <w:rPr>
          <w:color w:val="595959"/>
          <w:sz w:val="20"/>
          <w:szCs w:val="20"/>
        </w:rPr>
        <w:t xml:space="preserve">17 de setembro de 2026</w:t>
      </w:r>
    </w:p>
    <w:p>
      <w:r>
        <w:br w:type="page"/>
      </w:r>
    </w:p>
    <w:p>
      <w:pPr>
        <w:pStyle w:val="Heading1"/>
        <w:pBdr>
          <w:bottom w:val="single" w:color="1F3864" w:sz="6" w:space="4"/>
        </w:pBdr>
        <w:spacing w:after="160" w:before="360"/>
      </w:pPr>
      <w:r>
        <w:rPr>
          <w:b/>
          <w:bCs/>
          <w:color w:val="1F3864"/>
          <w:sz w:val="30"/>
          <w:szCs w:val="30"/>
        </w:rPr>
        <w:t xml:space="preserve">Perfil profissional da autora</w:t>
      </w:r>
    </w:p>
    <w:p>
      <w:pPr>
        <w:spacing w:after="160" w:line="300"/>
      </w:pPr>
      <w:r>
        <w:rPr>
          <w:color w:val="222222"/>
          <w:sz w:val="22"/>
          <w:szCs w:val="22"/>
        </w:rPr>
        <w:t xml:space="preserve">Advogada de formação, com experiência como coordenadora técnica de equipes multidisciplinares e como gestora em unidade socioeducativa, além de vivência prática em atendimento a clientes e fornecedores na gestão de um negócio familiar de artesanato (Recife, Brasil) — hoje conduzida à distância, a partir de Portugal, em conjunto com um familiar. Atualmente em transição de carreira para Tecnologia, Inteligência Artificial e Dados.</w:t>
      </w:r>
    </w:p>
    <w:p>
      <w:pPr>
        <w:spacing w:after="160" w:line="300"/>
      </w:pPr>
      <w:r>
        <w:rPr>
          <w:color w:val="222222"/>
          <w:sz w:val="22"/>
          <w:szCs w:val="22"/>
        </w:rPr>
        <w:t xml:space="preserve">Essa trajetória multidisciplinar explica um padrão recorrente nos diagnósticos deste portfólio: além da classificação técnica da solução (Machine Learning, IA Generativa, Automação), os documentos também sinalizam riscos contratuais, de gestão de equipe e de relacionamento com cliente ou fornecedor — camadas do problema que nem sempre aparecem explícitas no enunciado, mas que fazem diferença real na entrega de uma solução para uma empresa.</w:t>
      </w:r>
    </w:p>
    <w:p>
      <w:pPr>
        <w:pStyle w:val="Heading1"/>
        <w:pBdr>
          <w:bottom w:val="single" w:color="1F3864" w:sz="6" w:space="4"/>
        </w:pBdr>
        <w:spacing w:after="160" w:before="360"/>
      </w:pPr>
      <w:r>
        <w:rPr>
          <w:b/>
          <w:bCs/>
          <w:color w:val="1F3864"/>
          <w:sz w:val="30"/>
          <w:szCs w:val="30"/>
        </w:rPr>
        <w:t xml:space="preserve">1. Contexto do problema</w:t>
      </w:r>
    </w:p>
    <w:p>
      <w:pPr>
        <w:spacing w:after="160" w:line="300"/>
      </w:pPr>
      <w:r>
        <w:rPr>
          <w:color w:val="222222"/>
          <w:sz w:val="22"/>
          <w:szCs w:val="22"/>
        </w:rPr>
        <w:t xml:space="preserve">Um escritório de advocacia no Brasil recebe, em média, cerca de 200 e-mails por mês de clientes perguntando sobre o andamento de seus processos. Atualmente, uma funcionária lê cada e-mail manualmente, consulta o sistema interno de acompanhamento e redige uma resposta personalizada para cada cliente — um trabalho que consome, ao final do mês, o equivalente a quase um dia inteiro de horário laboral dedicado exclusivamente a essa tarefa.</w:t>
      </w:r>
    </w:p>
    <w:p>
      <w:pPr>
        <w:spacing w:after="160" w:line="300"/>
      </w:pPr>
      <w:r>
        <w:rPr>
          <w:color w:val="222222"/>
          <w:sz w:val="22"/>
          <w:szCs w:val="22"/>
        </w:rPr>
        <w:t xml:space="preserve">O problema de negócio não é a ausência de resposta ao cliente — é o tempo e o custo operacional consumidos por uma tarefa repetitiva, de alto volume e baixo valor estratégico agregado, que poderia liberar a funcionária para atividades de maior complexidade.</w:t>
      </w:r>
    </w:p>
    <w:p>
      <w:pPr>
        <w:pStyle w:val="Heading1"/>
        <w:pBdr>
          <w:bottom w:val="single" w:color="1F3864" w:sz="6" w:space="4"/>
        </w:pBdr>
        <w:spacing w:after="160" w:before="360"/>
      </w:pPr>
      <w:r>
        <w:rPr>
          <w:b/>
          <w:bCs/>
          <w:color w:val="1F3864"/>
          <w:sz w:val="30"/>
          <w:szCs w:val="30"/>
        </w:rPr>
        <w:t xml:space="preserve">2. Diagnóstico técnico da solução</w:t>
      </w:r>
    </w:p>
    <w:p>
      <w:pPr>
        <w:spacing w:after="160" w:line="300"/>
      </w:pPr>
      <w:r>
        <w:rPr>
          <w:color w:val="222222"/>
          <w:sz w:val="22"/>
          <w:szCs w:val="22"/>
        </w:rPr>
        <w:t xml:space="preserve">A solução recomendada combina IA Generativa e Automação. Não se trata de um problema de Machine Learning: não há, nesta etapa, necessidade de prever um comportamento futuro a partir de histórico de dados — o que se precisa é interpretar uma pergunta e gerar uma resposta com base em um dado já existente.</w:t>
      </w:r>
    </w:p>
    <w:p>
      <w:pPr>
        <w:spacing w:after="160" w:line="300"/>
      </w:pPr>
      <w:r>
        <w:rPr>
          <w:color w:val="222222"/>
          <w:sz w:val="22"/>
          <w:szCs w:val="22"/>
        </w:rPr>
        <w:t xml:space="preserve">Uma primeira hipótese de solução — reconhecer o pedido do cliente por meio de expressões-chave fixas (ex.: "como está meu processo") — foi descartada. Uma regra fixa desse tipo é frágil: qualquer cliente que escreva de forma diferente da lista pré-cadastrada (ex.: "cadê meu processo, sumiu?") não seria reconhecido, e o sistema falharia silenciosamente. Por isso, a etapa de triagem do e-mail exige um LLM (IA Generativa), capaz de interpretar a intenção da mensagem independentemente da forma exata como foi escrita.</w:t>
      </w:r>
    </w:p>
    <w:p>
      <w:pPr>
        <w:pStyle w:val="Heading1"/>
        <w:pBdr>
          <w:bottom w:val="single" w:color="1F3864" w:sz="6" w:space="4"/>
        </w:pBdr>
        <w:spacing w:after="160" w:before="360"/>
      </w:pPr>
      <w:r>
        <w:rPr>
          <w:b/>
          <w:bCs/>
          <w:color w:val="1F3864"/>
          <w:sz w:val="30"/>
          <w:szCs w:val="30"/>
        </w:rPr>
        <w:t xml:space="preserve">3. Limitação identificada</w:t>
      </w:r>
    </w:p>
    <w:p>
      <w:pPr>
        <w:spacing w:after="160" w:line="300"/>
      </w:pPr>
      <w:r>
        <w:rPr>
          <w:color w:val="222222"/>
          <w:sz w:val="22"/>
          <w:szCs w:val="22"/>
        </w:rPr>
        <w:t xml:space="preserve">Sistemas judiciais (como o PJE) normalmente não permitem integração automatizada por terceiros — costumam ter autenticação restrita e termos de uso próprios, que variam por tribunal. Por isso, esta proposta não promete integração direta com o sistema do tribunal. A consulta ao andamento processual continua sendo feita manualmente, por pessoa autorizada com credencial própria, que alimenta uma planilha interna de controle. Essa restrição precisa ser verificada na documentação oficial de cada tribunal antes de qualquer compromisso ser assumido com o cliente.</w:t>
      </w:r>
    </w:p>
    <w:p>
      <w:pPr>
        <w:pStyle w:val="Heading1"/>
        <w:pBdr>
          <w:bottom w:val="single" w:color="1F3864" w:sz="6" w:space="4"/>
        </w:pBdr>
        <w:spacing w:after="160" w:before="360"/>
      </w:pPr>
      <w:r>
        <w:rPr>
          <w:b/>
          <w:bCs/>
          <w:color w:val="1F3864"/>
          <w:sz w:val="30"/>
          <w:szCs w:val="30"/>
        </w:rPr>
        <w:t xml:space="preserve">4. Fluxo proposto — atendimento ao cliente</w:t>
      </w:r>
    </w:p>
    <w:p>
      <w:pPr>
        <w:spacing w:after="160" w:line="300"/>
      </w:pPr>
      <w:r>
        <w:rPr>
          <w:color w:val="222222"/>
          <w:sz w:val="22"/>
          <w:szCs w:val="22"/>
        </w:rPr>
        <w:t xml:space="preserve">O desenho abaixo mantém intervenção humana nas duas pontas do processo (alimentação do dado de origem e validação final), e reserva à IA Generativa apenas a interpretação da mensagem e a redação do rascunho de resposta.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400"/>
      </w:tblGrid>
      <w:tr>
        <w:trPr>
          <w:tblHeader/>
        </w:trPr>
        <w:tc>
          <w:tcPr>
            <w:tcW w:type="dxa" w:w="1500"/>
            <w:shd w:fill="1F3864" w:val="clear"/>
            <w:tcMar>
              <w:top w:type="dxa" w:w="100"/>
              <w:left w:type="dxa" w:w="120"/>
              <w:bottom w:type="dxa" w:w="100"/>
              <w:right w:type="dxa" w:w="120"/>
            </w:tcMar>
          </w:tcPr>
          <w:p>
            <w:r>
              <w:rPr>
                <w:b/>
                <w:bCs/>
                <w:color w:val="FFFFFF"/>
                <w:sz w:val="20"/>
                <w:szCs w:val="20"/>
              </w:rPr>
              <w:t xml:space="preserve">Etapa</w:t>
            </w:r>
          </w:p>
        </w:tc>
        <w:tc>
          <w:tcPr>
            <w:tcW w:type="dxa" w:w="3800"/>
            <w:shd w:fill="1F3864" w:val="clear"/>
            <w:tcMar>
              <w:top w:type="dxa" w:w="100"/>
              <w:left w:type="dxa" w:w="120"/>
              <w:bottom w:type="dxa" w:w="100"/>
              <w:right w:type="dxa" w:w="120"/>
            </w:tcMar>
          </w:tcPr>
          <w:p>
            <w:r>
              <w:rPr>
                <w:b/>
                <w:bCs/>
                <w:color w:val="FFFFFF"/>
                <w:sz w:val="20"/>
                <w:szCs w:val="20"/>
              </w:rPr>
              <w:t xml:space="preserve">O que acontece</w:t>
            </w:r>
          </w:p>
        </w:tc>
        <w:tc>
          <w:tcPr>
            <w:tcW w:type="dxa" w:w="3400"/>
            <w:shd w:fill="1F3864" w:val="clear"/>
            <w:tcMar>
              <w:top w:type="dxa" w:w="100"/>
              <w:left w:type="dxa" w:w="120"/>
              <w:bottom w:type="dxa" w:w="100"/>
              <w:right w:type="dxa" w:w="120"/>
            </w:tcMar>
          </w:tcPr>
          <w:p>
            <w:r>
              <w:rPr>
                <w:b/>
                <w:bCs/>
                <w:color w:val="FFFFFF"/>
                <w:sz w:val="20"/>
                <w:szCs w:val="20"/>
              </w:rPr>
              <w:t xml:space="preserve">Tipo de solução</w:t>
            </w:r>
          </w:p>
        </w:tc>
      </w:tr>
      <w:tr>
        <w:tc>
          <w:tcPr>
            <w:tcW w:type="dxa" w:w="1500"/>
            <w:shd w:fill="FFFFFF" w:val="clear"/>
            <w:tcMar>
              <w:top w:type="dxa" w:w="100"/>
              <w:left w:type="dxa" w:w="120"/>
              <w:bottom w:type="dxa" w:w="100"/>
              <w:right w:type="dxa" w:w="120"/>
            </w:tcMar>
          </w:tcPr>
          <w:p>
            <w:r>
              <w:rPr>
                <w:b w:val="false"/>
                <w:bCs w:val="false"/>
                <w:color w:val="222222"/>
                <w:sz w:val="20"/>
                <w:szCs w:val="20"/>
              </w:rPr>
              <w:t xml:space="preserve">1</w:t>
            </w:r>
          </w:p>
        </w:tc>
        <w:tc>
          <w:tcPr>
            <w:tcW w:type="dxa" w:w="3800"/>
            <w:shd w:fill="FFFFFF" w:val="clear"/>
            <w:tcMar>
              <w:top w:type="dxa" w:w="100"/>
              <w:left w:type="dxa" w:w="120"/>
              <w:bottom w:type="dxa" w:w="100"/>
              <w:right w:type="dxa" w:w="120"/>
            </w:tcMar>
          </w:tcPr>
          <w:p>
            <w:r>
              <w:rPr>
                <w:b w:val="false"/>
                <w:bCs w:val="false"/>
                <w:color w:val="222222"/>
                <w:sz w:val="20"/>
                <w:szCs w:val="20"/>
              </w:rPr>
              <w:t xml:space="preserve">Funcionária habilitada acessa o sistema do tribunal (ex.: PJE) e alimenta a planilha interna com as movimentações do processo.</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Trabalho humano (não automatizável — restrição do sistema judicial)</w:t>
            </w:r>
          </w:p>
        </w:tc>
      </w:tr>
      <w:tr>
        <w:tc>
          <w:tcPr>
            <w:tcW w:type="dxa" w:w="1500"/>
            <w:shd w:fill="F2F2F2" w:val="clear"/>
            <w:tcMar>
              <w:top w:type="dxa" w:w="100"/>
              <w:left w:type="dxa" w:w="120"/>
              <w:bottom w:type="dxa" w:w="100"/>
              <w:right w:type="dxa" w:w="120"/>
            </w:tcMar>
          </w:tcPr>
          <w:p>
            <w:r>
              <w:rPr>
                <w:b w:val="false"/>
                <w:bCs w:val="false"/>
                <w:color w:val="222222"/>
                <w:sz w:val="20"/>
                <w:szCs w:val="20"/>
              </w:rPr>
              <w:t xml:space="preserve">2</w:t>
            </w:r>
          </w:p>
        </w:tc>
        <w:tc>
          <w:tcPr>
            <w:tcW w:type="dxa" w:w="3800"/>
            <w:shd w:fill="F2F2F2" w:val="clear"/>
            <w:tcMar>
              <w:top w:type="dxa" w:w="100"/>
              <w:left w:type="dxa" w:w="120"/>
              <w:bottom w:type="dxa" w:w="100"/>
              <w:right w:type="dxa" w:w="120"/>
            </w:tcMar>
          </w:tcPr>
          <w:p>
            <w:r>
              <w:rPr>
                <w:b w:val="false"/>
                <w:bCs w:val="false"/>
                <w:color w:val="222222"/>
                <w:sz w:val="20"/>
                <w:szCs w:val="20"/>
              </w:rPr>
              <w:t xml:space="preserve">E-mail do cliente chega. O sistema identifica a intenção da mensagem (pedido de andamento, dúvida de pagamento, reclamação etc.), mesmo com redação variada.</w:t>
            </w:r>
          </w:p>
        </w:tc>
        <w:tc>
          <w:tcPr>
            <w:tcW w:type="dxa" w:w="3400"/>
            <w:shd w:fill="F2F2F2" w:val="clear"/>
            <w:tcMar>
              <w:top w:type="dxa" w:w="100"/>
              <w:left w:type="dxa" w:w="120"/>
              <w:bottom w:type="dxa" w:w="100"/>
              <w:right w:type="dxa" w:w="120"/>
            </w:tcMar>
          </w:tcPr>
          <w:p>
            <w:r>
              <w:rPr>
                <w:b w:val="false"/>
                <w:bCs w:val="false"/>
                <w:color w:val="222222"/>
                <w:sz w:val="20"/>
                <w:szCs w:val="20"/>
              </w:rPr>
              <w:t xml:space="preserve">IA Generativa (compreensão de linguagem natural)</w:t>
            </w:r>
          </w:p>
        </w:tc>
      </w:tr>
      <w:tr>
        <w:tc>
          <w:tcPr>
            <w:tcW w:type="dxa" w:w="1500"/>
            <w:shd w:fill="FFFFFF" w:val="clear"/>
            <w:tcMar>
              <w:top w:type="dxa" w:w="100"/>
              <w:left w:type="dxa" w:w="120"/>
              <w:bottom w:type="dxa" w:w="100"/>
              <w:right w:type="dxa" w:w="120"/>
            </w:tcMar>
          </w:tcPr>
          <w:p>
            <w:r>
              <w:rPr>
                <w:b w:val="false"/>
                <w:bCs w:val="false"/>
                <w:color w:val="222222"/>
                <w:sz w:val="20"/>
                <w:szCs w:val="20"/>
              </w:rPr>
              <w:t xml:space="preserve">3</w:t>
            </w:r>
          </w:p>
        </w:tc>
        <w:tc>
          <w:tcPr>
            <w:tcW w:type="dxa" w:w="3800"/>
            <w:shd w:fill="FFFFFF" w:val="clear"/>
            <w:tcMar>
              <w:top w:type="dxa" w:w="100"/>
              <w:left w:type="dxa" w:w="120"/>
              <w:bottom w:type="dxa" w:w="100"/>
              <w:right w:type="dxa" w:w="120"/>
            </w:tcMar>
          </w:tcPr>
          <w:p>
            <w:r>
              <w:rPr>
                <w:b w:val="false"/>
                <w:bCs w:val="false"/>
                <w:color w:val="222222"/>
                <w:sz w:val="20"/>
                <w:szCs w:val="20"/>
              </w:rPr>
              <w:t xml:space="preserve">Toda vez que a planilha recebe uma nova movimentação, o painel de acompanhamento é atualizado automaticamente.</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Automação (regra fixa: gatilho → atualização)</w:t>
            </w:r>
          </w:p>
        </w:tc>
      </w:tr>
      <w:tr>
        <w:tc>
          <w:tcPr>
            <w:tcW w:type="dxa" w:w="1500"/>
            <w:shd w:fill="F2F2F2" w:val="clear"/>
            <w:tcMar>
              <w:top w:type="dxa" w:w="100"/>
              <w:left w:type="dxa" w:w="120"/>
              <w:bottom w:type="dxa" w:w="100"/>
              <w:right w:type="dxa" w:w="120"/>
            </w:tcMar>
          </w:tcPr>
          <w:p>
            <w:r>
              <w:rPr>
                <w:b w:val="false"/>
                <w:bCs w:val="false"/>
                <w:color w:val="222222"/>
                <w:sz w:val="20"/>
                <w:szCs w:val="20"/>
              </w:rPr>
              <w:t xml:space="preserve">4</w:t>
            </w:r>
          </w:p>
        </w:tc>
        <w:tc>
          <w:tcPr>
            <w:tcW w:type="dxa" w:w="3800"/>
            <w:shd w:fill="F2F2F2" w:val="clear"/>
            <w:tcMar>
              <w:top w:type="dxa" w:w="100"/>
              <w:left w:type="dxa" w:w="120"/>
              <w:bottom w:type="dxa" w:w="100"/>
              <w:right w:type="dxa" w:w="120"/>
            </w:tcMar>
          </w:tcPr>
          <w:p>
            <w:r>
              <w:rPr>
                <w:b w:val="false"/>
                <w:bCs w:val="false"/>
                <w:color w:val="222222"/>
                <w:sz w:val="20"/>
                <w:szCs w:val="20"/>
              </w:rPr>
              <w:t xml:space="preserve">Para e-mails classificados como pedido de andamento, a IA Generativa redige um rascunho de resposta usando um template padrão preenchido com o dado real daquele cliente (processo, última movimentação).</w:t>
            </w:r>
          </w:p>
        </w:tc>
        <w:tc>
          <w:tcPr>
            <w:tcW w:type="dxa" w:w="3400"/>
            <w:shd w:fill="F2F2F2" w:val="clear"/>
            <w:tcMar>
              <w:top w:type="dxa" w:w="100"/>
              <w:left w:type="dxa" w:w="120"/>
              <w:bottom w:type="dxa" w:w="100"/>
              <w:right w:type="dxa" w:w="120"/>
            </w:tcMar>
          </w:tcPr>
          <w:p>
            <w:r>
              <w:rPr>
                <w:b w:val="false"/>
                <w:bCs w:val="false"/>
                <w:color w:val="222222"/>
                <w:sz w:val="20"/>
                <w:szCs w:val="20"/>
              </w:rPr>
              <w:t xml:space="preserve">IA Generativa (geração de texto com base em dado real, nunca inventado)</w:t>
            </w:r>
          </w:p>
        </w:tc>
      </w:tr>
      <w:tr>
        <w:tc>
          <w:tcPr>
            <w:tcW w:type="dxa" w:w="1500"/>
            <w:shd w:fill="FFFFFF" w:val="clear"/>
            <w:tcMar>
              <w:top w:type="dxa" w:w="100"/>
              <w:left w:type="dxa" w:w="120"/>
              <w:bottom w:type="dxa" w:w="100"/>
              <w:right w:type="dxa" w:w="120"/>
            </w:tcMar>
          </w:tcPr>
          <w:p>
            <w:r>
              <w:rPr>
                <w:b w:val="false"/>
                <w:bCs w:val="false"/>
                <w:color w:val="222222"/>
                <w:sz w:val="20"/>
                <w:szCs w:val="20"/>
              </w:rPr>
              <w:t xml:space="preserve">5</w:t>
            </w:r>
          </w:p>
        </w:tc>
        <w:tc>
          <w:tcPr>
            <w:tcW w:type="dxa" w:w="3800"/>
            <w:shd w:fill="FFFFFF" w:val="clear"/>
            <w:tcMar>
              <w:top w:type="dxa" w:w="100"/>
              <w:left w:type="dxa" w:w="120"/>
              <w:bottom w:type="dxa" w:w="100"/>
              <w:right w:type="dxa" w:w="120"/>
            </w:tcMar>
          </w:tcPr>
          <w:p>
            <w:r>
              <w:rPr>
                <w:b w:val="false"/>
                <w:bCs w:val="false"/>
                <w:color w:val="222222"/>
                <w:sz w:val="20"/>
                <w:szCs w:val="20"/>
              </w:rPr>
              <w:t xml:space="preserve">Advogado(a) revisa o rascunho, confirma que a informação bate com a planilha e aprova o disparo do e-mail.</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Trabalho humano (validação final antes do envio)</w:t>
            </w:r>
          </w:p>
        </w:tc>
      </w:tr>
    </w:tbl>
    <w:p>
      <w:pPr>
        <w:spacing w:before="200"/>
      </w:pPr>
    </w:p>
    <w:p>
      <w:pPr>
        <w:pStyle w:val="Heading1"/>
        <w:pBdr>
          <w:bottom w:val="single" w:color="1F3864" w:sz="6" w:space="4"/>
        </w:pBdr>
        <w:spacing w:after="160" w:before="360"/>
      </w:pPr>
      <w:r>
        <w:rPr>
          <w:b/>
          <w:bCs/>
          <w:color w:val="1F3864"/>
          <w:sz w:val="30"/>
          <w:szCs w:val="30"/>
        </w:rPr>
        <w:t xml:space="preserve">5. Painel de gestão estratégica (segundo entregável)</w:t>
      </w:r>
    </w:p>
    <w:p>
      <w:pPr>
        <w:spacing w:after="160" w:line="300"/>
      </w:pPr>
      <w:r>
        <w:rPr>
          <w:color w:val="222222"/>
          <w:sz w:val="22"/>
          <w:szCs w:val="22"/>
        </w:rPr>
        <w:t xml:space="preserve">Além do atendimento ao cliente, o sócio-proprietário do escritório tem interesse em um painel com visão consolidada da operação: prazos cumpridos e não cumpridos, juntadas tempestivas e intempestivas, distribuição de processos por vara/comarca/área de maior prevalência, e situação de adimplência dos clientes.</w:t>
      </w:r>
    </w:p>
    <w:p>
      <w:pPr>
        <w:spacing w:after="160" w:line="300"/>
      </w:pPr>
      <w:r>
        <w:rPr>
          <w:color w:val="222222"/>
          <w:sz w:val="22"/>
          <w:szCs w:val="22"/>
        </w:rPr>
        <w:t xml:space="preserve">Esse pedido reúne, na verdade, três níveis distintos de solução técnica, que não devem ser tratados como uma coisa só: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rPr>
          <w:tblHeader/>
        </w:trPr>
        <w:tc>
          <w:tcPr>
            <w:tcW w:type="dxa" w:w="2000"/>
            <w:shd w:fill="1F3864" w:val="clear"/>
            <w:tcMar>
              <w:top w:type="dxa" w:w="100"/>
              <w:left w:type="dxa" w:w="120"/>
              <w:bottom w:type="dxa" w:w="100"/>
              <w:right w:type="dxa" w:w="120"/>
            </w:tcMar>
          </w:tcPr>
          <w:p>
            <w:r>
              <w:rPr>
                <w:b/>
                <w:bCs/>
                <w:color w:val="FFFFFF"/>
                <w:sz w:val="20"/>
                <w:szCs w:val="20"/>
              </w:rPr>
              <w:t xml:space="preserve">Camada</w:t>
            </w:r>
          </w:p>
        </w:tc>
        <w:tc>
          <w:tcPr>
            <w:tcW w:type="dxa" w:w="3400"/>
            <w:shd w:fill="1F3864" w:val="clear"/>
            <w:tcMar>
              <w:top w:type="dxa" w:w="100"/>
              <w:left w:type="dxa" w:w="120"/>
              <w:bottom w:type="dxa" w:w="100"/>
              <w:right w:type="dxa" w:w="120"/>
            </w:tcMar>
          </w:tcPr>
          <w:p>
            <w:r>
              <w:rPr>
                <w:b/>
                <w:bCs/>
                <w:color w:val="FFFFFF"/>
                <w:sz w:val="20"/>
                <w:szCs w:val="20"/>
              </w:rPr>
              <w:t xml:space="preserve">O que entrega</w:t>
            </w:r>
          </w:p>
        </w:tc>
        <w:tc>
          <w:tcPr>
            <w:tcW w:type="dxa" w:w="3800"/>
            <w:shd w:fill="1F3864" w:val="clear"/>
            <w:tcMar>
              <w:top w:type="dxa" w:w="100"/>
              <w:left w:type="dxa" w:w="120"/>
              <w:bottom w:type="dxa" w:w="100"/>
              <w:right w:type="dxa" w:w="120"/>
            </w:tcMar>
          </w:tcPr>
          <w:p>
            <w:r>
              <w:rPr>
                <w:b/>
                <w:bCs/>
                <w:color w:val="FFFFFF"/>
                <w:sz w:val="20"/>
                <w:szCs w:val="20"/>
              </w:rPr>
              <w:t xml:space="preserve">Classificação técnica</w:t>
            </w:r>
          </w:p>
        </w:tc>
      </w:tr>
      <w:tr>
        <w:tc>
          <w:tcPr>
            <w:tcW w:type="dxa" w:w="2000"/>
            <w:shd w:fill="FFFFFF" w:val="clear"/>
            <w:tcMar>
              <w:top w:type="dxa" w:w="100"/>
              <w:left w:type="dxa" w:w="120"/>
              <w:bottom w:type="dxa" w:w="100"/>
              <w:right w:type="dxa" w:w="120"/>
            </w:tcMar>
          </w:tcPr>
          <w:p>
            <w:r>
              <w:rPr>
                <w:b w:val="false"/>
                <w:bCs w:val="false"/>
                <w:color w:val="222222"/>
                <w:sz w:val="20"/>
                <w:szCs w:val="20"/>
              </w:rPr>
              <w:t xml:space="preserve">1</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Gráficos e filtros: prazos cumpridos x não cumpridos, juntadas tempestivas x intempestivas, distribuição por vara/comarca/área, inadimplência atual dos clientes.</w:t>
            </w:r>
          </w:p>
        </w:tc>
        <w:tc>
          <w:tcPr>
            <w:tcW w:type="dxa" w:w="3800"/>
            <w:shd w:fill="FFFFFF" w:val="clear"/>
            <w:tcMar>
              <w:top w:type="dxa" w:w="100"/>
              <w:left w:type="dxa" w:w="120"/>
              <w:bottom w:type="dxa" w:w="100"/>
              <w:right w:type="dxa" w:w="120"/>
            </w:tcMar>
          </w:tcPr>
          <w:p>
            <w:r>
              <w:rPr>
                <w:b w:val="false"/>
                <w:bCs w:val="false"/>
                <w:color w:val="222222"/>
                <w:sz w:val="20"/>
                <w:szCs w:val="20"/>
              </w:rPr>
              <w:t xml:space="preserve">Automação + visualização de dados. Não há criação de conteúdo nem previsão — apenas contagem e filtro sobre dado que já existe.</w:t>
            </w:r>
          </w:p>
        </w:tc>
      </w:tr>
      <w:tr>
        <w:tc>
          <w:tcPr>
            <w:tcW w:type="dxa" w:w="2000"/>
            <w:shd w:fill="F2F2F2" w:val="clear"/>
            <w:tcMar>
              <w:top w:type="dxa" w:w="100"/>
              <w:left w:type="dxa" w:w="120"/>
              <w:bottom w:type="dxa" w:w="100"/>
              <w:right w:type="dxa" w:w="120"/>
            </w:tcMar>
          </w:tcPr>
          <w:p>
            <w:r>
              <w:rPr>
                <w:b w:val="false"/>
                <w:bCs w:val="false"/>
                <w:color w:val="222222"/>
                <w:sz w:val="20"/>
                <w:szCs w:val="20"/>
              </w:rPr>
              <w:t xml:space="preserve">2</w:t>
            </w:r>
          </w:p>
        </w:tc>
        <w:tc>
          <w:tcPr>
            <w:tcW w:type="dxa" w:w="3400"/>
            <w:shd w:fill="F2F2F2" w:val="clear"/>
            <w:tcMar>
              <w:top w:type="dxa" w:w="100"/>
              <w:left w:type="dxa" w:w="120"/>
              <w:bottom w:type="dxa" w:w="100"/>
              <w:right w:type="dxa" w:w="120"/>
            </w:tcMar>
          </w:tcPr>
          <w:p>
            <w:r>
              <w:rPr>
                <w:b w:val="false"/>
                <w:bCs w:val="false"/>
                <w:color w:val="222222"/>
                <w:sz w:val="20"/>
                <w:szCs w:val="20"/>
              </w:rPr>
              <w:t xml:space="preserve">Resumo em linguagem natural a partir dos números (ex.: aumento de atrasos em determinada vara/área no período).</w:t>
            </w:r>
          </w:p>
        </w:tc>
        <w:tc>
          <w:tcPr>
            <w:tcW w:type="dxa" w:w="3800"/>
            <w:shd w:fill="F2F2F2" w:val="clear"/>
            <w:tcMar>
              <w:top w:type="dxa" w:w="100"/>
              <w:left w:type="dxa" w:w="120"/>
              <w:bottom w:type="dxa" w:w="100"/>
              <w:right w:type="dxa" w:w="120"/>
            </w:tcMar>
          </w:tcPr>
          <w:p>
            <w:r>
              <w:rPr>
                <w:b w:val="false"/>
                <w:bCs w:val="false"/>
                <w:color w:val="222222"/>
                <w:sz w:val="20"/>
                <w:szCs w:val="20"/>
              </w:rPr>
              <w:t xml:space="preserve">IA Generativa. Gera texto a partir do dado, mas não decide nada — a proposta de ação cabe ao analista/gestor humano.</w:t>
            </w:r>
          </w:p>
        </w:tc>
      </w:tr>
      <w:tr>
        <w:tc>
          <w:tcPr>
            <w:tcW w:type="dxa" w:w="2000"/>
            <w:shd w:fill="FFFFFF" w:val="clear"/>
            <w:tcMar>
              <w:top w:type="dxa" w:w="100"/>
              <w:left w:type="dxa" w:w="120"/>
              <w:bottom w:type="dxa" w:w="100"/>
              <w:right w:type="dxa" w:w="120"/>
            </w:tcMar>
          </w:tcPr>
          <w:p>
            <w:r>
              <w:rPr>
                <w:b w:val="false"/>
                <w:bCs w:val="false"/>
                <w:color w:val="222222"/>
                <w:sz w:val="20"/>
                <w:szCs w:val="20"/>
              </w:rPr>
              <w:t xml:space="preserve">3 (fase futura)</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Previsão de quais clientes têm maior probabilidade de atrasar o próximo pagamento, com base no histórico de comportamento.</w:t>
            </w:r>
          </w:p>
        </w:tc>
        <w:tc>
          <w:tcPr>
            <w:tcW w:type="dxa" w:w="3800"/>
            <w:shd w:fill="FFFFFF" w:val="clear"/>
            <w:tcMar>
              <w:top w:type="dxa" w:w="100"/>
              <w:left w:type="dxa" w:w="120"/>
              <w:bottom w:type="dxa" w:w="100"/>
              <w:right w:type="dxa" w:w="120"/>
            </w:tcMar>
          </w:tcPr>
          <w:p>
            <w:r>
              <w:rPr>
                <w:b w:val="false"/>
                <w:bCs w:val="false"/>
                <w:color w:val="222222"/>
                <w:sz w:val="20"/>
                <w:szCs w:val="20"/>
              </w:rPr>
              <w:t xml:space="preserve">Machine Learning. Fora do escopo desta entrega: exige base histórica estruturada e etapa de modelagem ainda não construída nesta fase da formação.</w:t>
            </w:r>
          </w:p>
        </w:tc>
      </w:tr>
    </w:tbl>
    <w:p>
      <w:pPr>
        <w:spacing w:before="120"/>
      </w:pPr>
    </w:p>
    <w:p>
      <w:pPr>
        <w:spacing w:after="160" w:line="300"/>
      </w:pPr>
      <w:r>
        <w:rPr>
          <w:color w:val="222222"/>
          <w:sz w:val="22"/>
          <w:szCs w:val="22"/>
        </w:rPr>
        <w:t xml:space="preserve">A camada 3 (previsão de inadimplência) é declarada aqui como fase futura, e não como entrega imediata. Prometer Machine Learning sem uma base histórica estruturada para treiná-lo seria superdimensionar a proposta — o mesmo erro identificado, em contexto diferente, ao longo da formação: usar uma solução mais complexa (e mais cara) do que o problema exige naquele momento.</w:t>
      </w:r>
    </w:p>
    <w:p>
      <w:pPr>
        <w:pBdr>
          <w:top w:val="single" w:color="B08D57" w:sz="4" w:space="4"/>
          <w:bottom w:val="single" w:color="B08D57" w:sz="4" w:space="4"/>
          <w:left w:val="single" w:color="B08D57" w:sz="12" w:space="4"/>
          <w:right w:val="single" w:color="B08D57" w:sz="4" w:space="4"/>
        </w:pBdr>
        <w:shd w:fill="F2F2F2" w:val="clear"/>
        <w:spacing w:after="200" w:before="40"/>
      </w:pPr>
      <w:r>
        <w:rPr>
          <w:b/>
          <w:bCs/>
          <w:i/>
          <w:iCs/>
          <w:color w:val="595959"/>
          <w:sz w:val="20"/>
          <w:szCs w:val="20"/>
        </w:rPr>
        <w:t xml:space="preserve">Nota de escopo: as camadas 1 e 2 podem ser entregues com a base técnica já em desenvolvimento nesta formação. A camada 3 depende de módulos futuros (Python, dados históricos estruturados, Machine Learning).</w:t>
      </w:r>
    </w:p>
    <w:p>
      <w:pPr>
        <w:pStyle w:val="Heading1"/>
        <w:pBdr>
          <w:bottom w:val="single" w:color="1F3864" w:sz="6" w:space="4"/>
        </w:pBdr>
        <w:spacing w:after="160" w:before="360"/>
      </w:pPr>
      <w:r>
        <w:rPr>
          <w:b/>
          <w:bCs/>
          <w:color w:val="1F3864"/>
          <w:sz w:val="30"/>
          <w:szCs w:val="30"/>
        </w:rPr>
        <w:t xml:space="preserve">6. Governança de acesso ao dado</w:t>
      </w:r>
    </w:p>
    <w:p>
      <w:pPr>
        <w:spacing w:after="160" w:line="300"/>
      </w:pPr>
      <w:r>
        <w:rPr>
          <w:color w:val="222222"/>
          <w:sz w:val="22"/>
          <w:szCs w:val="22"/>
        </w:rPr>
        <w:t xml:space="preserve">Para reduzir a exposição de dado sensível, a proposta prevê dois níveis de painel, segmentados por função:</w:t>
      </w:r>
    </w:p>
    <w:p>
      <w:pPr>
        <w:pStyle w:val="ListParagraph"/>
        <w:numPr>
          <w:ilvl w:val="0"/>
          <w:numId w:val="2"/>
        </w:numPr>
        <w:spacing w:after="90" w:line="290"/>
      </w:pPr>
      <w:r>
        <w:rPr>
          <w:color w:val="222222"/>
          <w:sz w:val="22"/>
          <w:szCs w:val="22"/>
        </w:rPr>
        <w:t xml:space="preserve">Painel avançado — sócios e gestores: acesso a todos os indicadores, incluindo dados financeiros e de adimplência por cliente.</w:t>
      </w:r>
    </w:p>
    <w:p>
      <w:pPr>
        <w:pStyle w:val="ListParagraph"/>
        <w:numPr>
          <w:ilvl w:val="0"/>
          <w:numId w:val="2"/>
        </w:numPr>
        <w:spacing w:after="90" w:line="290"/>
      </w:pPr>
      <w:r>
        <w:rPr>
          <w:color w:val="222222"/>
          <w:sz w:val="22"/>
          <w:szCs w:val="22"/>
        </w:rPr>
        <w:t xml:space="preserve">Painel resumido — equipe de litígio: visão geral por cliente e modelos de resposta de e-mail, sem detalhamento financeiro.</w:t>
      </w:r>
    </w:p>
    <w:p>
      <w:pPr>
        <w:spacing w:after="160" w:line="300"/>
      </w:pPr>
      <w:r>
        <w:rPr>
          <w:color w:val="222222"/>
          <w:sz w:val="22"/>
          <w:szCs w:val="22"/>
        </w:rPr>
        <w:t xml:space="preserve">Toda alimentação manual da planilha de origem é feita por pessoa autorizada e fica registrada em log, permitindo rastrear quem inseriu cada informação.</w:t>
      </w:r>
    </w:p>
    <w:p>
      <w:pPr>
        <w:pStyle w:val="Heading1"/>
        <w:pBdr>
          <w:bottom w:val="single" w:color="1F3864" w:sz="6" w:space="4"/>
        </w:pBdr>
        <w:spacing w:after="160" w:before="360"/>
      </w:pPr>
      <w:r>
        <w:rPr>
          <w:b/>
          <w:bCs/>
          <w:color w:val="1F3864"/>
          <w:sz w:val="30"/>
          <w:szCs w:val="30"/>
        </w:rPr>
        <w:t xml:space="preserve">7. Riscos e mitigação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600"/>
      </w:tblGrid>
      <w:tr>
        <w:trPr>
          <w:tblHeader/>
        </w:trPr>
        <w:tc>
          <w:tcPr>
            <w:tcW w:type="dxa" w:w="3300"/>
            <w:shd w:fill="1F3864" w:val="clear"/>
            <w:tcMar>
              <w:top w:type="dxa" w:w="100"/>
              <w:left w:type="dxa" w:w="120"/>
              <w:bottom w:type="dxa" w:w="100"/>
              <w:right w:type="dxa" w:w="120"/>
            </w:tcMar>
          </w:tcPr>
          <w:p>
            <w:r>
              <w:rPr>
                <w:b/>
                <w:bCs/>
                <w:color w:val="FFFFFF"/>
                <w:sz w:val="20"/>
                <w:szCs w:val="20"/>
              </w:rPr>
              <w:t xml:space="preserve">Risco</w:t>
            </w:r>
          </w:p>
        </w:tc>
        <w:tc>
          <w:tcPr>
            <w:tcW w:type="dxa" w:w="3300"/>
            <w:shd w:fill="1F3864" w:val="clear"/>
            <w:tcMar>
              <w:top w:type="dxa" w:w="100"/>
              <w:left w:type="dxa" w:w="120"/>
              <w:bottom w:type="dxa" w:w="100"/>
              <w:right w:type="dxa" w:w="120"/>
            </w:tcMar>
          </w:tcPr>
          <w:p>
            <w:r>
              <w:rPr>
                <w:b/>
                <w:bCs/>
                <w:color w:val="FFFFFF"/>
                <w:sz w:val="20"/>
                <w:szCs w:val="20"/>
              </w:rPr>
              <w:t xml:space="preserve">Por que existe</w:t>
            </w:r>
          </w:p>
        </w:tc>
        <w:tc>
          <w:tcPr>
            <w:tcW w:type="dxa" w:w="2600"/>
            <w:shd w:fill="1F3864" w:val="clear"/>
            <w:tcMar>
              <w:top w:type="dxa" w:w="100"/>
              <w:left w:type="dxa" w:w="120"/>
              <w:bottom w:type="dxa" w:w="100"/>
              <w:right w:type="dxa" w:w="120"/>
            </w:tcMar>
          </w:tcPr>
          <w:p>
            <w:r>
              <w:rPr>
                <w:b/>
                <w:bCs/>
                <w:color w:val="FFFFFF"/>
                <w:sz w:val="20"/>
                <w:szCs w:val="20"/>
              </w:rPr>
              <w:t xml:space="preserve">Mitigação</w:t>
            </w:r>
          </w:p>
        </w:tc>
      </w:tr>
      <w:tr>
        <w:tc>
          <w:tcPr>
            <w:tcW w:type="dxa" w:w="3300"/>
            <w:shd w:fill="FFFFFF" w:val="clear"/>
            <w:tcMar>
              <w:top w:type="dxa" w:w="100"/>
              <w:left w:type="dxa" w:w="120"/>
              <w:bottom w:type="dxa" w:w="100"/>
              <w:right w:type="dxa" w:w="120"/>
            </w:tcMar>
          </w:tcPr>
          <w:p>
            <w:r>
              <w:rPr>
                <w:b w:val="false"/>
                <w:bCs w:val="false"/>
                <w:color w:val="222222"/>
                <w:sz w:val="20"/>
                <w:szCs w:val="20"/>
              </w:rPr>
              <w:t xml:space="preserve">Dado processual sigiloso sendo processado por IA de terceiros (Claude, ChatGPT ou similar)</w:t>
            </w:r>
          </w:p>
        </w:tc>
        <w:tc>
          <w:tcPr>
            <w:tcW w:type="dxa" w:w="3300"/>
            <w:shd w:fill="FFFFFF" w:val="clear"/>
            <w:tcMar>
              <w:top w:type="dxa" w:w="100"/>
              <w:left w:type="dxa" w:w="120"/>
              <w:bottom w:type="dxa" w:w="100"/>
              <w:right w:type="dxa" w:w="120"/>
            </w:tcMar>
          </w:tcPr>
          <w:p>
            <w:r>
              <w:rPr>
                <w:b w:val="false"/>
                <w:bCs w:val="false"/>
                <w:color w:val="222222"/>
                <w:sz w:val="20"/>
                <w:szCs w:val="20"/>
              </w:rPr>
              <w:t xml:space="preserve">Qualquer IA em nuvem é, por definição, um serviço de terceiro processando o dado fora da infraestrutura do escritório — mesmo em plano empresarial.</w:t>
            </w:r>
          </w:p>
        </w:tc>
        <w:tc>
          <w:tcPr>
            <w:tcW w:type="dxa" w:w="2600"/>
            <w:shd w:fill="FFFFFF" w:val="clear"/>
            <w:tcMar>
              <w:top w:type="dxa" w:w="100"/>
              <w:left w:type="dxa" w:w="120"/>
              <w:bottom w:type="dxa" w:w="100"/>
              <w:right w:type="dxa" w:w="120"/>
            </w:tcMar>
          </w:tcPr>
          <w:p>
            <w:r>
              <w:rPr>
                <w:b w:val="false"/>
                <w:bCs w:val="false"/>
                <w:color w:val="222222"/>
                <w:sz w:val="20"/>
                <w:szCs w:val="20"/>
              </w:rPr>
              <w:t xml:space="preserve">Minimização de dados (enviar só o essencial); verificar política de retenção/treinamento do fornecedor; autorização contratual do cliente.</w:t>
            </w:r>
          </w:p>
        </w:tc>
      </w:tr>
      <w:tr>
        <w:tc>
          <w:tcPr>
            <w:tcW w:type="dxa" w:w="3300"/>
            <w:shd w:fill="F2F2F2" w:val="clear"/>
            <w:tcMar>
              <w:top w:type="dxa" w:w="100"/>
              <w:left w:type="dxa" w:w="120"/>
              <w:bottom w:type="dxa" w:w="100"/>
              <w:right w:type="dxa" w:w="120"/>
            </w:tcMar>
          </w:tcPr>
          <w:p>
            <w:r>
              <w:rPr>
                <w:b w:val="false"/>
                <w:bCs w:val="false"/>
                <w:color w:val="222222"/>
                <w:sz w:val="20"/>
                <w:szCs w:val="20"/>
              </w:rPr>
              <w:t xml:space="preserve">Planilha desatualizada gera resposta incorreta, mas com aparência confiável</w:t>
            </w:r>
          </w:p>
        </w:tc>
        <w:tc>
          <w:tcPr>
            <w:tcW w:type="dxa" w:w="3300"/>
            <w:shd w:fill="F2F2F2" w:val="clear"/>
            <w:tcMar>
              <w:top w:type="dxa" w:w="100"/>
              <w:left w:type="dxa" w:w="120"/>
              <w:bottom w:type="dxa" w:w="100"/>
              <w:right w:type="dxa" w:w="120"/>
            </w:tcMar>
          </w:tcPr>
          <w:p>
            <w:r>
              <w:rPr>
                <w:b w:val="false"/>
                <w:bCs w:val="false"/>
                <w:color w:val="222222"/>
                <w:sz w:val="20"/>
                <w:szCs w:val="20"/>
              </w:rPr>
              <w:t xml:space="preserve">O cliente tende a confiar mais numa resposta automatizada do que deveria, mesmo quando o dado de origem está errado.</w:t>
            </w:r>
          </w:p>
        </w:tc>
        <w:tc>
          <w:tcPr>
            <w:tcW w:type="dxa" w:w="2600"/>
            <w:shd w:fill="F2F2F2" w:val="clear"/>
            <w:tcMar>
              <w:top w:type="dxa" w:w="100"/>
              <w:left w:type="dxa" w:w="120"/>
              <w:bottom w:type="dxa" w:w="100"/>
              <w:right w:type="dxa" w:w="120"/>
            </w:tcMar>
          </w:tcPr>
          <w:p>
            <w:r>
              <w:rPr>
                <w:b w:val="false"/>
                <w:bCs w:val="false"/>
                <w:color w:val="222222"/>
                <w:sz w:val="20"/>
                <w:szCs w:val="20"/>
              </w:rPr>
              <w:t xml:space="preserve">Rotina obrigatória de atualização da planilha antes de qualquer envio; revisão humana no passo final do fluxo.</w:t>
            </w:r>
          </w:p>
        </w:tc>
      </w:tr>
      <w:tr>
        <w:tc>
          <w:tcPr>
            <w:tcW w:type="dxa" w:w="3300"/>
            <w:shd w:fill="FFFFFF" w:val="clear"/>
            <w:tcMar>
              <w:top w:type="dxa" w:w="100"/>
              <w:left w:type="dxa" w:w="120"/>
              <w:bottom w:type="dxa" w:w="100"/>
              <w:right w:type="dxa" w:w="120"/>
            </w:tcMar>
          </w:tcPr>
          <w:p>
            <w:r>
              <w:rPr>
                <w:b w:val="false"/>
                <w:bCs w:val="false"/>
                <w:color w:val="222222"/>
                <w:sz w:val="20"/>
                <w:szCs w:val="20"/>
              </w:rPr>
              <w:t xml:space="preserve">Excesso de pessoas com acesso a dado sensível</w:t>
            </w:r>
          </w:p>
        </w:tc>
        <w:tc>
          <w:tcPr>
            <w:tcW w:type="dxa" w:w="3300"/>
            <w:shd w:fill="FFFFFF" w:val="clear"/>
            <w:tcMar>
              <w:top w:type="dxa" w:w="100"/>
              <w:left w:type="dxa" w:w="120"/>
              <w:bottom w:type="dxa" w:w="100"/>
              <w:right w:type="dxa" w:w="120"/>
            </w:tcMar>
          </w:tcPr>
          <w:p>
            <w:r>
              <w:rPr>
                <w:b w:val="false"/>
                <w:bCs w:val="false"/>
                <w:color w:val="222222"/>
                <w:sz w:val="20"/>
                <w:szCs w:val="20"/>
              </w:rPr>
              <w:t xml:space="preserve">Quanto mais gente alimenta ou consulta a planilha/painel, maior a superfície de exposição do dado do cliente.</w:t>
            </w:r>
          </w:p>
        </w:tc>
        <w:tc>
          <w:tcPr>
            <w:tcW w:type="dxa" w:w="2600"/>
            <w:shd w:fill="FFFFFF" w:val="clear"/>
            <w:tcMar>
              <w:top w:type="dxa" w:w="100"/>
              <w:left w:type="dxa" w:w="120"/>
              <w:bottom w:type="dxa" w:w="100"/>
              <w:right w:type="dxa" w:w="120"/>
            </w:tcMar>
          </w:tcPr>
          <w:p>
            <w:r>
              <w:rPr>
                <w:b w:val="false"/>
                <w:bCs w:val="false"/>
                <w:color w:val="222222"/>
                <w:sz w:val="20"/>
                <w:szCs w:val="20"/>
              </w:rPr>
              <w:t xml:space="preserve">Dois níveis de painel por função (sócio/gestor vs. equipe de litígio) e log de quem alimenta cada registro.</w:t>
            </w:r>
          </w:p>
        </w:tc>
      </w:tr>
    </w:tbl>
    <w:p>
      <w:pPr>
        <w:spacing w:before="200"/>
      </w:pPr>
    </w:p>
    <w:p>
      <w:pPr>
        <w:pStyle w:val="Heading1"/>
        <w:pBdr>
          <w:bottom w:val="single" w:color="1F3864" w:sz="6" w:space="4"/>
        </w:pBdr>
        <w:spacing w:after="160" w:before="360"/>
      </w:pPr>
      <w:r>
        <w:rPr>
          <w:b/>
          <w:bCs/>
          <w:color w:val="1F3864"/>
          <w:sz w:val="30"/>
          <w:szCs w:val="30"/>
        </w:rPr>
        <w:t xml:space="preserve">8. Fora de escopo desta proposta</w:t>
      </w:r>
    </w:p>
    <w:p>
      <w:pPr>
        <w:pStyle w:val="ListParagraph"/>
        <w:numPr>
          <w:ilvl w:val="0"/>
          <w:numId w:val="2"/>
        </w:numPr>
        <w:spacing w:after="90" w:line="290"/>
      </w:pPr>
      <w:r>
        <w:rPr>
          <w:color w:val="222222"/>
          <w:sz w:val="22"/>
          <w:szCs w:val="22"/>
        </w:rPr>
        <w:t xml:space="preserve">Integração automatizada direta com o sistema do tribunal (PJE ou equivalente).</w:t>
      </w:r>
    </w:p>
    <w:p>
      <w:pPr>
        <w:pStyle w:val="ListParagraph"/>
        <w:numPr>
          <w:ilvl w:val="0"/>
          <w:numId w:val="2"/>
        </w:numPr>
        <w:spacing w:after="90" w:line="290"/>
      </w:pPr>
      <w:r>
        <w:rPr>
          <w:color w:val="222222"/>
          <w:sz w:val="22"/>
          <w:szCs w:val="22"/>
        </w:rPr>
        <w:t xml:space="preserve">Envio de e-mail sem revisão humana prévia.</w:t>
      </w:r>
    </w:p>
    <w:p>
      <w:pPr>
        <w:pStyle w:val="ListParagraph"/>
        <w:numPr>
          <w:ilvl w:val="0"/>
          <w:numId w:val="2"/>
        </w:numPr>
        <w:spacing w:after="90" w:line="290"/>
      </w:pPr>
      <w:r>
        <w:rPr>
          <w:color w:val="222222"/>
          <w:sz w:val="22"/>
          <w:szCs w:val="22"/>
        </w:rPr>
        <w:t xml:space="preserve">Previsão de inadimplência via Machine Learning (fase futura, condicionada a base histórica estruturada).</w:t>
      </w:r>
    </w:p>
    <w:p>
      <w:pPr>
        <w:pStyle w:val="Heading1"/>
        <w:pBdr>
          <w:bottom w:val="single" w:color="1F3864" w:sz="6" w:space="4"/>
        </w:pBdr>
        <w:spacing w:after="160" w:before="360"/>
      </w:pPr>
      <w:r>
        <w:rPr>
          <w:b/>
          <w:bCs/>
          <w:color w:val="1F3864"/>
          <w:sz w:val="30"/>
          <w:szCs w:val="30"/>
        </w:rPr>
        <w:t xml:space="preserve">9. Conclusão</w:t>
      </w:r>
    </w:p>
    <w:p>
      <w:pPr>
        <w:spacing w:after="160" w:line="300"/>
      </w:pPr>
      <w:r>
        <w:rPr>
          <w:color w:val="222222"/>
          <w:sz w:val="22"/>
          <w:szCs w:val="22"/>
        </w:rPr>
        <w:t xml:space="preserve">Este diagnóstico demonstra a aplicação prática de três competências centrais: (1) classificar corretamente o tipo de solução de IA exigido por um problema real, evitando tanto a subutilização quanto a superdimensão da tecnologia; (2) desenhar um fluxo que mantém supervisão humana nos pontos de maior risco (origem do dado e validação final); e (3) identificar e mitigar riscos de confidencialidade ao envolver processamento por IA de terceiros — tudo isso antes de qualquer linha de código ser escrita, que é exatamente o papel de um diagnóstico técnico profissional.</w:t>
      </w:r>
    </w:p>
    <w:p>
      <w:pPr>
        <w:spacing w:after="160" w:line="300"/>
      </w:pPr>
      <w:r>
        <w:rPr>
          <w:color w:val="222222"/>
          <w:sz w:val="22"/>
          <w:szCs w:val="22"/>
        </w:rPr>
        <w:t xml:space="preserve">Próximos passos, à medida que a base técnica avançar nesta formação: implementação do protótipo funcional (automação real + prompt de produção para a IA Generativa), documentação dos testes realizados, e construção da camada 1 do painel de gestão (automação e visualização de dados).</w:t>
      </w:r>
    </w:p>
    <w:p>
      <w:pPr>
        <w:pStyle w:val="Heading1"/>
        <w:pBdr>
          <w:bottom w:val="single" w:color="1F3864" w:sz="6" w:space="4"/>
        </w:pBdr>
        <w:spacing w:after="160" w:before="360"/>
      </w:pPr>
      <w:r>
        <w:rPr>
          <w:b/>
          <w:bCs/>
          <w:color w:val="1F3864"/>
          <w:sz w:val="30"/>
          <w:szCs w:val="30"/>
        </w:rPr>
        <w:t xml:space="preserve">10. Nota de metodologia — como este diagnóstico foi construído</w:t>
      </w:r>
    </w:p>
    <w:p>
      <w:pPr>
        <w:spacing w:after="160" w:line="300"/>
      </w:pPr>
      <w:r>
        <w:rPr>
          <w:color w:val="222222"/>
          <w:sz w:val="22"/>
          <w:szCs w:val="22"/>
        </w:rPr>
        <w:t xml:space="preserve">Este documento não é fruto de um único pedido a uma IA generativa. Ele resulta de um processo iterativo de mentoria técnica, em que cada classificação (Machine Learning, IA Generativa, Automação ou regra fixa) foi proposta, questionada e, quando necessário, corrigida antes de chegar à versão final apresentada aqui. Registro abaixo, de forma transparente, as principais revisões pelas quais o raciocínio passou:</w:t>
      </w:r>
    </w:p>
    <w:p>
      <w:pPr>
        <w:pStyle w:val="ListParagraph"/>
        <w:numPr>
          <w:ilvl w:val="0"/>
          <w:numId w:val="2"/>
        </w:numPr>
        <w:spacing w:after="90" w:line="290"/>
      </w:pPr>
      <w:r>
        <w:rPr>
          <w:color w:val="222222"/>
          <w:sz w:val="22"/>
          <w:szCs w:val="22"/>
        </w:rPr>
        <w:t xml:space="preserve">Classificação geral da solução (IA Generativa + Automação) foi formulada e justificada com base na ausência de necessidade de previsão histórica — descartando Machine Learning logo no diagnóstico inicial.</w:t>
      </w:r>
    </w:p>
    <w:p>
      <w:pPr>
        <w:pStyle w:val="ListParagraph"/>
        <w:numPr>
          <w:ilvl w:val="0"/>
          <w:numId w:val="2"/>
        </w:numPr>
        <w:spacing w:after="90" w:line="290"/>
      </w:pPr>
      <w:r>
        <w:rPr>
          <w:color w:val="222222"/>
          <w:sz w:val="22"/>
          <w:szCs w:val="22"/>
        </w:rPr>
        <w:t xml:space="preserve">A primeira proposta para a etapa de triagem de e-mail usava reconhecimento por expressões-chave fixas ("se contém a frase X"). Ao testar essa hipótese contra casos de redação variada do cliente, identifiquei que ela falharia silenciosamente sempre que o cliente escrevesse de forma diferente da lista pré-cadastrada — e substituí a abordagem por compreensão de intenção via LLM.</w:t>
      </w:r>
    </w:p>
    <w:p>
      <w:pPr>
        <w:pStyle w:val="ListParagraph"/>
        <w:numPr>
          <w:ilvl w:val="0"/>
          <w:numId w:val="2"/>
        </w:numPr>
        <w:spacing w:after="90" w:line="290"/>
      </w:pPr>
      <w:r>
        <w:rPr>
          <w:color w:val="222222"/>
          <w:sz w:val="22"/>
          <w:szCs w:val="22"/>
        </w:rPr>
        <w:t xml:space="preserve">O pedido original do sócio-proprietário por um "painel com insights" foi inicialmente tratado como uma única solução técnica. Ao decompor o pedido, identifiquei que ele reunia, na verdade, três níveis distintos — contagem/filtro (automação), resumo narrativo (IA Generativa) e previsão de inadimplência (Machine Learning) — e apenas os dois primeiros foram mantidos no escopo desta entrega, com o terceiro registrado explicitamente como fase futura.</w:t>
      </w:r>
    </w:p>
    <w:p>
      <w:pPr>
        <w:pStyle w:val="ListParagraph"/>
        <w:numPr>
          <w:ilvl w:val="0"/>
          <w:numId w:val="2"/>
        </w:numPr>
        <w:spacing w:after="90" w:line="290"/>
      </w:pPr>
      <w:r>
        <w:rPr>
          <w:color w:val="222222"/>
          <w:sz w:val="22"/>
          <w:szCs w:val="22"/>
        </w:rPr>
        <w:t xml:space="preserve">A distinção entre "identificar quem está inadimplente hoje" (consulta/automação) e "prever quem vai atrasar" (Machine Learning) foi verificada de forma independente antes de ser incorporada ao documento.</w:t>
      </w:r>
    </w:p>
    <w:p>
      <w:pPr>
        <w:spacing w:after="160" w:line="300"/>
      </w:pPr>
      <w:r>
        <w:rPr>
          <w:color w:val="222222"/>
          <w:sz w:val="22"/>
          <w:szCs w:val="22"/>
        </w:rPr>
        <w:t xml:space="preserve">Nenhuma dessas correções foi automática: cada uma exigiu justificar por que a classificação inicial estava errada e por que a nova estava certa, com base nos critérios técnicos apresentados ao longo da formação (existência ou não de histórico para previsão, necessidade ou não de geração de linguagem, e risco de regra fixa não cobrir variação real de linguagem do cliente). Esse processo pode ser detalhado e discutido oralmente em entrevista técnica, incluindo as versões descartadas antes da consolidação final.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2026-09-17T14:11:52.251Z</dcterms:created>
  <dcterms:modified xsi:type="dcterms:W3CDTF">2026-09-17T14:11:52.251Z</dcterms:modified>
</cp:coreProperties>
</file>

<file path=docProps/custom.xml><?xml version="1.0" encoding="utf-8"?>
<Properties xmlns="http://schemas.openxmlformats.org/officeDocument/2006/custom-properties" xmlns:vt="http://schemas.openxmlformats.org/officeDocument/2006/docPropsVTypes"/>
</file>