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03386" w14:textId="77777777" w:rsidR="00D12B8D" w:rsidRPr="00D12B8D" w:rsidRDefault="00D12B8D" w:rsidP="00D12B8D">
      <w:pPr>
        <w:spacing w:line="360" w:lineRule="auto"/>
        <w:jc w:val="center"/>
      </w:pPr>
      <w:r w:rsidRPr="00D12B8D">
        <w:rPr>
          <w:noProof/>
        </w:rPr>
        <w:drawing>
          <wp:inline distT="0" distB="0" distL="0" distR="0" wp14:anchorId="1AF6E5C7" wp14:editId="0CD9C66F">
            <wp:extent cx="3139440" cy="899160"/>
            <wp:effectExtent l="0" t="0" r="0" b="0"/>
            <wp:docPr id="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6124" w14:textId="77777777" w:rsidR="00D12B8D" w:rsidRPr="00D12B8D" w:rsidRDefault="00D12B8D" w:rsidP="00D12B8D">
      <w:pPr>
        <w:tabs>
          <w:tab w:val="left" w:pos="7704"/>
        </w:tabs>
        <w:spacing w:after="160" w:line="360" w:lineRule="auto"/>
      </w:pPr>
      <w:r w:rsidRPr="00D12B8D">
        <w:tab/>
      </w:r>
    </w:p>
    <w:p w14:paraId="08BC642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МІНІСТЕРСТВО ОСВІТИ ТА НАУКИ УКРАЇНИ</w:t>
      </w:r>
      <w:r w:rsidRPr="00D12B8D">
        <w:rPr>
          <w:b/>
          <w:bCs/>
        </w:rPr>
        <w:br/>
        <w:t xml:space="preserve"> НАЦІОНАЛЬНИЙ ТЕХНІЧНИЙ УНІВЕРСИТЕТ УКРАЇНИ</w:t>
      </w:r>
      <w:r w:rsidRPr="00D12B8D">
        <w:rPr>
          <w:b/>
          <w:bCs/>
        </w:rPr>
        <w:br/>
        <w:t xml:space="preserve">«КИЇВСЬКИЙ ПОЛІТЕХНІЧНИЙ ІНСТИТУТ </w:t>
      </w:r>
      <w:r w:rsidRPr="00D12B8D">
        <w:rPr>
          <w:b/>
          <w:bCs/>
        </w:rPr>
        <w:br/>
        <w:t>імені ІГОРЯ СІКОРСЬКОГО»</w:t>
      </w:r>
    </w:p>
    <w:p w14:paraId="3E5B810A" w14:textId="77777777" w:rsidR="00D12B8D" w:rsidRPr="00D12B8D" w:rsidRDefault="00D12B8D" w:rsidP="00D12B8D">
      <w:pPr>
        <w:widowControl w:val="0"/>
        <w:spacing w:line="360" w:lineRule="auto"/>
      </w:pPr>
    </w:p>
    <w:p w14:paraId="5772380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Навчально-науковий інститут прикладного системного аналізу</w:t>
      </w:r>
      <w:r w:rsidRPr="00D12B8D">
        <w:rPr>
          <w:b/>
          <w:bCs/>
        </w:rPr>
        <w:br/>
        <w:t xml:space="preserve">Кафедра системного проектування </w:t>
      </w:r>
    </w:p>
    <w:p w14:paraId="53DCEEEA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</w:p>
    <w:p w14:paraId="5DC65695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1CF46839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674F213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Звіт</w:t>
      </w:r>
    </w:p>
    <w:p w14:paraId="61BABC0F" w14:textId="27274E03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  <w:color w:val="222222"/>
        </w:rPr>
      </w:pPr>
      <w:r w:rsidRPr="00D12B8D">
        <w:rPr>
          <w:b/>
          <w:bCs/>
        </w:rPr>
        <w:t xml:space="preserve">про виконання </w:t>
      </w:r>
      <w:proofErr w:type="spellStart"/>
      <w:r w:rsidRPr="00D12B8D">
        <w:rPr>
          <w:b/>
          <w:bCs/>
        </w:rPr>
        <w:t>практичної</w:t>
      </w:r>
      <w:proofErr w:type="spellEnd"/>
      <w:r w:rsidRPr="00D12B8D">
        <w:rPr>
          <w:b/>
          <w:bCs/>
        </w:rPr>
        <w:t xml:space="preserve"> роботи №4</w:t>
      </w:r>
      <w:r w:rsidRPr="00D12B8D">
        <w:rPr>
          <w:b/>
          <w:bCs/>
        </w:rPr>
        <w:br/>
        <w:t>з дисципліни «Проєктування інформаційних систем»</w:t>
      </w:r>
    </w:p>
    <w:p w14:paraId="53CD6D4E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0AE72BB8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45358BBE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323ECA98" w14:textId="6089B8F4" w:rsidR="00D12B8D" w:rsidRPr="00D12B8D" w:rsidRDefault="00D12B8D" w:rsidP="00D12B8D">
      <w:pPr>
        <w:widowControl w:val="0"/>
        <w:tabs>
          <w:tab w:val="left" w:pos="7938"/>
        </w:tabs>
        <w:spacing w:line="360" w:lineRule="auto"/>
        <w:ind w:left="5194"/>
      </w:pPr>
      <w:r w:rsidRPr="00D12B8D">
        <w:t>Виконав:</w:t>
      </w:r>
      <w:r w:rsidRPr="00D12B8D">
        <w:br/>
        <w:t xml:space="preserve">студент </w:t>
      </w:r>
      <w:r w:rsidR="00103B3B">
        <w:rPr>
          <w:lang w:val="en-US"/>
        </w:rPr>
        <w:t>4</w:t>
      </w:r>
      <w:r w:rsidRPr="00D12B8D">
        <w:t xml:space="preserve"> курсу, групи КН-32</w:t>
      </w:r>
      <w:r w:rsidRPr="00D12B8D">
        <w:br/>
        <w:t>Майстренко Ілля Ігорович</w:t>
      </w:r>
    </w:p>
    <w:p w14:paraId="2DEF0981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464C5D00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4B3BF455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561930D4" w14:textId="7446EB49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5FBD4275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1F730797" w14:textId="57383460" w:rsidR="00D12B8D" w:rsidRPr="00D12B8D" w:rsidRDefault="00D12B8D" w:rsidP="00D12B8D">
      <w:pPr>
        <w:widowControl w:val="0"/>
        <w:tabs>
          <w:tab w:val="left" w:pos="6237"/>
        </w:tabs>
        <w:spacing w:line="360" w:lineRule="auto"/>
        <w:jc w:val="center"/>
      </w:pPr>
      <w:r w:rsidRPr="00D12B8D">
        <w:t xml:space="preserve">Київ </w:t>
      </w:r>
      <w:r>
        <w:t>-</w:t>
      </w:r>
      <w:r w:rsidRPr="00D12B8D">
        <w:t xml:space="preserve"> 2026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Мета роботи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Опанувати підхід API-first у SDD: перейти від затверджених вимог до формального контракту REST API, визначити ресурси, URI та HTTP-операції, схеми запитів і відповідей, сформувати OpenAPI specification, перевірити позитивні й негативні сценарії через mock API та провести API-GATE до початку програмної реалізації. Серверна реалізація виконується в лабораторній роботі №5 за підходом TDD.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1. Вхідні артефакти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Контракт проєктувався на основі артефактів лабораторних робіт №2 і №3: затвердженої SRS версії 1.0 (spec/srs.tex), критеріїв прийняття, BDD-сценаріїв, глосарія предметної області, матриці простежуваності, декомпозиції на 31 тікет і плану реалізації.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Підхід API-first означає, що контракт створюється й перевіряється до написання коду: спочатку домовляємося, що саме система приймає і повертає, і лише потім це реалізуємо.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2. Вимоги SRS, доступні через API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Через REST API мають бути доступні функціональні вимоги, які описують роботу з даними: профілі, категорії, покупки, підсумки, аналітика, експорт і резервна копія. Разом це 36 вимог.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Свідомо не виносяться в контракт: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REQ-I-001, REQ-I-002, REQ-I-004 — стосуються інтерфейсу користувача, а не контракту;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REQ-F-034 і нефункціональні вимоги REQ-NF-009…011 — властивості реалізації; у контракті відображено лише формат грошових сум;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REQ-NF-001…008 — вимоги до процесу розробки;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видалення профілю — такої вимоги в SRS немає, питання ВП-01 відкрите з ЛР2.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3. Модель REST-ресурсів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000"/>
        <w:gridCol w:w="3900"/>
        <w:gridCol w:w="3455"/>
      </w:tblGrid>
      <w:tr>
        <w:tc>
          <w:tcPr>
            <w:tcW w:w="20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Ресурс</w:t>
            </w:r>
          </w:p>
        </w:tc>
        <w:tc>
          <w:tcPr>
            <w:tcW w:w="39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URI</w:t>
            </w:r>
          </w:p>
        </w:tc>
        <w:tc>
          <w:tcPr>
            <w:tcW w:w="34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Опис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Профіль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/profiles, /profiles/{profileId}</w:t>
            </w:r>
          </w:p>
        </w:tc>
        <w:tc>
          <w:tcPr>
            <w:tcW w:w="3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Іменований набір даних однієї людини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Категорія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/profiles/{profileId}/categories[/{categoryId}]</w:t>
            </w:r>
          </w:p>
        </w:tc>
        <w:tc>
          <w:tcPr>
            <w:tcW w:w="3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Тип витрати в межах профілю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Покупка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/profiles/{profileId}/purchases[/{purchaseId}]</w:t>
            </w:r>
          </w:p>
        </w:tc>
        <w:tc>
          <w:tcPr>
            <w:tcW w:w="3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Запис про витрату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Експорт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/profiles/{profileId}/purchases/export</w:t>
            </w:r>
          </w:p>
        </w:tc>
        <w:tc>
          <w:tcPr>
            <w:tcW w:w="3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Вивантаження покупок у CSV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Підсумок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/profiles/{profileId}/summary, /summary/categories</w:t>
            </w:r>
          </w:p>
        </w:tc>
        <w:tc>
          <w:tcPr>
            <w:tcW w:w="3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Похідний ресурс: суми за період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Графік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/profiles/{profileId}/charts/daily, /charts/monthly</w:t>
            </w:r>
          </w:p>
        </w:tc>
        <w:tc>
          <w:tcPr>
            <w:tcW w:w="3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Похідний ресурс: точки графіка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Резервна копія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/backups</w:t>
            </w:r>
          </w:p>
        </w:tc>
        <w:tc>
          <w:tcPr>
            <w:tcW w:w="3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Службовий ресурс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Категорії та покупки вкладені в профіль, тому ізоляція даних (REQ-F-003) забезпечується вже на рівні URI: звернутися до чужих покупок неможливо, не вказавши чужий профіль, а він повертає 404.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4. URI, HTTP-методи та зв'язок з вимогами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Усього 12 шляхів і 18 операцій. Кожна операція містить поле x-requirements з ID вимог, які вона реалізує.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700"/>
        <w:gridCol w:w="2900"/>
        <w:gridCol w:w="2400"/>
        <w:gridCol w:w="1355"/>
      </w:tblGrid>
      <w:tr>
        <w:tc>
          <w:tcPr>
            <w:tcW w:w="2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Метод і URI</w:t>
            </w:r>
          </w:p>
        </w:tc>
        <w:tc>
          <w:tcPr>
            <w:tcW w:w="29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Призначення</w:t>
            </w:r>
          </w:p>
        </w:tc>
        <w:tc>
          <w:tcPr>
            <w:tcW w:w="24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Вимоги</w:t>
            </w:r>
          </w:p>
        </w:tc>
        <w:tc>
          <w:tcPr>
            <w:tcW w:w="13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Коди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/profiles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Список профілів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REQ-F-002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POST /profiles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Створити профіль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REQ-F-001, 004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201, 409, 422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/profiles/{id}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Отримати профіль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REQ-F-002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.../categories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Категорії профілю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REQ-F-020, 003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POST .../categories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Створити власну категорію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REQ-F-021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201, 404, 409, 422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PATCH .../categories/{id}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Перейменувати категорію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REQ-F-022, 025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200, 404, 409, 422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DELETE .../categories/{id}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Видалити категорію, параметр confirm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REQ-F-023, 024, 025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204, 404, 409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.../purchases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Список покупок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REQ-F-012, 003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POST .../purchases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Додати покупку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REQ-F-005…007, 011, 013…019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201, 404, 422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.../purchases/{id}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Одна покупка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REQ-F-012, 003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PATCH .../purchases/{id}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Змінити покупку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REQ-F-008, 009, 013…018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200, 404, 422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DELETE .../purchases/{id}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Видалити покупку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REQ-F-010, 009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204, 404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.../purchases/export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Експорт у CSV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REQ-F-035, REQ-I-003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.../summary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Підсумок за період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REQ-F-026…029, 033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.../summary/categories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Розбивка за категоріями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REQ-F-030, 033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.../charts/daily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Графік по днях місяця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REQ-F-031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.../charts/monthly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Графік по місяцях року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REQ-F-032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200, 400, 404</w:t>
            </w:r>
          </w:p>
        </w:tc>
      </w:tr>
      <w:tr>
        <w:tc>
          <w:tcPr>
            <w:tcW w:w="2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POST /backups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Резервна копія бази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REQ-F-036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201, 500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5. Схеми даних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Визначено 15 схем. Ключові рішення: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грошові суми передаються рядком «56.00» з двома знаками після коми, а не числом: число з плаваючою комою втрачає копійки, що суперечить REQ-NF-010;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кількість — рядок із не більш ніж трьома знаками (REQ-F-018);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поле amount доступне лише для читання: клієнт надсилає ціну за одиницю й кількість, а вартість обчислює сервер (REQ-F-006);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службова категорія позначена прапорцем system, який забороняє видалення і перейменування (REQ-F-025).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Приклад тіла відповіді для покупки: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{ "id": "22222222-0000-4000-8000-000000000002",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"name": "Яблука",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"categoryId": "11111111-0000-4000-8000-000000000001",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"categoryName": "Продукти",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"unitPrice": "80.00",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"quantity": "0.7",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"amount": "56.00",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"occurredAt": "2026-10-05T18:12:00+03:00" }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6. Єдина модель помилки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Усі помилки повертають одну структуру. Поле requirement містить ID порушеної вимоги, що дає прямий зв'язок від помилки до специфікації й буде використане в тестах ЛР5.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{ "error": { "code": "VALIDATION_FAILED",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           "message": "Ціна має бути більшою за нуль.",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           "requirement": "REQ-F-013",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           "details": [ { "field": "unitPrice", "issue": "must be &gt; 0" } ] },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"traceId": "7f3a1c2e-0000-4000-8000-00000000ff01" }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100"/>
        <w:gridCol w:w="8255"/>
      </w:tblGrid>
      <w:tr>
        <w:tc>
          <w:tcPr>
            <w:tcW w:w="11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Код</w:t>
            </w:r>
          </w:p>
        </w:tc>
        <w:tc>
          <w:tcPr>
            <w:tcW w:w="82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Коли використовується</w:t>
            </w:r>
          </w:p>
        </w:tc>
      </w:tr>
      <w:tr>
        <w:tc>
          <w:tcPr>
            <w:tcW w:w="1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</w:t>
            </w:r>
          </w:p>
        </w:tc>
        <w:tc>
          <w:tcPr>
            <w:tcW w:w="8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Успішне читання або зміна</w:t>
            </w:r>
          </w:p>
        </w:tc>
      </w:tr>
      <w:tr>
        <w:tc>
          <w:tcPr>
            <w:tcW w:w="1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201</w:t>
            </w:r>
          </w:p>
        </w:tc>
        <w:tc>
          <w:tcPr>
            <w:tcW w:w="8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Ресурс створено</w:t>
            </w:r>
          </w:p>
        </w:tc>
      </w:tr>
      <w:tr>
        <w:tc>
          <w:tcPr>
            <w:tcW w:w="1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204</w:t>
            </w:r>
          </w:p>
        </w:tc>
        <w:tc>
          <w:tcPr>
            <w:tcW w:w="8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Видалено, тіла відповіді немає</w:t>
            </w:r>
          </w:p>
        </w:tc>
      </w:tr>
      <w:tr>
        <w:tc>
          <w:tcPr>
            <w:tcW w:w="1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400</w:t>
            </w:r>
          </w:p>
        </w:tc>
        <w:tc>
          <w:tcPr>
            <w:tcW w:w="8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Некоректний параметр запиту, наприклад невідоме значення period</w:t>
            </w:r>
          </w:p>
        </w:tc>
      </w:tr>
      <w:tr>
        <w:tc>
          <w:tcPr>
            <w:tcW w:w="1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404</w:t>
            </w:r>
          </w:p>
        </w:tc>
        <w:tc>
          <w:tcPr>
            <w:tcW w:w="8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Ресурсу не існує або він належить іншому профілю</w:t>
            </w:r>
          </w:p>
        </w:tc>
      </w:tr>
      <w:tr>
        <w:tc>
          <w:tcPr>
            <w:tcW w:w="1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409</w:t>
            </w:r>
          </w:p>
        </w:tc>
        <w:tc>
          <w:tcPr>
            <w:tcW w:w="8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Конфлікт стану: непорожня або службова категорія, дублікат назви</w:t>
            </w:r>
          </w:p>
        </w:tc>
      </w:tr>
      <w:tr>
        <w:tc>
          <w:tcPr>
            <w:tcW w:w="1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422</w:t>
            </w:r>
          </w:p>
        </w:tc>
        <w:tc>
          <w:tcPr>
            <w:tcW w:w="8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Порушено правило предметної області: ціна ≤ 0, порожня назва, дата в майбутньому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Розмежування 400, 409 і 422 зроблено свідомо: без нього всі помилки злилися б в один код і клієнт не міг би відрізнити поганий параметр від порушення правила предметної області.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7. OpenAPI specification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Контракт збережено у spec/api/openapi.yaml у форматі OpenAPI 3.0.3: 12 шляхів, 18 операцій, 15 схем, приклади для кожної відповіді. Фрагмент операції додавання покупки: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post: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summary: Додати покупку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operationId: createPurchase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x-requirements: [REQ-F-005, REQ-F-006, REQ-F-007, ...]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responses: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  '201': { description: Покупку створено }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  '422': { $ref: '#/components/responses/UnprocessableEntity' }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8. Автоматична валідація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Специфікацію перевірено валідатором openapi-spec-validator 0.9.0: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$ python -m openapi_spec_validator spec/api/openapi.yaml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spec/api/openapi.yaml: OK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Результат збережено у docs/api-validation.txt.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9. Запуск mock API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Mock піднято безпосередньо зі специфікації, серверного коду не написано: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npx @stoplight/prism-cli mock spec/api/openapi.yaml -p 4010</w:t>
      </w:r>
    </w:p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60000" cy="3129248"/>
            <wp:effectExtent l="0" t="0" r="0" b="0"/>
            <wp:docPr id="601" name="L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2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1 - Запуск mock API: Prism підняв усі 18 операцій зі специфікації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10. Позитивні сценарії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700"/>
        <w:gridCol w:w="3700"/>
        <w:gridCol w:w="3200"/>
        <w:gridCol w:w="1755"/>
      </w:tblGrid>
      <w:tr>
        <w:tc>
          <w:tcPr>
            <w:tcW w:w="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#</w:t>
            </w:r>
          </w:p>
        </w:tc>
        <w:tc>
          <w:tcPr>
            <w:tcW w:w="3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Сценарій</w:t>
            </w:r>
          </w:p>
        </w:tc>
        <w:tc>
          <w:tcPr>
            <w:tcW w:w="32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Очікувано</w:t>
            </w:r>
          </w:p>
        </w:tc>
        <w:tc>
          <w:tcPr>
            <w:tcW w:w="17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Вимоги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P1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Список профілів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масив профілів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REQ-F-002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P2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Створення профілю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201, профіль з id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REQ-F-001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P3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Базові категорії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п'ять категорій, «Інше» службова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REQ-F-020, 003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P4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Покупка на вагу 80.00 × 0.7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201, amount = 56.00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REQ-F-005…007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P5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Список покупок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від новіших до старіших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REQ-F-012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P6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Підсумок за тиждень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total = 150.00, межі 05.10–11.10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REQ-F-027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P7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Порожній місяць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total = 0.00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REQ-F-033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P8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Розбивка за категоріями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частки 75 і 25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REQ-F-030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P9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Графік по днях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точки з сумами за день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REQ-F-031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P10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Перенесення покупки на інший день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оновлена дата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REQ-F-008, 009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P11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Видалення покупки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204, без тіла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REQ-F-010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P12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Експорт у CSV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text/csv із заголовком колонок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REQ-F-035</w:t>
            </w:r>
          </w:p>
        </w:tc>
      </w:tr>
    </w:tbl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60000" cy="1339373"/>
            <wp:effectExtent l="0" t="0" r="0" b="0"/>
            <wp:docPr id="602" name="L4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3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2 - Відповідь mock на запит підсумку за календарний тиждень: total = 150.00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11. Негативні сценарії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700"/>
        <w:gridCol w:w="3900"/>
        <w:gridCol w:w="3000"/>
        <w:gridCol w:w="1755"/>
      </w:tblGrid>
      <w:tr>
        <w:tc>
          <w:tcPr>
            <w:tcW w:w="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#</w:t>
            </w:r>
          </w:p>
        </w:tc>
        <w:tc>
          <w:tcPr>
            <w:tcW w:w="39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Сценарій</w:t>
            </w:r>
          </w:p>
        </w:tc>
        <w:tc>
          <w:tcPr>
            <w:tcW w:w="30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Очікувано</w:t>
            </w:r>
          </w:p>
        </w:tc>
        <w:tc>
          <w:tcPr>
            <w:tcW w:w="17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Вимоги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N1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Ціна дорівнює нулю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422, VALIDATION_FAILED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REQ-F-013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N2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Порожня назва покупки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422, requirement REQ-F-015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REQ-F-015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N3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Дата й час у майбутньому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422, requirement REQ-F-016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REQ-F-016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N4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Чотири знаки в кількості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422, requirement REQ-F-018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REQ-F-018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N5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Видалення непорожньої категорії без confirm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409, CATEGORY_NOT_EMPTY з кількістю покупок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REQ-F-023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N6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Видалення службової категорії «Інше»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409, CATEGORY_IS_SYSTEM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REQ-F-025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N7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Неіснуюча покупка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404, PURCHASE_NOT_FOUND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REQ-F-012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N8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Чужий або неіснуючий профіль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404, PROFILE_NOT_FOUND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REQ-F-003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N9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Невідоме значення period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400, INVALID_PERIOD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REQ-F-026</w:t>
            </w:r>
          </w:p>
        </w:tc>
      </w:tr>
      <w:tr>
        <w:tc>
          <w:tcPr>
            <w:tcW w:w="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N10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Дублікат назви категорії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409, CATEGORY_NAME_TAKEN</w:t>
            </w:r>
          </w:p>
        </w:tc>
        <w:tc>
          <w:tcPr>
            <w:tcW w:w="1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REQ-F-021</w:t>
            </w:r>
          </w:p>
        </w:tc>
      </w:tr>
    </w:tbl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60000" cy="3081183"/>
            <wp:effectExtent l="0" t="0" r="0" b="0"/>
            <wp:docPr id="603" name="L4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8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3 - Журнал mock-сервера: обробка запитів сценаріїв і коди відповідей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12. Перевірка відтворення контракту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Сценарії виконано скриптом spec/api/run-scenarios.sh, повний вивід збережено у docs/api-scenarios-output.txt. Усі 22 сценарії відтворені mock-сервером.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0"/>
        <w:gridCol w:w="4655"/>
      </w:tblGrid>
      <w:tr>
        <w:tc>
          <w:tcPr>
            <w:tcW w:w="4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Код відповіді</w:t>
            </w:r>
          </w:p>
        </w:tc>
        <w:tc>
          <w:tcPr>
            <w:tcW w:w="46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Кількість</w:t>
            </w:r>
          </w:p>
        </w:tc>
      </w:tr>
      <w:tr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</w:t>
            </w:r>
          </w:p>
        </w:tc>
        <w:tc>
          <w:tcPr>
            <w:tcW w:w="46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</w:tr>
      <w:tr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201</w:t>
            </w:r>
          </w:p>
        </w:tc>
        <w:tc>
          <w:tcPr>
            <w:tcW w:w="46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</w:tr>
      <w:tr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204</w:t>
            </w:r>
          </w:p>
        </w:tc>
        <w:tc>
          <w:tcPr>
            <w:tcW w:w="46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</w:tr>
      <w:tr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400</w:t>
            </w:r>
          </w:p>
        </w:tc>
        <w:tc>
          <w:tcPr>
            <w:tcW w:w="46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</w:tr>
      <w:tr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404</w:t>
            </w:r>
          </w:p>
        </w:tc>
        <w:tc>
          <w:tcPr>
            <w:tcW w:w="46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</w:tr>
      <w:tr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409</w:t>
            </w:r>
          </w:p>
        </w:tc>
        <w:tc>
          <w:tcPr>
            <w:tcW w:w="46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</w:tr>
      <w:tr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422</w:t>
            </w:r>
          </w:p>
        </w:tc>
        <w:tc>
          <w:tcPr>
            <w:tcW w:w="46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Mock повернув саме ті структури, що описані в контракті: обчислену вартість 56.00, підсумок 150.00 з межами тижня понеділок–неділя, 0.00 для порожнього місяця, частки категорій 75 і 25 відсотків, CSV із потрібними колонками та єдину модель помилки з полем requirement. Це підтверджує, що контракт перевірюваний до написання серверного коду.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13. Нова поведінка та адендум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Під час проєктування виникла спокуса додати операцію DELETE /profiles/{profileId}. Такої вимоги в SRS немає, а питання ВП-01 залишилося відкритим з ЛР2. Операцію в контракт не внесено: нова поведінка оформлюється адендумом до специфікації, для чого в плані ЛР3 є тікет FEI-30 типу Addendum. Це відповідає пункту про те, що функціональність поза SRS не додається безпосередньо в реалізацію.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14. Контрольна точка API-GATE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600"/>
        <w:gridCol w:w="3200"/>
        <w:gridCol w:w="5555"/>
      </w:tblGrid>
      <w:tr>
        <w:tc>
          <w:tcPr>
            <w:tcW w:w="6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#</w:t>
            </w:r>
          </w:p>
        </w:tc>
        <w:tc>
          <w:tcPr>
            <w:tcW w:w="32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Умова</w:t>
            </w:r>
          </w:p>
        </w:tc>
        <w:tc>
          <w:tcPr>
            <w:tcW w:w="55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Результат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Зв'язок операцій з REQ-ID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Усі 18 операцій мають x-requirements, покрито 36 вимог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Відповідність глосарію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profile, purchase, category, unitPrice, quantity, amount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Послідовність URI та методів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Іменники в множині, вкладеність у профіль, GET/POST/PATCH/DELETE за призначенням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Request і response schemas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15 схем, усі тіла описані, приклади для кожної відповіді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Коди стану й модель помилок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200, 201, 204, 400, 404, 409, 422, 500; єдина схема Error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Позитивні й негативні сценарії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12 і 10 відповідно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Не розкриває внутрішню реалізацію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Немає SQL, назв таблиць і шляхів до файлів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Автоматична валідація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openapi-spec-validator: OK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Mock запускається зі специфікації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Prism 5.15.11, порт 4010</w:t>
            </w:r>
          </w:p>
        </w:tc>
      </w:tr>
      <w:tr>
        <w:tc>
          <w:tcPr>
            <w:tcW w:w="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Сценарії відтворюються через mock</w:t>
            </w:r>
          </w:p>
        </w:tc>
        <w:tc>
          <w:tcPr>
            <w:tcW w:w="5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22 з 22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Рішення контрольної точки: GO. Запис збережено у logs/api-gate.md. Відкритим залишається питання ВП-01.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15. Оновлена матриця простежуваності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У матрицю додано колонку API operation. Фрагмент: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00"/>
        <w:gridCol w:w="3100"/>
        <w:gridCol w:w="4455"/>
      </w:tblGrid>
      <w:tr>
        <w:tc>
          <w:tcPr>
            <w:tcW w:w="18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Вимога</w:t>
            </w:r>
          </w:p>
        </w:tc>
        <w:tc>
          <w:tcPr>
            <w:tcW w:w="31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Тікет</w:t>
            </w:r>
          </w:p>
        </w:tc>
        <w:tc>
          <w:tcPr>
            <w:tcW w:w="44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API operation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REQ-F-006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FEI-9, FEI-10, FEI-21</w:t>
            </w:r>
          </w:p>
        </w:tc>
        <w:tc>
          <w:tcPr>
            <w:tcW w:w="4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POST /profiles/{profileId}/purchases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REQ-F-013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FEI-11, FEI-12</w:t>
            </w:r>
          </w:p>
        </w:tc>
        <w:tc>
          <w:tcPr>
            <w:tcW w:w="4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POST /profiles/{profileId}/purchases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REQ-F-024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FEI-7, FEI-8</w:t>
            </w:r>
          </w:p>
        </w:tc>
        <w:tc>
          <w:tcPr>
            <w:tcW w:w="4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DELETE .../categories/{categoryId}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REQ-F-027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FEI-15, FEI-16</w:t>
            </w:r>
          </w:p>
        </w:tc>
        <w:tc>
          <w:tcPr>
            <w:tcW w:w="4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/profiles/{profileId}/summary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REQ-F-030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FEI-17, FEI-18</w:t>
            </w:r>
          </w:p>
        </w:tc>
        <w:tc>
          <w:tcPr>
            <w:tcW w:w="4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.../summary/categories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REQ-F-035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FEI-23, FEI-24</w:t>
            </w:r>
          </w:p>
        </w:tc>
        <w:tc>
          <w:tcPr>
            <w:tcW w:w="44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GET .../purchases/export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16. Артефакти і коміти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Артефакти зафіксовано окремими змістовними комітами: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spec: add REST API contract (OpenAPI 3.0.3) — spec/api/openapi.yaml;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docs: add REST resource model and REQ-ID traceability — docs/api-resources.md;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test: add mock API scenarios and validation result — скрипт сценаріїв, вивід прогону, результат валідації;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spec: link requirements to API operations — оновлена spec/traceability.md;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gate: approve API contract (API-GATE) — logs/api-gate.md.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Висновки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Контракт REST API побудовано безпосередньо зі специфікації: кожна операція має джерело у вимогах, а термінологія збігається з глосарієм. Підхід API-first дав можливість перевірити домовленість до написання коду — mock, піднятий із самої специфікації, відтворив усі 22 сценарії, зокрема обчислення вартості, межі календарного тижня та всі види помилок.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Найкориснішим виявилося те, що неочевидні рішення довелося ухвалити саме на етапі контракту, а не під час реалізації: передавати суми рядком, робити вартість доступною лише для читання, розділити 400, 409 і 422, повертати попередження про непорожню категорію замість мовчазного видалення. Якби ці питання спливли в коді, кожне з них коштувало б переробки. Поле requirement в моделі помилки і x-requirements в операціях роблять контракт придатним для тестів ЛР5: тест завжди знає, яку саме вимогу він перевіряє.</w:t>
      </w:r>
    </w:p>
    <w:sectPr w:rsidR="0001064E" w:rsidRPr="00D12B8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864AB"/>
    <w:multiLevelType w:val="hybridMultilevel"/>
    <w:tmpl w:val="7AB884F0"/>
    <w:lvl w:ilvl="0" w:tplc="7298A704">
      <w:start w:val="1"/>
      <w:numFmt w:val="bullet"/>
      <w:lvlText w:val="–"/>
      <w:lvlJc w:val="left"/>
      <w:pPr>
        <w:ind w:left="720" w:hanging="360"/>
      </w:pPr>
    </w:lvl>
    <w:lvl w:ilvl="1" w:tplc="ED5ECDFA">
      <w:numFmt w:val="decimal"/>
      <w:lvlText w:val=""/>
      <w:lvlJc w:val="left"/>
    </w:lvl>
    <w:lvl w:ilvl="2" w:tplc="9B465952">
      <w:numFmt w:val="decimal"/>
      <w:lvlText w:val=""/>
      <w:lvlJc w:val="left"/>
    </w:lvl>
    <w:lvl w:ilvl="3" w:tplc="FA146C92">
      <w:numFmt w:val="decimal"/>
      <w:lvlText w:val=""/>
      <w:lvlJc w:val="left"/>
    </w:lvl>
    <w:lvl w:ilvl="4" w:tplc="BA969850">
      <w:numFmt w:val="decimal"/>
      <w:lvlText w:val=""/>
      <w:lvlJc w:val="left"/>
    </w:lvl>
    <w:lvl w:ilvl="5" w:tplc="CD663DC4">
      <w:numFmt w:val="decimal"/>
      <w:lvlText w:val=""/>
      <w:lvlJc w:val="left"/>
    </w:lvl>
    <w:lvl w:ilvl="6" w:tplc="EEC493CE">
      <w:numFmt w:val="decimal"/>
      <w:lvlText w:val=""/>
      <w:lvlJc w:val="left"/>
    </w:lvl>
    <w:lvl w:ilvl="7" w:tplc="D778C69A">
      <w:numFmt w:val="decimal"/>
      <w:lvlText w:val=""/>
      <w:lvlJc w:val="left"/>
    </w:lvl>
    <w:lvl w:ilvl="8" w:tplc="B380E0FE">
      <w:numFmt w:val="decimal"/>
      <w:lvlText w:val=""/>
      <w:lvlJc w:val="left"/>
    </w:lvl>
  </w:abstractNum>
  <w:abstractNum w:abstractNumId="1" w15:restartNumberingAfterBreak="0">
    <w:nsid w:val="19812C23"/>
    <w:multiLevelType w:val="hybridMultilevel"/>
    <w:tmpl w:val="4E5EF6FA"/>
    <w:lvl w:ilvl="0" w:tplc="5504FCDC">
      <w:numFmt w:val="bullet"/>
      <w:lvlText w:val="-"/>
      <w:lvlJc w:val="left"/>
      <w:pPr>
        <w:ind w:left="720" w:hanging="360"/>
      </w:pPr>
      <w:rPr>
        <w:rFonts w:ascii="Times New Roman" w:eastAsia="Consolas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E57B0"/>
    <w:multiLevelType w:val="hybridMultilevel"/>
    <w:tmpl w:val="8BAE2030"/>
    <w:lvl w:ilvl="0" w:tplc="5980F4F4">
      <w:start w:val="1"/>
      <w:numFmt w:val="bullet"/>
      <w:lvlText w:val="●"/>
      <w:lvlJc w:val="left"/>
      <w:pPr>
        <w:ind w:left="720" w:hanging="360"/>
      </w:pPr>
    </w:lvl>
    <w:lvl w:ilvl="1" w:tplc="DCB8214C">
      <w:start w:val="1"/>
      <w:numFmt w:val="bullet"/>
      <w:lvlText w:val="○"/>
      <w:lvlJc w:val="left"/>
      <w:pPr>
        <w:ind w:left="1440" w:hanging="360"/>
      </w:pPr>
    </w:lvl>
    <w:lvl w:ilvl="2" w:tplc="E3C81CB0">
      <w:start w:val="1"/>
      <w:numFmt w:val="bullet"/>
      <w:lvlText w:val="■"/>
      <w:lvlJc w:val="left"/>
      <w:pPr>
        <w:ind w:left="2160" w:hanging="360"/>
      </w:pPr>
    </w:lvl>
    <w:lvl w:ilvl="3" w:tplc="0E44B244">
      <w:start w:val="1"/>
      <w:numFmt w:val="bullet"/>
      <w:lvlText w:val="●"/>
      <w:lvlJc w:val="left"/>
      <w:pPr>
        <w:ind w:left="2880" w:hanging="360"/>
      </w:pPr>
    </w:lvl>
    <w:lvl w:ilvl="4" w:tplc="7A327036">
      <w:start w:val="1"/>
      <w:numFmt w:val="bullet"/>
      <w:lvlText w:val="○"/>
      <w:lvlJc w:val="left"/>
      <w:pPr>
        <w:ind w:left="3600" w:hanging="360"/>
      </w:pPr>
    </w:lvl>
    <w:lvl w:ilvl="5" w:tplc="3B4C4C3A">
      <w:start w:val="1"/>
      <w:numFmt w:val="bullet"/>
      <w:lvlText w:val="■"/>
      <w:lvlJc w:val="left"/>
      <w:pPr>
        <w:ind w:left="4320" w:hanging="360"/>
      </w:pPr>
    </w:lvl>
    <w:lvl w:ilvl="6" w:tplc="C076E2EA">
      <w:start w:val="1"/>
      <w:numFmt w:val="bullet"/>
      <w:lvlText w:val="●"/>
      <w:lvlJc w:val="left"/>
      <w:pPr>
        <w:ind w:left="5040" w:hanging="360"/>
      </w:pPr>
    </w:lvl>
    <w:lvl w:ilvl="7" w:tplc="D6F27E9A">
      <w:start w:val="1"/>
      <w:numFmt w:val="bullet"/>
      <w:lvlText w:val="●"/>
      <w:lvlJc w:val="left"/>
      <w:pPr>
        <w:ind w:left="5760" w:hanging="360"/>
      </w:pPr>
    </w:lvl>
    <w:lvl w:ilvl="8" w:tplc="76AE6F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64E"/>
    <w:rsid w:val="0001064E"/>
    <w:rsid w:val="0008788A"/>
    <w:rsid w:val="00103B3B"/>
    <w:rsid w:val="009E04F8"/>
    <w:rsid w:val="00BC1D80"/>
    <w:rsid w:val="00D12B8D"/>
    <w:rsid w:val="00D2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9803"/>
  <w15:docId w15:val="{4FF21079-A94B-4801-9A2E-EEF64CDE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L22" Type="http://schemas.openxmlformats.org/officeDocument/2006/relationships/image" Target="media/imgL2_1.png"/><Relationship Id="rIdL23" Type="http://schemas.openxmlformats.org/officeDocument/2006/relationships/image" Target="media/imgL2_2.png"/><Relationship Id="rIdL31" Type="http://schemas.openxmlformats.org/officeDocument/2006/relationships/image" Target="media/l3_1.png"/><Relationship Id="rIdL32" Type="http://schemas.openxmlformats.org/officeDocument/2006/relationships/image" Target="media/l3_2.png"/><Relationship Id="rIdL33" Type="http://schemas.openxmlformats.org/officeDocument/2006/relationships/image" Target="media/l3_3.png"/><Relationship Id="rIdL34" Type="http://schemas.openxmlformats.org/officeDocument/2006/relationships/image" Target="media/l3_4.png"/><Relationship Id="rIdL35" Type="http://schemas.openxmlformats.org/officeDocument/2006/relationships/image" Target="media/l3_5.png"/><Relationship Id="rIdL41" Type="http://schemas.openxmlformats.org/officeDocument/2006/relationships/image" Target="media/l4_1.png"/><Relationship Id="rIdL42" Type="http://schemas.openxmlformats.org/officeDocument/2006/relationships/image" Target="media/l4_2.png"/><Relationship Id="rIdL43" Type="http://schemas.openxmlformats.org/officeDocument/2006/relationships/image" Target="media/l4_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ill</cp:lastModifiedBy>
  <cp:revision>8</cp:revision>
  <dcterms:created xsi:type="dcterms:W3CDTF">2026-09-16T18:01:00Z</dcterms:created>
  <dcterms:modified xsi:type="dcterms:W3CDTF">2026-09-18T13:59:00Z</dcterms:modified>
</cp:coreProperties>
</file>