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542C" w:rsidRPr="005D6B55" w:rsidRDefault="0055542C" w:rsidP="0055542C">
      <w:pPr>
        <w:pStyle w:val="afc"/>
        <w:jc w:val="center"/>
        <w:rPr>
          <w:color w:val="0F1115"/>
          <w:sz w:val="24"/>
          <w:szCs w:val="24"/>
          <w:shd w:val="clear" w:color="auto" w:fill="FFFFFF"/>
        </w:rPr>
      </w:pPr>
      <w:r w:rsidRPr="005D6B55">
        <w:rPr>
          <w:rStyle w:val="afd"/>
          <w:rFonts w:eastAsia="Arial"/>
          <w:color w:val="0F1115"/>
          <w:sz w:val="24"/>
          <w:szCs w:val="24"/>
          <w:shd w:val="clear" w:color="auto" w:fill="FFFFFF"/>
        </w:rPr>
        <w:t>Г</w:t>
      </w:r>
      <w:r>
        <w:rPr>
          <w:rStyle w:val="afd"/>
          <w:rFonts w:eastAsia="Arial"/>
          <w:color w:val="0F1115"/>
          <w:sz w:val="24"/>
          <w:szCs w:val="24"/>
          <w:shd w:val="clear" w:color="auto" w:fill="FFFFFF"/>
        </w:rPr>
        <w:t>ОСУДАРСТВЕННОЕ АВТОНОМНОЕ ПРОФЕССИОНАЛЬНОЕ ОБРАЗОВАТЕЛЬНОЕ УЧРЕЖДЕНИЕ СВЕРДЛОВСКОЙ ОБЛАСТИ</w:t>
      </w:r>
      <w:r w:rsidRPr="0055542C">
        <w:rPr>
          <w:rStyle w:val="a7"/>
          <w:color w:val="0F1115"/>
          <w:sz w:val="24"/>
          <w:szCs w:val="24"/>
          <w:shd w:val="clear" w:color="auto" w:fill="FFFFFF"/>
        </w:rPr>
        <w:t xml:space="preserve"> </w:t>
      </w:r>
      <w:r>
        <w:rPr>
          <w:b/>
          <w:color w:val="0F1115"/>
          <w:sz w:val="24"/>
          <w:szCs w:val="24"/>
          <w:shd w:val="clear" w:color="auto" w:fill="FFFFFF"/>
        </w:rPr>
        <w:t>«</w:t>
      </w:r>
      <w:r>
        <w:rPr>
          <w:b/>
          <w:color w:val="0F1115"/>
          <w:sz w:val="24"/>
          <w:szCs w:val="24"/>
          <w:shd w:val="clear" w:color="auto" w:fill="FFFFFF"/>
        </w:rPr>
        <w:t>БЕРЁЗОВСКИЙ</w:t>
      </w:r>
      <w:r>
        <w:rPr>
          <w:b/>
          <w:color w:val="0F1115"/>
          <w:sz w:val="24"/>
          <w:szCs w:val="24"/>
          <w:shd w:val="clear" w:color="auto" w:fill="FFFFFF"/>
        </w:rPr>
        <w:t xml:space="preserve"> </w:t>
      </w:r>
      <w:r>
        <w:rPr>
          <w:b/>
          <w:color w:val="0F1115"/>
          <w:sz w:val="24"/>
          <w:szCs w:val="24"/>
          <w:shd w:val="clear" w:color="auto" w:fill="FFFFFF"/>
        </w:rPr>
        <w:t>ТЕХНИКУМ</w:t>
      </w:r>
      <w:r>
        <w:rPr>
          <w:b/>
          <w:color w:val="0F1115"/>
          <w:sz w:val="24"/>
          <w:szCs w:val="24"/>
          <w:shd w:val="clear" w:color="auto" w:fill="FFFFFF"/>
        </w:rPr>
        <w:t xml:space="preserve"> «</w:t>
      </w:r>
      <w:r>
        <w:rPr>
          <w:b/>
          <w:color w:val="0F1115"/>
          <w:sz w:val="24"/>
          <w:szCs w:val="24"/>
          <w:shd w:val="clear" w:color="auto" w:fill="FFFFFF"/>
        </w:rPr>
        <w:t>ПРОФИ</w:t>
      </w:r>
      <w:r w:rsidRPr="005D6B55">
        <w:rPr>
          <w:b/>
          <w:color w:val="0F1115"/>
          <w:sz w:val="24"/>
          <w:szCs w:val="24"/>
          <w:shd w:val="clear" w:color="auto" w:fill="FFFFFF"/>
        </w:rPr>
        <w:t>»</w:t>
      </w:r>
    </w:p>
    <w:p w:rsidR="0055542C" w:rsidRDefault="0055542C" w:rsidP="0055542C">
      <w:pPr>
        <w:spacing w:after="0"/>
        <w:ind w:right="-1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55542C" w:rsidRPr="009E0546" w:rsidRDefault="0055542C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>
        <w:tc>
          <w:tcPr>
            <w:tcW w:w="3115" w:type="dxa"/>
            <w:shd w:val="clear" w:color="auto" w:fill="auto"/>
          </w:tcPr>
          <w:p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color w:val="000000"/>
                <w:spacing w:val="-16"/>
                <w:sz w:val="24"/>
                <w:szCs w:val="24"/>
              </w:rPr>
              <w:t xml:space="preserve">09.02.07 </w:t>
            </w:r>
            <w:r>
              <w:rPr>
                <w:spacing w:val="-16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F54238">
        <w:tc>
          <w:tcPr>
            <w:tcW w:w="3115" w:type="dxa"/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(код и наименование направления /специальности подготовки)</w:t>
            </w:r>
          </w:p>
        </w:tc>
      </w:tr>
      <w:tr w:rsidR="00F54238">
        <w:tc>
          <w:tcPr>
            <w:tcW w:w="3115" w:type="dxa"/>
            <w:shd w:val="clear" w:color="auto" w:fill="auto"/>
          </w:tcPr>
          <w:p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>
        <w:tc>
          <w:tcPr>
            <w:tcW w:w="3115" w:type="dxa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(очная, очно-заочная, заочная)</w:t>
            </w:r>
          </w:p>
        </w:tc>
      </w:tr>
    </w:tbl>
    <w:p w:rsidR="00F54238" w:rsidRPr="0055542C" w:rsidRDefault="008932D5" w:rsidP="0055542C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t>.</w:t>
      </w:r>
      <w:r>
        <w:rPr>
          <w:rFonts w:ascii="TimesNewRomanPS-BoldMT" w:hAnsi="TimesNewRomanPS-BoldMT"/>
          <w:color w:val="FFFFFF"/>
          <w:sz w:val="24"/>
          <w:szCs w:val="24"/>
        </w:rPr>
        <w:br/>
      </w:r>
      <w:r>
        <w:rPr>
          <w:rFonts w:ascii="TimesNewRomanPSMT" w:hAnsi="TimesNewRomanPSMT"/>
          <w:color w:val="000000"/>
          <w:sz w:val="24"/>
          <w:szCs w:val="24"/>
        </w:rPr>
        <w:br/>
      </w: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>Отчёт по лабораторной работе № 1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>
        <w:tc>
          <w:tcPr>
            <w:tcW w:w="1276" w:type="dxa"/>
            <w:gridSpan w:val="2"/>
            <w:shd w:val="clear" w:color="auto" w:fill="auto"/>
          </w:tcPr>
          <w:p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Разработка регламента работы службы поддержки информационной 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системы</w:t>
            </w:r>
          </w:p>
        </w:tc>
      </w:tr>
      <w:tr w:rsidR="00F54238">
        <w:tc>
          <w:tcPr>
            <w:tcW w:w="3115" w:type="dxa"/>
            <w:gridSpan w:val="6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(наименование темы)</w:t>
            </w:r>
          </w:p>
        </w:tc>
      </w:tr>
      <w:tr w:rsidR="00F54238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4"/>
                <w:szCs w:val="24"/>
              </w:rPr>
            </w:pPr>
          </w:p>
        </w:tc>
      </w:tr>
      <w:tr w:rsidR="00F542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:rsidR="00362B09" w:rsidRDefault="00EE260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наименование дисциплины)</w:t>
            </w:r>
          </w:p>
        </w:tc>
      </w:tr>
    </w:tbl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:rsidTr="0007163E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:rsidTr="00012EB8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                                                                              </w:t>
            </w:r>
          </w:p>
        </w:tc>
      </w:tr>
      <w:tr w:rsidR="002055B6" w:rsidTr="001C6C84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E66757" w:rsidTr="00E66757">
        <w:tc>
          <w:tcPr>
            <w:tcW w:w="2061" w:type="dxa"/>
            <w:shd w:val="clear" w:color="auto" w:fill="auto"/>
          </w:tcPr>
          <w:p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:rsidTr="00AA54AD">
        <w:tc>
          <w:tcPr>
            <w:tcW w:w="2268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2055B6" w:rsidTr="000678D0">
        <w:tc>
          <w:tcPr>
            <w:tcW w:w="2268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                                                                              </w:t>
            </w:r>
          </w:p>
        </w:tc>
      </w:tr>
    </w:tbl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55542C" w:rsidRDefault="0055542C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55542C" w:rsidRDefault="0055542C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55542C" w:rsidRDefault="0055542C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55542C" w:rsidRDefault="0055542C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bookmarkStart w:id="1" w:name="_GoBack"/>
      <w:bookmarkEnd w:id="1"/>
    </w:p>
    <w:p w:rsidR="0055542C" w:rsidRDefault="0055542C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FF22EB" w:rsidRDefault="0055542C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>Берёзовский</w:t>
      </w:r>
      <w:r w:rsidR="008932D5">
        <w:rPr>
          <w:rFonts w:ascii="TimesNewRomanPS-BoldMT" w:hAnsi="TimesNewRomanPS-BoldMT"/>
          <w:b/>
          <w:bCs/>
          <w:color w:val="000000"/>
          <w:sz w:val="24"/>
          <w:szCs w:val="24"/>
        </w:rPr>
        <w:t>, 2026</w:t>
      </w:r>
      <w:r w:rsidR="00FF22EB">
        <w:rPr>
          <w:rFonts w:ascii="TimesNewRomanPS-BoldMT" w:hAnsi="TimesNewRomanPS-BoldMT"/>
          <w:b/>
          <w:bCs/>
          <w:color w:val="000000"/>
          <w:sz w:val="24"/>
          <w:szCs w:val="24"/>
        </w:rPr>
        <w:br w:type="page"/>
      </w:r>
    </w:p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Регламент службы поддержки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МДК.06.02-ЛР01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Рекомендуемое имя файла: Фамилия_Группа_МДК0602_ЛР01.docx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SA____   Предметная область ____________________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Версия данных: 2026-09-12-lab-itil-1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Назначение формы: регламент поддержки с ролями, каналами, порядком регистрации, эскалации и контроля.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Заполняйте таблицы своими результатами, добавляя строки по числу исходных записей. Пустая ячейка не означает отсутствие факта: неизвестное обозначайте явно. Данные и подробное задание находятся в соседних файлах архива.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Область действия и исключения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Услуга и граница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Ответственная роль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Основание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Распределение полномочий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Операция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Исполнитель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Передача и подтверждение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Регламент службы поддержки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Переходы карточки обращения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Состояние и вход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Действие и владелец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Выход и контроль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Поля карточки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Поле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Назначение и источник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Когда заполняется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Регламент службы поддержки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Проверка регламента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ID наблюдения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Применяемое правило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Разрыв и корректировка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Схема процесса или проверки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Покажите состояния или ветви и условия переходов. Допустима редактируемая таблица переходов вместо изображения.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4"/>
          <w:szCs w:val="24"/>
          <w:color w:val="77777F"/>
        </w:rPr>
        <w:t>[Место для схемы при использовании изображения]</w:t>
      </w:r>
      <w:r>
        <w:br/>
        <w:rPr>
          <w:sz w:val="24"/>
          <w:szCs w:val="24"/>
        </w:rPr>
      </w:r>
    </w:p>
    <w:p>
      <w:pPr>
        <w:jc w:val="center"/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Рисунок № — Название</w:t>
      </w:r>
    </w:p>
    <w:p>
      <w:pPr>
        <w:jc w:val="center"/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Впишите номер и название рисунка самостоятельно.</w:t>
      </w:r>
    </w:p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Проверка на контрольном случае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Проверьте, кто примет обращение при дополнительном ограничении варианта и как будет подтверждена передача.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Первичное решение и новые факты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Расчёт или различающая проверка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Пересмотр решения и оставшиеся ограничения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Профессиональное заключение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Выберите централизованную или распределённую модель приёма обращений и обоснуйте её числом специалистов, каналами и режимом работы.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[Сформулируйте решение, основание и границу применимости.]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Оценивание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Максимум 6 баллов: предметный результат — 2; обоснование по данным — 2; проверка и объяснение изменения условия — 2. Частичное выполнение каждого критерия получает пропорциональную долю. Допустимы разные решения при соблюдении ограничений и прослеживаемых основаниях. На сдаче объясните выбранный факт и корректировку при небольшом изменении условия; устный или письменный ответ входит в эти баллы.</w:t>
      </w:r>
    </w:p>
    <w:sectPr w:rsidR="00362B0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E260A" w:rsidRDefault="00EE260A">
      <w:pPr>
        <w:spacing w:after="0" w:line="240" w:lineRule="auto"/>
      </w:pPr>
      <w:r>
        <w:separator/>
      </w:r>
    </w:p>
  </w:endnote>
  <w:endnote w:type="continuationSeparator" w:id="0">
    <w:p w:rsidR="00EE260A" w:rsidRDefault="00EE2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E260A" w:rsidRDefault="00EE260A">
      <w:pPr>
        <w:spacing w:after="0" w:line="240" w:lineRule="auto"/>
      </w:pPr>
      <w:r>
        <w:separator/>
      </w:r>
    </w:p>
  </w:footnote>
  <w:footnote w:type="continuationSeparator" w:id="0">
    <w:p w:rsidR="00EE260A" w:rsidRDefault="00EE2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4238"/>
    <w:rsid w:val="002055B6"/>
    <w:rsid w:val="00362B09"/>
    <w:rsid w:val="00522E94"/>
    <w:rsid w:val="0055542C"/>
    <w:rsid w:val="00892308"/>
    <w:rsid w:val="008932D5"/>
    <w:rsid w:val="009E0546"/>
    <w:rsid w:val="00E438A0"/>
    <w:rsid w:val="00E66757"/>
    <w:rsid w:val="00E93E2D"/>
    <w:rsid w:val="00EE260A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B6EA46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styleId="afc">
    <w:name w:val="Normal (Web)"/>
    <w:basedOn w:val="a"/>
    <w:uiPriority w:val="99"/>
    <w:semiHidden/>
    <w:unhideWhenUsed/>
    <w:rsid w:val="0055542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fd">
    <w:name w:val="Strong"/>
    <w:basedOn w:val="a0"/>
    <w:uiPriority w:val="22"/>
    <w:qFormat/>
    <w:rsid w:val="0055542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7</Pages>
  <Words>1629</Words>
  <Characters>9288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Visitor</cp:lastModifiedBy>
  <cp:revision>18</cp:revision>
  <dcterms:created xsi:type="dcterms:W3CDTF">2023-10-02T14:35:00Z</dcterms:created>
  <dcterms:modified xsi:type="dcterms:W3CDTF">2026-10-08T06:32:00Z</dcterms:modified>
</cp:coreProperties>
</file>