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2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Разработка соглашения об уровне обслуживания с показателями и приоритетами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000000"/>
              </w:rPr>
              <w:t>МДК.06.02 «Инженерно-техническая поддержка сопровождения информационных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2. Разработка соглашения об уровне обслуживания с показателями и приоритетами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Организация сопровождения и работа службы поддержки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06.02.1. Организация сопровождения и работа службы поддержки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6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Результаты предыдущих работ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Регламент поддержки, матрица ролей и схема жизненного цикла обращения из ЛР 1.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Материалы на входе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Пять характеристик профиля, рабочее окно, профиль нагрузки и контрольные ситуации S01–S05.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Использование результата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Матрица приоритетов и измеримые цели применяются в ЛР 3 при обработке потока обращений.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Предметная область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сквозной вариант SA01–SA30 и название]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Фамилия_Группа_МДК0602_С7_ЛР02.docx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Сформировать соглашение об уровне обслуживания (SLA), связывающее влияние и срочность с приоритетом, временем реакции, восстановлением и способом измерения.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5250"/>
        <w:gridCol w:w="320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№</w:t>
            </w:r>
          </w:p>
        </w:tc>
        <w:tc>
          <w:tcPr>
            <w:tcW w:w="52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Формируемое умение</w:t>
            </w:r>
          </w:p>
        </w:tc>
        <w:tc>
          <w:tcPr>
            <w:tcW w:w="3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Где подтверждено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1</w:t>
            </w:r>
          </w:p>
        </w:tc>
        <w:tc>
          <w:tcPr>
            <w:tcW w:w="5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Различать время реакции и восстановления</w:t>
            </w:r>
          </w:p>
        </w:tc>
        <w:tc>
          <w:tcPr>
            <w:tcW w:w="3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2</w:t>
            </w:r>
          </w:p>
        </w:tc>
        <w:tc>
          <w:tcPr>
            <w:tcW w:w="5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Назначать приоритет по влиянию и срочности</w:t>
            </w:r>
          </w:p>
        </w:tc>
        <w:tc>
          <w:tcPr>
            <w:tcW w:w="3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3</w:t>
            </w:r>
          </w:p>
        </w:tc>
        <w:tc>
          <w:tcPr>
            <w:tcW w:w="5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Формулировать измеримые показатели SLA</w:t>
            </w:r>
          </w:p>
        </w:tc>
        <w:tc>
          <w:tcPr>
            <w:tcW w:w="3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4</w:t>
            </w:r>
          </w:p>
        </w:tc>
        <w:tc>
          <w:tcPr>
            <w:tcW w:w="52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Учитывать режим обслуживания</w:t>
            </w:r>
          </w:p>
        </w:tc>
        <w:tc>
          <w:tcPr>
            <w:tcW w:w="3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5</w:t>
            </w:r>
          </w:p>
        </w:tc>
        <w:tc>
          <w:tcPr>
            <w:tcW w:w="52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Определять последствия и исключения</w:t>
            </w:r>
          </w:p>
        </w:tc>
        <w:tc>
          <w:tcPr>
            <w:tcW w:w="3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или доказательство]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обязательных шагов</w:t>
      </w:r>
    </w:p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1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Определите стороны, объект, период действия и рабочее окно соглашения об уровне обслуживания.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Регламент ЛР 1, паспорт системы, характеристика C1 и условия обслуживания.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Вводный раздел SLA с обязанностями заказчика и поддержки.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Объект измерения совпадает с критичной функцией; круглосуточное исключение P1 описано отдельно.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2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Постройте матрицу влияния и срочности, назначающую приоритет P1–P4.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Профиль нагрузки, описания S01–S05 и критичная функция варианта.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Таблица всех сочетаний влияния и срочности с единственным приоритетом в каждой ячейке.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Любая ситуация S01–S05 получает ровно один приоритет без субъективной формулировки.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3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Назначьте цели реакции и восстановления для каждого приоритета.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Характеристики C2 и C3, численность пользователей и матрица приоритетов.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Таблица P1–P4 с началом и окончанием каждого интервала.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Время реакции не подменяет восстановление; единицы и точка начала указаны для каждой цели.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4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Опишите источник времени, допустимые паузы, исключения и последствия нарушения.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Рабочее окно, правило плановых работ и каналы регистрации из ЛР 1.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Раздел правил измерения, позволяющий независимо повторить расчёт.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Для каждой паузы указаны основание, подтверждение и момент возобновления; обычная задержка не считается исключением.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5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Примените SLA к ситуациям S01–S05.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Таблица S01–S05, матрица приоритетов и правила измерения.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Расчётная таблица с приоритетом, целями, контрольным временем и возможным последствием.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Все пять ID сохранены; приоритет обоснован влиянием и срочностью, а один временной интервал рассчитан пошагово.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Шаг 6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 шага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Проверьте согласованность и достижимость проекта SLA.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Проект SLA, доступные роли из ЛР 1 и профиль нагрузки.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Перечень обнаруженных противоречий и окончательная редакция соглашения.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 документе нет показателя без источника данных и обязательства без ответственной стороны.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Выполнение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[Опишите действие и полученный промежуточный результат]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Доказательство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[Укажите таблицу, ID, рисунок или другой проверяемый фрагмент]</w:t>
            </w:r>
          </w:p>
        </w:tc>
      </w:tr>
    </w:tbl>
    <w:p>
      <w:pPr>
        <w:pStyle w:val="2"/>
        <w:spacing w:before="120" w:after="90" w:line="276" w:lineRule="auto"/>
        <w:keepNext/>
        <w:keepLines/>
        <w:pageBreakBefore/>
      </w:pPr>
      <w:r>
        <w:rPr>
          <w:rFonts w:ascii="Times New Roman" w:hAnsi="Times New Roman" w:eastAsia="Times New Roman" w:cs="Times New Roman"/>
          <w:b/>
          <w:bCs/>
          <w:sz w:val="24"/>
          <w:szCs w:val="24"/>
          <w:color w:val="1C1C1C"/>
        </w:rPr>
        <w:t>Дополнительное задание</w:t>
      </w:r>
    </w:p>
    <w:p>
      <w:pPr>
        <w:spacing w:before="0" w:after="70" w:line="276" w:lineRule="auto"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000000"/>
        </w:rPr>
        <w:t>Дополнительное задание выполняется после обязательной части и не заменяет ни один из шести шагов.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Элемент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Содержание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выполнить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Проверьте один граничный случай расчёта времени около конца рабочего окна.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Исходные данные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Правила измерения созданного SLA.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Что должно получиться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Дополнительная строка расчёта с временной шкалой.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Как проверить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Другой студент может получить тот же срок по тем же правилам.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1C1C1C"/>
              </w:rPr>
              <w:t>Результат студента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[Заполните, если выполняли дополнительное задание]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проект соглашения об уровне обслуживания (SLA) с каталогом приоритетов, измеримыми показателями и правилами контроля.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2</w:t>
      </w:r>
    </w:p>
    <w:tbl>
      <w:tblPr>
        <w:tblW w:w="95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100"/>
        <w:gridCol w:w="2100"/>
        <w:gridCol w:w="1300"/>
        <w:gridCol w:w="1500"/>
        <w:gridCol w:w="1650"/>
        <w:gridCol w:w="1850"/>
      </w:tblGrid>
      <w:tr>
        <w:trPr>
          <w:cantSplit/>
          <w:tblHeader/>
        </w:trPr>
        <w:tc>
          <w:tcPr>
            <w:tcW w:w="1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Приоритет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Условия</w:t>
            </w:r>
          </w:p>
        </w:tc>
        <w:tc>
          <w:tcPr>
            <w:tcW w:w="1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Реакция</w:t>
            </w:r>
          </w:p>
        </w:tc>
        <w:tc>
          <w:tcPr>
            <w:tcW w:w="1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Восстановление</w:t>
            </w:r>
          </w:p>
        </w:tc>
        <w:tc>
          <w:tcPr>
            <w:tcW w:w="1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Эскалация</w:t>
            </w:r>
          </w:p>
        </w:tc>
        <w:tc>
          <w:tcPr>
            <w:tcW w:w="18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Контроль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8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Определите, какие показатели профиля варианта войдут в обязательную часть SLA, а какие останутся операционными целями поддержки.]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Обязательные ссылки на исходные данные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4800"/>
        <w:gridCol w:w="4200"/>
      </w:tblGrid>
      <w:tr>
        <w:trPr>
          <w:cantSplit/>
          <w:tblHeader/>
        </w:trPr>
        <w:tc>
          <w:tcPr>
            <w:tcW w:w="4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Исходный материал</w:t>
            </w:r>
          </w:p>
        </w:tc>
        <w:tc>
          <w:tcPr>
            <w:tcW w:w="4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Где использован</w:t>
            </w:r>
          </w:p>
        </w:tc>
      </w:tr>
      <w:tr>
        <w:trPr>
          <w:cantSplit/>
        </w:trPr>
        <w:tc>
          <w:tcPr>
            <w:tcW w:w="48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Регламент ЛР 1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  <w:tr>
        <w:trPr>
          <w:cantSplit/>
        </w:trPr>
        <w:tc>
          <w:tcPr>
            <w:tcW w:w="4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Характеристики C1–C3</w:t>
            </w:r>
          </w:p>
        </w:tc>
        <w:tc>
          <w:tcPr>
            <w:tcW w:w="4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  <w:tr>
        <w:trPr>
          <w:cantSplit/>
        </w:trPr>
        <w:tc>
          <w:tcPr>
            <w:tcW w:w="48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Профиль нагрузки</w:t>
            </w:r>
          </w:p>
        </w:tc>
        <w:tc>
          <w:tcPr>
            <w:tcW w:w="4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  <w:tr>
        <w:trPr>
          <w:cantSplit/>
        </w:trPr>
        <w:tc>
          <w:tcPr>
            <w:tcW w:w="48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Ситуации S01–S05</w:t>
            </w:r>
          </w:p>
        </w:tc>
        <w:tc>
          <w:tcPr>
            <w:tcW w:w="4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[Укажите раздел отчёта, таблицу или рисунок]</w:t>
            </w:r>
          </w:p>
        </w:tc>
      </w:tr>
    </w:tbl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Проверяемое утверждение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В соглашении названы обе стороны, объект и период действия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Каждая ячейка матрицы назначает один приоритет P1–P4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Для каждого приоритета раздельно указаны реакция и восстановление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У каждой метрики есть источник времени и правило паузы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S01–S05 присутствуют в расчётной таблице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Сумма временного интервала повторяется по описанному правилу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Фамилия_Группа_МДК0602_С7_ЛР02.docx. Затем перейдите в LMS, прикрепите его к заданию лабораторной работы № 2 за 7 семестр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