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восстановлении</w:t>
      </w:r>
    </w:p>
    <w:p>
      <w:r>
        <w:t>Зафиксируйте копию, точку восстановления, ход работ, проверку целостности и потери.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Параметр</w:t>
            </w:r>
          </w:p>
        </w:tc>
        <w:tc>
          <w:tcPr>
            <w:tcW w:type="dxa" w:w="2160"/>
          </w:tcPr>
          <w:p>
            <w:r>
              <w:t>Плановое значение</w:t>
            </w:r>
          </w:p>
        </w:tc>
        <w:tc>
          <w:tcPr>
            <w:tcW w:type="dxa" w:w="2160"/>
          </w:tcPr>
          <w:p>
            <w:r>
              <w:t>Фактическое значение</w:t>
            </w:r>
          </w:p>
        </w:tc>
        <w:tc>
          <w:tcPr>
            <w:tcW w:type="dxa" w:w="2160"/>
          </w:tcPr>
          <w:p>
            <w:r>
              <w:t>Вывод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