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МЕТОДИЧЕСКИЕ УКАЗАНИЯ К ЛАБОРАТОРНОЙ РАБОТЕ № 1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МДК.06.02 «Инженерно-техническая поддержка сопровождения информационных систем»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Тема: «Разработка регламента работы службы поддержки информационной системы»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Вариант SA01 · Электронное расписание · Система ITPSIS-SA01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Версия данных: 2026-09-12-lab-itil-1</w:t>
      </w:r>
    </w:p>
    <w:p/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Данное методическое указание предназначено для самостоятельного выполнения лабораторной работы № 1. В нём приведены цель работы, краткая теоретическая база, полный состав исходных данных варианта SA01, пошаговый порядок действий, требования к отчёту, критерии оценивания, контрольные вопросы и типовые ошибки. Все данные и примеры являются учебными и синтетическими.</w:t>
      </w:r>
    </w:p>
    <w:p>
      <w:pPr>
        <w:pStyle w:val="Heading1"/>
      </w:pPr>
      <w:r>
        <w:t>1. Цель и задачи работы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Цель. Разработать применимый регламент работы службы поддержки, который определяет участников процесса, входы, обязательные записи и контроль результата.</w:t>
      </w:r>
    </w:p>
    <w:p>
      <w:r>
        <w:rPr>
          <w:rFonts w:ascii="Times New Roman" w:hAnsi="Times New Roman"/>
          <w:b/>
          <w:i w:val="0"/>
          <w:sz w:val="24"/>
        </w:rPr>
        <w:t>Задачи:</w:t>
      </w:r>
    </w:p>
    <w:p>
      <w:pPr>
        <w:pStyle w:val="ListBullet"/>
      </w:pPr>
      <w:r>
        <w:rPr>
          <w:rFonts w:ascii="Times New Roman" w:hAnsi="Times New Roman"/>
          <w:sz w:val="24"/>
        </w:rPr>
        <w:t>определить границы сопровождения системы и исключения регламента;</w:t>
      </w:r>
    </w:p>
    <w:p>
      <w:pPr>
        <w:pStyle w:val="ListBullet"/>
      </w:pPr>
      <w:r>
        <w:rPr>
          <w:rFonts w:ascii="Times New Roman" w:hAnsi="Times New Roman"/>
          <w:sz w:val="24"/>
        </w:rPr>
        <w:t>распределить обязанности между уровнями поддержки (L1, L2, L3) и владельцем сервиса;</w:t>
      </w:r>
    </w:p>
    <w:p>
      <w:pPr>
        <w:pStyle w:val="ListBullet"/>
      </w:pPr>
      <w:r>
        <w:rPr>
          <w:rFonts w:ascii="Times New Roman" w:hAnsi="Times New Roman"/>
          <w:sz w:val="24"/>
        </w:rPr>
        <w:t>описать жизненный цикл обращения от приёма до закрытия и повторного открытия;</w:t>
      </w:r>
    </w:p>
    <w:p>
      <w:pPr>
        <w:pStyle w:val="ListBullet"/>
      </w:pPr>
      <w:r>
        <w:rPr>
          <w:rFonts w:ascii="Times New Roman" w:hAnsi="Times New Roman"/>
          <w:sz w:val="24"/>
        </w:rPr>
        <w:t>задать обязательные поля карточки обращения и правила регистрации по каждому каналу;</w:t>
      </w:r>
    </w:p>
    <w:p>
      <w:pPr>
        <w:pStyle w:val="ListBullet"/>
      </w:pPr>
      <w:r>
        <w:rPr>
          <w:rFonts w:ascii="Times New Roman" w:hAnsi="Times New Roman"/>
          <w:sz w:val="24"/>
        </w:rPr>
        <w:t>сформулировать основания, состав передачи и порядок эскалации и оповещения;</w:t>
      </w:r>
    </w:p>
    <w:p>
      <w:pPr>
        <w:pStyle w:val="ListBullet"/>
      </w:pPr>
      <w:r>
        <w:rPr>
          <w:rFonts w:ascii="Times New Roman" w:hAnsi="Times New Roman"/>
          <w:sz w:val="24"/>
        </w:rPr>
        <w:t>проверить регламент на известных проблемах процесса и на контрольном случае.</w:t>
      </w:r>
    </w:p>
    <w:p>
      <w:pPr>
        <w:pStyle w:val="Heading1"/>
      </w:pPr>
      <w:r>
        <w:t>2. Краткая теоретическая база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Работа опирается на практики ITIL 4 «Service Desk» и «Incident Management»; терминология используется как учебная опора, а конкретные правила и пороги заданы условиями варианта.</w:t>
      </w:r>
    </w:p>
    <w:p>
      <w:pPr>
        <w:pStyle w:val="Heading2"/>
      </w:pPr>
      <w:r>
        <w:t>2.1. Служба поддержки (Service Desk)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Service Desk — единая точка контакта между пользователями и поставщиком услуг. Он принимает обращения, регистрирует их, классифицирует и направляет исполнителям. Служба поддержки сохраняет работоспособность и полезность системы после ввода в эксплуатацию: пользователю важен результат (возможность увидеть актуальное расписание), а не наличие работающего сервера.</w:t>
      </w:r>
    </w:p>
    <w:p>
      <w:pPr>
        <w:pStyle w:val="Heading2"/>
      </w:pPr>
      <w:r>
        <w:t>2.2. Уровни (линии) поддержки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Линия</w:t>
            </w:r>
          </w:p>
        </w:tc>
        <w:tc>
          <w:tcPr>
            <w:tcW w:type="dxa" w:w="3402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Роль в процессе</w:t>
            </w:r>
          </w:p>
        </w:tc>
        <w:tc>
          <w:tcPr>
            <w:tcW w:type="dxa" w:w="3969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Типовые операции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Первая (L1)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Принимает и классифицирует обращения, решает типовые случаи по базе знаний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Регистрация, консультация, классификация, проверка результата, закрытие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Вторая (L2)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Углубляет диагностику, восстанавливает сервис в рамках назначенной карточки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Диагностика, восстановление, ведение базы знаний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2"/>
              </w:rPr>
              <w:t>Третья (L3)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Меняет продукт: конфигурацию, код, данные (по эскалации)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Анализ дефектов, изменение конфигурации; нужен воспроизводимый сценарий</w:t>
            </w:r>
          </w:p>
        </w:tc>
      </w:tr>
    </w:tbl>
    <w:p>
      <w:pPr>
        <w:pStyle w:val="Heading2"/>
      </w:pPr>
      <w:r>
        <w:t>2.3. Инцидент, обращение, жизненный цикл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Инцидент — незапланированное прерывание или ухудшение услуги. Стандартный запрос (консультация) не обязательно связан со сбоем. Обращение проходит этапы: регистрация → назначение → работа → проверка результата → формальное закрытие. Закрытие возможно только после подтверждения пользователем; при возврате проблемы обращение повторно открывают.</w:t>
      </w:r>
    </w:p>
    <w:p>
      <w:pPr>
        <w:pStyle w:val="Heading2"/>
      </w:pPr>
      <w:r>
        <w:t>2.4. Приоритет, SLA, эскалация и контролируемость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Приоритет (P1/P2) связывает инцидент с целевыми сроками реакции и восстановления и с порогом эскалации (передачи на следующую линию). Эскалация функциональная — передача специалисту с нужной квалификацией. Порог эскалации задаётся условиями варианта. Прослеживаемость обеспечивается карточкой: по ней восстанавливают автора, время, симптом, окружение, выполненные действия и итог.</w:t>
      </w:r>
    </w:p>
    <w:p>
      <w:pPr>
        <w:pStyle w:val="Heading2"/>
      </w:pPr>
      <w:r>
        <w:t>2.5. Глоссарий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Термин</w:t>
            </w:r>
          </w:p>
        </w:tc>
        <w:tc>
          <w:tcPr>
            <w:tcW w:type="dxa" w:w="6406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Определение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22"/>
              </w:rPr>
              <w:t>Service Desk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/>
                <w:sz w:val="22"/>
              </w:rPr>
              <w:t>Единая точка контакта с пользователями: приём, регистрация, распределение обращений.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22"/>
              </w:rPr>
              <w:t>Линия L1/L2/L3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/>
                <w:sz w:val="22"/>
              </w:rPr>
              <w:t>L1 — приём и типовые решения; L2 — диагностика и восстановление; L3 — изменение продукта.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22"/>
              </w:rPr>
              <w:t>Инцидент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/>
                <w:sz w:val="22"/>
              </w:rPr>
              <w:t>Незапланированное прерывание или ухудшение услуги.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22"/>
              </w:rPr>
              <w:t>Обращение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/>
                <w:sz w:val="22"/>
              </w:rPr>
              <w:t>Зафиксированный в карточке факт обращения (инцидент или консультация).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22"/>
              </w:rPr>
              <w:t>Карточка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/>
                <w:sz w:val="22"/>
              </w:rPr>
              <w:t>Запись с обязательными полями, по которой восстанавливается история решения.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22"/>
              </w:rPr>
              <w:t>Регистрация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/>
                <w:sz w:val="22"/>
              </w:rPr>
              <w:t>Присвоение ID и внесение обязательных полей до начала работы.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22"/>
              </w:rPr>
              <w:t>Приоритет P1/P2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/>
                <w:sz w:val="22"/>
              </w:rPr>
              <w:t>Важность обращения; задаёт сроки и порог эскалации.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22"/>
              </w:rPr>
              <w:t>Профиль C1–C5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/>
                <w:sz w:val="22"/>
              </w:rPr>
              <w:t>Режим, цели реакции/восстановления, порог эскалации, хранение доказательств.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22"/>
              </w:rPr>
              <w:t>Эскалация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/>
                <w:sz w:val="22"/>
              </w:rPr>
              <w:t>Передача обращения на следующую линию/специалисту; порог — из C4.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22"/>
              </w:rPr>
              <w:t>Контрольный случай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/>
                <w:sz w:val="22"/>
              </w:rPr>
              <w:t>Дополнительное наблюдение варианта (V-P) для проверки регламента.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22"/>
              </w:rPr>
              <w:t>Разрыв (gap)</w:t>
            </w:r>
          </w:p>
        </w:tc>
        <w:tc>
          <w:tcPr>
            <w:tcW w:type="dxa" w:w="6406"/>
          </w:tcPr>
          <w:p>
            <w:r/>
            <w:r>
              <w:rPr>
                <w:rFonts w:ascii="Times New Roman" w:hAnsi="Times New Roman"/>
                <w:sz w:val="22"/>
              </w:rPr>
              <w:t>Место, где процесс нарушает правило регламента (наблюдения P01–P05).</w:t>
            </w:r>
          </w:p>
        </w:tc>
      </w:tr>
    </w:tbl>
    <w:p>
      <w:pPr>
        <w:pStyle w:val="Heading1"/>
      </w:pPr>
      <w:r>
        <w:t>3. Исходные данные варианта SA01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Предметная область — «Электронное расписание». Система — ITPSIS-SA01. Критичная функция — публикация и просмотр актуального расписания. Каналы приёма: портал, телефон, служебная почта. Чат используется только для уточнений после регистрации. Заказчик услуги — владелец сервиса; исполнитель — служба поддержки. В сопровождение входят регистрация обращений, консультации, диагностика, восстановление и ведение базы знаний; разработка новых функций оформляется отдельным изменением.</w:t>
      </w:r>
    </w:p>
    <w:p>
      <w:pPr>
        <w:pStyle w:val="Heading2"/>
      </w:pPr>
      <w:r>
        <w:t>3.1. Профиль условий (C1–C5)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020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Код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Условие</w:t>
            </w:r>
          </w:p>
        </w:tc>
        <w:tc>
          <w:tcPr>
            <w:tcW w:type="dxa" w:w="5216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/>
                <w:sz w:val="22"/>
              </w:rPr>
              <w:t>C1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Режим поддержки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/>
                <w:sz w:val="22"/>
              </w:rPr>
              <w:t>P1 — круглосуточно; остальные — 08:00–20:00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/>
                <w:sz w:val="22"/>
              </w:rPr>
              <w:t>C2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Цель реакции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/>
                <w:sz w:val="22"/>
              </w:rPr>
              <w:t>P1 — 10 минут; P2 — 30 минут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/>
                <w:sz w:val="22"/>
              </w:rPr>
              <w:t>C3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Цель восстановления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/>
                <w:sz w:val="22"/>
              </w:rPr>
              <w:t>P1 — 60 минут; P2 — 4 часа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/>
                <w:sz w:val="22"/>
              </w:rPr>
              <w:t>C4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Порог эскалации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/>
                <w:sz w:val="22"/>
              </w:rPr>
              <w:t>P1 — сразу; P2 — через 45 минут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/>
                <w:sz w:val="22"/>
              </w:rPr>
              <w:t>C5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Хранение доказательств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/>
                <w:sz w:val="22"/>
              </w:rPr>
              <w:t>оперативные записи — 180 дней</w:t>
            </w:r>
          </w:p>
        </w:tc>
      </w:tr>
    </w:tbl>
    <w:p>
      <w:pPr>
        <w:pStyle w:val="Heading2"/>
      </w:pPr>
      <w:r>
        <w:t>3.2. Участники и ограничения (Данные_03)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198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Доступно</w:t>
            </w:r>
          </w:p>
        </w:tc>
        <w:tc>
          <w:tcPr>
            <w:tcW w:type="dxa" w:w="3402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Ограничение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Первая линия поддержки (L1)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2 специалиста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Не изменяет конфигурацию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Вторая линия поддержки (L2)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2 специалиста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Работает по назначенной карточке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Третья линия поддержки (L3)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по эскалации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Нужен воспроизводимый сценарий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Владелец сервиса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1 человек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Согласует критичные изменения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Администратор БД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2"/>
              </w:rPr>
              <w:t>по запросу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2"/>
              </w:rPr>
              <w:t>Нужен номер обращения</w:t>
            </w:r>
          </w:p>
        </w:tc>
      </w:tr>
    </w:tbl>
    <w:p>
      <w:pPr>
        <w:pStyle w:val="Heading2"/>
      </w:pPr>
      <w:r>
        <w:t>3.3. Проблемы текущего процесса (Данные_04)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3969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Наблюдение</w:t>
            </w:r>
          </w:p>
        </w:tc>
        <w:tc>
          <w:tcPr>
            <w:tcW w:type="dxa" w:w="3969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Последствие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P01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Телефонный звонок не зарегистрирован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Нет истории решения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P02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L1 передал снимок экрана без окружения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L2 повторно собирал сведения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P03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Карточка закрыта без подтверждения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Пользователь открыл повторное обращение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P04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Критичный отказ отправлен общей почтой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Оповещение задержалось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P05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Решение найдено, статья не создана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Следующая смена повторила диагностику</w:t>
            </w:r>
          </w:p>
        </w:tc>
      </w:tr>
    </w:tbl>
    <w:p>
      <w:pPr>
        <w:pStyle w:val="Heading2"/>
      </w:pPr>
      <w:r>
        <w:t>3.4. Контрольный случай (Данные_05)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3969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Условие</w:t>
            </w:r>
          </w:p>
        </w:tc>
        <w:tc>
          <w:tcPr>
            <w:tcW w:type="dxa" w:w="3969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Доступный ресурс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2"/>
              </w:rPr>
              <w:t>V-P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L2 недоступна в текущую смену; дежурный владелец доступен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2"/>
              </w:rPr>
              <w:t>2 специалиста L1; изменение конфигурации L1 запрещено</w:t>
            </w:r>
          </w:p>
        </w:tc>
      </w:tr>
    </w:tbl>
    <w:p>
      <w:pPr>
        <w:pStyle w:val="Heading1"/>
      </w:pPr>
      <w:r>
        <w:t>4. Порядок выполнения работы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Все действия обязательны. Работайте только с данными варианта SA01. Для каждого шага приведены: что анализировать, что записать в отчёт и как проверить результат.</w:t>
      </w:r>
    </w:p>
    <w:p>
      <w:pPr>
        <w:pStyle w:val="Heading2"/>
      </w:pPr>
      <w:r>
        <w:t>Шаг 1. Область действия и исключения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Что сделать. Зафиксируйте цель поддержки, критичную функцию, участников договора сопровождения, а также явные исключения. Перечислите услуги, входящие в сопровождение (регистрация, консультации, диагностика, восстановление, ведение базы знаний) и то, что в него не входит (разработка новых функций — отдельным изменением).</w:t>
      </w:r>
    </w:p>
    <w:p>
      <w:r>
        <w:rPr>
          <w:rFonts w:ascii="Times New Roman" w:hAnsi="Times New Roman"/>
          <w:b/>
          <w:i w:val="0"/>
          <w:sz w:val="24"/>
        </w:rPr>
        <w:t>Результат. Раздел регламента с границами услуги и ответственным за каждое исключение.</w:t>
      </w:r>
    </w:p>
    <w:p>
      <w:r>
        <w:rPr>
          <w:rFonts w:ascii="Times New Roman" w:hAnsi="Times New Roman"/>
          <w:b w:val="0"/>
          <w:i/>
          <w:sz w:val="24"/>
        </w:rPr>
        <w:t>Проверка. Критичная функция и каждый канал упомянуты; ни одно исключение не осталось без владельца.</w:t>
      </w:r>
    </w:p>
    <w:p>
      <w:pPr>
        <w:pStyle w:val="Heading2"/>
      </w:pPr>
      <w:r>
        <w:t>Шаг 2. Распределение полномочий (матрица ролей)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Что сделать. Распределите операции между L1, L2, L3, владельцем сервиса и профильным специалистом (администратор БД). Опирайтесь на таблицу участников и наблюдения P01, P02, P04. Для каждой операции укажите исполнителя и способ передачи и подтверждения.</w:t>
      </w:r>
    </w:p>
    <w:p>
      <w:r>
        <w:rPr>
          <w:rFonts w:ascii="Times New Roman" w:hAnsi="Times New Roman"/>
          <w:b/>
          <w:i w:val="0"/>
          <w:sz w:val="24"/>
        </w:rPr>
        <w:t>Результат. Матрица ролей: операция → исполнитель → передача и подтверждение.</w:t>
      </w:r>
    </w:p>
    <w:p>
      <w:r>
        <w:rPr>
          <w:rFonts w:ascii="Times New Roman" w:hAnsi="Times New Roman"/>
          <w:b w:val="0"/>
          <w:i/>
          <w:sz w:val="24"/>
        </w:rPr>
        <w:t>Проверка. Назначения не нарушают ограничения доступа; у каждой операции ровно один ответственный за результат.</w:t>
      </w:r>
    </w:p>
    <w:p>
      <w:pPr>
        <w:pStyle w:val="Heading2"/>
      </w:pPr>
      <w:r>
        <w:t>Шаг 3. Жизненный цикл обращения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Что сделать. Постройте схему состояний и допустимых переходов от приёма до закрытия и повторного открытия. Опирайтесь на каналы, наблюдения P01 и P03 и матрицу ролей. Укажите владельца каждого перехода.</w:t>
      </w:r>
    </w:p>
    <w:p>
      <w:r>
        <w:rPr>
          <w:rFonts w:ascii="Times New Roman" w:hAnsi="Times New Roman"/>
          <w:b/>
          <w:i w:val="0"/>
          <w:sz w:val="24"/>
        </w:rPr>
        <w:t>Результат. Схема жизненного цикла (изображение или редактируемая таблица переходов).</w:t>
      </w:r>
    </w:p>
    <w:p>
      <w:r>
        <w:rPr>
          <w:rFonts w:ascii="Times New Roman" w:hAnsi="Times New Roman"/>
          <w:b w:val="0"/>
          <w:i/>
          <w:sz w:val="24"/>
        </w:rPr>
        <w:t>Проверка. Телефон и почта всегда приводят к регистрации; закрытие возможно только после проверки результата.</w:t>
      </w:r>
    </w:p>
    <w:p>
      <w:pPr>
        <w:pStyle w:val="Heading2"/>
      </w:pPr>
      <w:r>
        <w:t>Шаг 4. Обязательные поля карточки и правила регистрации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Что сделать. Определите обязательные поля карточки и правила регистрации по каждому каналу. Учтите наблюдения P01–P04 и схему жизненного цикла. Для каждого поля укажите назначение, источник и момент заполнения.</w:t>
      </w:r>
    </w:p>
    <w:p>
      <w:r>
        <w:rPr>
          <w:rFonts w:ascii="Times New Roman" w:hAnsi="Times New Roman"/>
          <w:b/>
          <w:i w:val="0"/>
          <w:sz w:val="24"/>
        </w:rPr>
        <w:t>Результат. Таблица полей: поле → назначение и источник → когда заполняется.</w:t>
      </w:r>
    </w:p>
    <w:p>
      <w:r>
        <w:rPr>
          <w:rFonts w:ascii="Times New Roman" w:hAnsi="Times New Roman"/>
          <w:b w:val="0"/>
          <w:i/>
          <w:sz w:val="24"/>
        </w:rPr>
        <w:t>Проверка. По заполненной карточке можно восстановить автора, время, симптом, окружение, действия и итог.</w:t>
      </w:r>
    </w:p>
    <w:p>
      <w:pPr>
        <w:pStyle w:val="Heading2"/>
      </w:pPr>
      <w:r>
        <w:t>Шаг 5. Эскалация и оповещение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Что сделать. Опишите основания и состав передачи обращения, а также порядок оповещения при критичном отказе. Используйте ограничения L1–L3, наблюдения P02 и P04 и порог C4. Для передачи укажите адресата, передаваемые сведения, канал и контроль принятия.</w:t>
      </w:r>
    </w:p>
    <w:p>
      <w:r>
        <w:rPr>
          <w:rFonts w:ascii="Times New Roman" w:hAnsi="Times New Roman"/>
          <w:b/>
          <w:i w:val="0"/>
          <w:sz w:val="24"/>
        </w:rPr>
        <w:t>Результат. Матрица эскалации.</w:t>
      </w:r>
    </w:p>
    <w:p>
      <w:r>
        <w:rPr>
          <w:rFonts w:ascii="Times New Roman" w:hAnsi="Times New Roman"/>
          <w:b w:val="0"/>
          <w:i/>
          <w:sz w:val="24"/>
        </w:rPr>
        <w:t>Проверка. Маршрут P02 не теряет окружение; для P04 указан отдельный подтверждаемый канал оповещения, а не общая почта.</w:t>
      </w:r>
    </w:p>
    <w:p>
      <w:pPr>
        <w:pStyle w:val="Heading2"/>
      </w:pPr>
      <w:r>
        <w:t>Шаг 6. Проверка на проблемах и контрольном случае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Что сделать. Проверьте регламент на всех наблюдениях P01–P05 и устраните разрывы. Отдельно разберите контрольный случай V-P: определите, кто примет обращение при дополнительном ограничении варианта и как будет подтверждена передача. Сохраните первоначальное решение, затем объясните его изменение по новым фактам.</w:t>
      </w:r>
    </w:p>
    <w:p>
      <w:r>
        <w:rPr>
          <w:rFonts w:ascii="Times New Roman" w:hAnsi="Times New Roman"/>
          <w:b/>
          <w:i w:val="0"/>
          <w:sz w:val="24"/>
        </w:rPr>
        <w:t>Результат. Контрольная таблица «ID — применяемое правило — ожидаемое состояние — корректировка» и запись о проверке на новых данных.</w:t>
      </w:r>
    </w:p>
    <w:p>
      <w:r>
        <w:rPr>
          <w:rFonts w:ascii="Times New Roman" w:hAnsi="Times New Roman"/>
          <w:b w:val="0"/>
          <w:i/>
          <w:sz w:val="24"/>
        </w:rPr>
        <w:t>Проверка. Показаны исходное решение, новые факты с ID, применённое правило и обоснованный пересмотр либо сохранение вывода; неизвестные сведения отмечены явно.</w:t>
      </w:r>
    </w:p>
    <w:p>
      <w:pPr>
        <w:pStyle w:val="Heading2"/>
      </w:pPr>
      <w:r>
        <w:t>Дополнительное задание (необязательно)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Предложите один показатель качества процесса поддержки: формулу и перечень необходимых полей карточки. Показатель должен вычисляться из доступных данных и не содержать придуманного целевого значения. Пример — доля зарегистрированных обращений K = (число обращений с ID / общее число обращений) × 100 %, поля: канал, ID, дата и время регистрации (контролирует устранение разрыва P01).</w:t>
      </w:r>
    </w:p>
    <w:p>
      <w:pPr>
        <w:pStyle w:val="Heading1"/>
      </w:pPr>
      <w:r>
        <w:t>5. Карта работы: шаг → таблица → данные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Главная «шпаргалка»: показывает, куда попадает результат каждого шага.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Шаг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Что делаем</w:t>
            </w:r>
          </w:p>
        </w:tc>
        <w:tc>
          <w:tcPr>
            <w:tcW w:type="dxa" w:w="2835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Куда (таблица отчёта)</w:t>
            </w:r>
          </w:p>
        </w:tc>
        <w:tc>
          <w:tcPr>
            <w:tcW w:type="dxa" w:w="2721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Источник данных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Границы услуги и исключения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Область действия и исключения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/>
                <w:sz w:val="22"/>
              </w:rPr>
              <w:t>Пояснение, C1–C5, Данные_03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Распределение полномочий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Распределение полномочий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/>
                <w:sz w:val="22"/>
              </w:rPr>
              <w:t>Данные_03, P01, P02, P04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Жизненный цикл обращения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Переходы карточки обращения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/>
                <w:sz w:val="22"/>
              </w:rPr>
              <w:t>каналы, P01, P03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Обязательные поля карточки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Поля карточки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/>
                <w:sz w:val="22"/>
              </w:rPr>
              <w:t>P01–P04, жизненный цикл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Эскалация и оповещение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строки эскалации + схема процесса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/>
                <w:sz w:val="22"/>
              </w:rPr>
              <w:t>L1–L3, P02, P04, C4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Проверка и контрольный случай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Проверка регламента + 3 абзаца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/>
                <w:sz w:val="22"/>
              </w:rPr>
              <w:t>P01–P05, V-P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22"/>
              </w:rPr>
              <w:t>доп.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2"/>
              </w:rPr>
              <w:t>Показатель качества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2"/>
              </w:rPr>
              <w:t>Дополнительное задание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/>
                <w:sz w:val="22"/>
              </w:rPr>
              <w:t>поля карточки, реестр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Формулировка задания «вход, решение, результат» шага 2 раскрывается внутри столбца «Передача и подтверждение». Рисунок схемы не обязателен — допустима таблица переходов.</w:t>
      </w:r>
    </w:p>
    <w:p>
      <w:pPr>
        <w:pStyle w:val="Heading1"/>
      </w:pPr>
      <w:r>
        <w:t>6. Чек-лист самопроверки</w:t>
      </w:r>
    </w:p>
    <w:p>
      <w:pPr>
        <w:pStyle w:val="ListBullet"/>
      </w:pPr>
      <w:r>
        <w:rPr>
          <w:rFonts w:ascii="Times New Roman" w:hAnsi="Times New Roman"/>
          <w:sz w:val="24"/>
        </w:rPr>
        <w:t>Указаны вариант SA01, ФИО, группа; серые подсказки удалены.</w:t>
      </w:r>
    </w:p>
    <w:p>
      <w:pPr>
        <w:pStyle w:val="ListBullet"/>
      </w:pPr>
      <w:r>
        <w:rPr>
          <w:rFonts w:ascii="Times New Roman" w:hAnsi="Times New Roman"/>
          <w:sz w:val="24"/>
        </w:rPr>
        <w:t>Заполнены все пять таблиц; пустых обязательных полей нет.</w:t>
      </w:r>
    </w:p>
    <w:p>
      <w:pPr>
        <w:pStyle w:val="ListBullet"/>
      </w:pPr>
      <w:r>
        <w:rPr>
          <w:rFonts w:ascii="Times New Roman" w:hAnsi="Times New Roman"/>
          <w:sz w:val="24"/>
        </w:rPr>
        <w:t>Есть исключение из сопровождения и у него указан владелец.</w:t>
      </w:r>
    </w:p>
    <w:p>
      <w:pPr>
        <w:pStyle w:val="ListBullet"/>
      </w:pPr>
      <w:r>
        <w:rPr>
          <w:rFonts w:ascii="Times New Roman" w:hAnsi="Times New Roman"/>
          <w:sz w:val="24"/>
        </w:rPr>
        <w:t>У каждой операции ровно один ответственный; ограничения L1–L3 соблюдены.</w:t>
      </w:r>
    </w:p>
    <w:p>
      <w:pPr>
        <w:pStyle w:val="ListBullet"/>
      </w:pPr>
      <w:r>
        <w:rPr>
          <w:rFonts w:ascii="Times New Roman" w:hAnsi="Times New Roman"/>
          <w:sz w:val="24"/>
        </w:rPr>
        <w:t>Телефон и почта приводят к регистрации; закрытие — только после подтверждения.</w:t>
      </w:r>
    </w:p>
    <w:p>
      <w:pPr>
        <w:pStyle w:val="ListBullet"/>
      </w:pPr>
      <w:r>
        <w:rPr>
          <w:rFonts w:ascii="Times New Roman" w:hAnsi="Times New Roman"/>
          <w:sz w:val="24"/>
        </w:rPr>
        <w:t>Передача на L2 содержит симптом, окружение и выполненные проверки.</w:t>
      </w:r>
    </w:p>
    <w:p>
      <w:pPr>
        <w:pStyle w:val="ListBullet"/>
      </w:pPr>
      <w:r>
        <w:rPr>
          <w:rFonts w:ascii="Times New Roman" w:hAnsi="Times New Roman"/>
          <w:sz w:val="24"/>
        </w:rPr>
        <w:t>Для критичного отказа указан отдельный подтверждаемый канал.</w:t>
      </w:r>
    </w:p>
    <w:p>
      <w:pPr>
        <w:pStyle w:val="ListBullet"/>
      </w:pPr>
      <w:r>
        <w:rPr>
          <w:rFonts w:ascii="Times New Roman" w:hAnsi="Times New Roman"/>
          <w:sz w:val="24"/>
        </w:rPr>
        <w:t>В таблице проверки есть строки для P01–P05 и отдельно для V-P.</w:t>
      </w:r>
    </w:p>
    <w:p>
      <w:pPr>
        <w:pStyle w:val="ListBullet"/>
      </w:pPr>
      <w:r>
        <w:rPr>
          <w:rFonts w:ascii="Times New Roman" w:hAnsi="Times New Roman"/>
          <w:sz w:val="24"/>
        </w:rPr>
        <w:t>Для V-P показаны первичное решение, применённое правило и пересмотр.</w:t>
      </w:r>
    </w:p>
    <w:p>
      <w:pPr>
        <w:pStyle w:val="ListBullet"/>
      </w:pPr>
      <w:r>
        <w:rPr>
          <w:rFonts w:ascii="Times New Roman" w:hAnsi="Times New Roman"/>
          <w:sz w:val="24"/>
        </w:rPr>
        <w:t>Есть заключение о модели приёма обращений с обоснованием.</w:t>
      </w:r>
    </w:p>
    <w:p>
      <w:pPr>
        <w:pStyle w:val="Heading1"/>
      </w:pPr>
      <w:r>
        <w:t>7. Связь проблем процесса с решениями регламента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Ниже показано, какое правило регламента закрывает каждую выявленную проблему. Эту логику следует явно отразить в контрольной таблице отчёта.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794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438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Проблема</w:t>
            </w:r>
          </w:p>
        </w:tc>
        <w:tc>
          <w:tcPr>
            <w:tcW w:type="dxa" w:w="3118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Правило регламента</w:t>
            </w:r>
          </w:p>
        </w:tc>
        <w:tc>
          <w:tcPr>
            <w:tcW w:type="dxa" w:w="3118"/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Корректировка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/>
                <w:sz w:val="22"/>
              </w:rPr>
              <w:t>P01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/>
                <w:sz w:val="22"/>
              </w:rPr>
              <w:t>Звонок не зарегистрирован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Любой канал → обязательная регистрация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Без присвоенного ID работа не начинается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/>
                <w:sz w:val="22"/>
              </w:rPr>
              <w:t>P02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/>
                <w:sz w:val="22"/>
              </w:rPr>
              <w:t>Передача без окружения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Передача на L2 с симптомом, окружением и проверками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Обязательные поля блокируют неполную передачу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/>
                <w:sz w:val="22"/>
              </w:rPr>
              <w:t>P03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/>
                <w:sz w:val="22"/>
              </w:rPr>
              <w:t>Закрытие без подтверждения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Закрытие только после проверки результата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Закрытие недоступно без подтверждения пользователя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/>
                <w:sz w:val="22"/>
              </w:rPr>
              <w:t>P04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/>
                <w:sz w:val="22"/>
              </w:rPr>
              <w:t>Критичный отказ общей почтой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P1 — немедленное оповещение, C4: сразу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Отдельный подтверждаемый канал, фиксация получателя и времени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/>
                <w:sz w:val="22"/>
              </w:rPr>
              <w:t>P05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/>
                <w:sz w:val="22"/>
              </w:rPr>
              <w:t>Статья не создана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Ведение базы знаний входит в услугу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2"/>
              </w:rPr>
              <w:t>При новом решении обязательна статья или ссылка</w:t>
            </w:r>
          </w:p>
        </w:tc>
      </w:tr>
    </w:tbl>
    <w:p>
      <w:pPr>
        <w:pStyle w:val="Heading1"/>
      </w:pPr>
      <w:r>
        <w:t>8. Разбор контрольного случая V-P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Условие. L2 недоступна в текущую смену; дежурный владелец доступен. Доступные ресурсы: 2 специалиста L1; изменение конфигурации силами L1 запрещено.</w:t>
      </w:r>
    </w:p>
    <w:p>
      <w:r>
        <w:rPr>
          <w:rFonts w:ascii="Times New Roman" w:hAnsi="Times New Roman"/>
          <w:b/>
          <w:i w:val="0"/>
          <w:sz w:val="24"/>
        </w:rPr>
        <w:t>Ход рассуждения:</w:t>
      </w:r>
    </w:p>
    <w:p>
      <w:pPr>
        <w:pStyle w:val="ListNumber"/>
      </w:pPr>
      <w:r>
        <w:rPr>
          <w:rFonts w:ascii="Times New Roman" w:hAnsi="Times New Roman"/>
          <w:sz w:val="24"/>
        </w:rPr>
        <w:t>Обращение принимает L1 (есть 2 специалиста), регистрирует и классифицирует его.</w:t>
      </w:r>
    </w:p>
    <w:p>
      <w:pPr>
        <w:pStyle w:val="ListNumber"/>
      </w:pPr>
      <w:r>
        <w:rPr>
          <w:rFonts w:ascii="Times New Roman" w:hAnsi="Times New Roman"/>
          <w:sz w:val="24"/>
        </w:rPr>
        <w:t>Восстановление изменением конфигурации силами L1 невозможно (ограничение роли).</w:t>
      </w:r>
    </w:p>
    <w:p>
      <w:pPr>
        <w:pStyle w:val="ListNumber"/>
      </w:pPr>
      <w:r>
        <w:rPr>
          <w:rFonts w:ascii="Times New Roman" w:hAnsi="Times New Roman"/>
          <w:sz w:val="24"/>
        </w:rPr>
        <w:t>Порог C4 для P1 — «сразу», цель C3 — 60 минут; за это окно L2 недоступна, значит маршрут L1 → L2 не приводит к восстановлению в срок.</w:t>
      </w:r>
    </w:p>
    <w:p>
      <w:pPr>
        <w:pStyle w:val="ListNumber"/>
      </w:pPr>
      <w:r>
        <w:rPr>
          <w:rFonts w:ascii="Times New Roman" w:hAnsi="Times New Roman"/>
          <w:sz w:val="24"/>
        </w:rPr>
        <w:t>Доступный ресурс — дежурный владелец; он согласует критичное изменение и выполняет его, при необходимости с привлечением L3.</w:t>
      </w:r>
    </w:p>
    <w:p>
      <w:pPr>
        <w:pStyle w:val="ListNumber"/>
      </w:pPr>
      <w:r>
        <w:rPr>
          <w:rFonts w:ascii="Times New Roman" w:hAnsi="Times New Roman"/>
          <w:sz w:val="24"/>
        </w:rPr>
        <w:t>Передача подтверждается принятием (ack) и записью в карточке: симптом, окружение, выполненные проверки, факт эскалации, получатель.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Итог. Обращение принимает L1 и немедленно эскалирует дежурному владельцу сервиса. Оставшиеся ограничения: без дежурного владельца обращение остаётся на L1; администратор БД привлекается только по номеру обращения.</w:t>
      </w:r>
    </w:p>
    <w:p>
      <w:pPr>
        <w:pStyle w:val="Heading1"/>
      </w:pPr>
      <w:r>
        <w:t>9. Требования к отчёту и оформлению</w:t>
      </w:r>
    </w:p>
    <w:p>
      <w:pPr>
        <w:pStyle w:val="ListBullet"/>
      </w:pPr>
      <w:r>
        <w:rPr>
          <w:rFonts w:ascii="Times New Roman" w:hAnsi="Times New Roman"/>
          <w:sz w:val="24"/>
        </w:rPr>
        <w:t>Один заполненный редактируемый DOCX-файл; имя — Фамилия_Группа_МДК0602_ЛР01.docx.</w:t>
      </w:r>
    </w:p>
    <w:p>
      <w:pPr>
        <w:pStyle w:val="ListBullet"/>
      </w:pPr>
      <w:r>
        <w:rPr>
          <w:rFonts w:ascii="Times New Roman" w:hAnsi="Times New Roman"/>
          <w:sz w:val="24"/>
        </w:rPr>
        <w:t>Сохранить титульный лист; заполнить поля обучающегося, группы и варианта (SA01).</w:t>
      </w:r>
    </w:p>
    <w:p>
      <w:pPr>
        <w:pStyle w:val="ListBullet"/>
      </w:pPr>
      <w:r>
        <w:rPr>
          <w:rFonts w:ascii="Times New Roman" w:hAnsi="Times New Roman"/>
          <w:sz w:val="24"/>
        </w:rPr>
        <w:t>Указать код и название предметной области (Электронное расписание, ITPSIS-SA01).</w:t>
      </w:r>
    </w:p>
    <w:p>
      <w:pPr>
        <w:pStyle w:val="ListBullet"/>
      </w:pPr>
      <w:r>
        <w:rPr>
          <w:rFonts w:ascii="Times New Roman" w:hAnsi="Times New Roman"/>
          <w:sz w:val="24"/>
        </w:rPr>
        <w:t>Перенести итоговые таблицы в редактируемом виде, а не изображением.</w:t>
      </w:r>
    </w:p>
    <w:p>
      <w:pPr>
        <w:pStyle w:val="ListBullet"/>
      </w:pPr>
      <w:r>
        <w:rPr>
          <w:rFonts w:ascii="Times New Roman" w:hAnsi="Times New Roman"/>
          <w:sz w:val="24"/>
        </w:rPr>
        <w:t>Подписать приложенные фрагменты журналов, схемы и снимки экрана.</w:t>
      </w:r>
    </w:p>
    <w:p>
      <w:pPr>
        <w:pStyle w:val="ListBullet"/>
      </w:pPr>
      <w:r>
        <w:rPr>
          <w:rFonts w:ascii="Times New Roman" w:hAnsi="Times New Roman"/>
          <w:sz w:val="24"/>
        </w:rPr>
        <w:t>Удалить серые подсказки и проверить, что нет пустых обязательных полей.</w:t>
      </w:r>
    </w:p>
    <w:p>
      <w:pPr>
        <w:pStyle w:val="ListBullet"/>
      </w:pPr>
      <w:r>
        <w:rPr>
          <w:rFonts w:ascii="Times New Roman" w:hAnsi="Times New Roman"/>
          <w:sz w:val="24"/>
        </w:rPr>
        <w:t>Оформить под нормоконтроль (шрифт Times New Roman, кегль 12–14, поля, нумерация).</w:t>
      </w:r>
    </w:p>
    <w:p>
      <w:pPr>
        <w:pStyle w:val="Heading1"/>
      </w:pPr>
      <w:r>
        <w:t>10. Критерии оценивания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Максимум 6 баллов: предметный результат — 2; обоснование по данным — 2; проверка и объяснение изменения условия — 2. Частичное выполнение каждого критерия получает пропорциональную долю. Допустимы разные решения при соблюдении ограничений и прослеживаемых основаниях. На сдаче объясните выбранный факт и корректировку при небольшом изменении условия.</w:t>
      </w:r>
    </w:p>
    <w:p>
      <w:pPr>
        <w:pStyle w:val="Heading1"/>
      </w:pPr>
      <w:r>
        <w:t>11. Контрольные вопросы</w:t>
      </w:r>
    </w:p>
    <w:p>
      <w:r>
        <w:rPr>
          <w:rFonts w:ascii="Times New Roman" w:hAnsi="Times New Roman"/>
          <w:b/>
          <w:i w:val="0"/>
          <w:sz w:val="24"/>
        </w:rPr>
        <w:t>1. Чем инцидент отличается от стандартного запроса?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Ответ: Инцидент — незапланированное прерывание или ухудшение услуги; стандартный запрос (например, консультация) не обязательно связан со сбоем.</w:t>
      </w:r>
    </w:p>
    <w:p>
      <w:r>
        <w:rPr>
          <w:rFonts w:ascii="Times New Roman" w:hAnsi="Times New Roman"/>
          <w:b/>
          <w:i w:val="0"/>
          <w:sz w:val="24"/>
        </w:rPr>
        <w:t>2. Почему телефонный звонок обязательно превращать в карточку (P01)?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Ответ: Без регистрации нет истории решения и прослеживаемости; правило «любой канал → регистрация» устраняет этот разрыв.</w:t>
      </w:r>
    </w:p>
    <w:p>
      <w:r>
        <w:rPr>
          <w:rFonts w:ascii="Times New Roman" w:hAnsi="Times New Roman"/>
          <w:b/>
          <w:i w:val="0"/>
          <w:sz w:val="24"/>
        </w:rPr>
        <w:t>3. Что обязательно передавать на вторую линию (P02)?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Ответ: Симптом, окружение и уже выполненные проверки, а не только снимок экрана.</w:t>
      </w:r>
    </w:p>
    <w:p>
      <w:r>
        <w:rPr>
          <w:rFonts w:ascii="Times New Roman" w:hAnsi="Times New Roman"/>
          <w:b/>
          <w:i w:val="0"/>
          <w:sz w:val="24"/>
        </w:rPr>
        <w:t>4. При каком условии разрешено закрывать карточку (P03)?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Ответ: Только после проверки результата и подтверждения пользователем.</w:t>
      </w:r>
    </w:p>
    <w:p>
      <w:r>
        <w:rPr>
          <w:rFonts w:ascii="Times New Roman" w:hAnsi="Times New Roman"/>
          <w:b/>
          <w:i w:val="0"/>
          <w:sz w:val="24"/>
        </w:rPr>
        <w:t>5. Как правильно оповещать о критичном отказе (P04)?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Ответ: Немедленно по отдельному подтверждаемому каналу (звонок/дежурный), с фиксацией получателя и времени.</w:t>
      </w:r>
    </w:p>
    <w:p>
      <w:r>
        <w:rPr>
          <w:rFonts w:ascii="Times New Roman" w:hAnsi="Times New Roman"/>
          <w:b/>
          <w:i w:val="0"/>
          <w:sz w:val="24"/>
        </w:rPr>
        <w:t>6. Зачем нужна база знаний (P05)?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Ответ: Чтобы повторное решение не требовало повторной диагностики; ведение БЗ входит в услугу.</w:t>
      </w:r>
    </w:p>
    <w:p>
      <w:r>
        <w:rPr>
          <w:rFonts w:ascii="Times New Roman" w:hAnsi="Times New Roman"/>
          <w:b/>
          <w:i w:val="0"/>
          <w:sz w:val="24"/>
        </w:rPr>
        <w:t>7. Кто в контрольном случае V-P выполняет изменение конфигурации?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Ответ: Дежурный владелец сервиса (при необходимости с L3); L1 конфигурацию не изменяет.</w:t>
      </w:r>
    </w:p>
    <w:p>
      <w:r>
        <w:rPr>
          <w:rFonts w:ascii="Times New Roman" w:hAnsi="Times New Roman"/>
          <w:b/>
          <w:i w:val="0"/>
          <w:sz w:val="24"/>
        </w:rPr>
        <w:t>8. Централизованная или распределённая модель приёма выбрана и почему?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Ответ: Централизованная (единая точка входа) — при 2 специалистах L1 и 2 L2 дублирование каналов нецелесообразно, а единый реестр даёт прослеживаемость.</w:t>
      </w:r>
    </w:p>
    <w:p>
      <w:pPr>
        <w:pStyle w:val="Heading1"/>
      </w:pPr>
      <w:r>
        <w:t>12. Типовые ошибки</w:t>
      </w:r>
    </w:p>
    <w:p>
      <w:pPr>
        <w:pStyle w:val="ListBullet"/>
      </w:pPr>
      <w:r>
        <w:rPr>
          <w:rFonts w:ascii="Times New Roman" w:hAnsi="Times New Roman"/>
          <w:sz w:val="24"/>
        </w:rPr>
        <w:t>Регистрация только по части каналов (портал/почта), телефон без карточки.</w:t>
      </w:r>
    </w:p>
    <w:p>
      <w:pPr>
        <w:pStyle w:val="ListBullet"/>
      </w:pPr>
      <w:r>
        <w:rPr>
          <w:rFonts w:ascii="Times New Roman" w:hAnsi="Times New Roman"/>
          <w:sz w:val="24"/>
        </w:rPr>
        <w:t>Передача на L2 без окружения и выполненных проверок.</w:t>
      </w:r>
    </w:p>
    <w:p>
      <w:pPr>
        <w:pStyle w:val="ListBullet"/>
      </w:pPr>
      <w:r>
        <w:rPr>
          <w:rFonts w:ascii="Times New Roman" w:hAnsi="Times New Roman"/>
          <w:sz w:val="24"/>
        </w:rPr>
        <w:t>Закрытие карточки без подтверждения пользователя.</w:t>
      </w:r>
    </w:p>
    <w:p>
      <w:pPr>
        <w:pStyle w:val="ListBullet"/>
      </w:pPr>
      <w:r>
        <w:rPr>
          <w:rFonts w:ascii="Times New Roman" w:hAnsi="Times New Roman"/>
          <w:sz w:val="24"/>
        </w:rPr>
        <w:t>Оповещение о критичном отказе общей почтой вместо отдельного канала.</w:t>
      </w:r>
    </w:p>
    <w:p>
      <w:pPr>
        <w:pStyle w:val="ListBullet"/>
      </w:pPr>
      <w:r>
        <w:rPr>
          <w:rFonts w:ascii="Times New Roman" w:hAnsi="Times New Roman"/>
          <w:sz w:val="24"/>
        </w:rPr>
        <w:t>Два ответственных за один результат или назначения, нарушающие ограничения роли.</w:t>
      </w:r>
    </w:p>
    <w:p>
      <w:pPr>
        <w:pStyle w:val="ListBullet"/>
      </w:pPr>
      <w:r>
        <w:rPr>
          <w:rFonts w:ascii="Times New Roman" w:hAnsi="Times New Roman"/>
          <w:sz w:val="24"/>
        </w:rPr>
        <w:t>Отсутствие статьи базы знаний после нового решения.</w:t>
      </w:r>
    </w:p>
    <w:p>
      <w:pPr>
        <w:pStyle w:val="ListBullet"/>
      </w:pPr>
      <w:r>
        <w:rPr>
          <w:rFonts w:ascii="Times New Roman" w:hAnsi="Times New Roman"/>
          <w:sz w:val="24"/>
        </w:rPr>
        <w:t>Пустые обязательные поля и оставленные серые подсказки в отчёте.</w:t>
      </w:r>
    </w:p>
    <w:p>
      <w:pPr>
        <w:pStyle w:val="Heading1"/>
      </w:pPr>
      <w:r>
        <w:t>13. Источники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1. ITIL 4 Foundation (учебная опора: практики Service Desk и Incident Management).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2. Материалы комплекта варианта SA01: Задание.html, Пояснение.md, Данные_03.csv, Данные_04.csv, Данные_05.csv, Условия_варианта.csv.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3. Шаблон отчёта Шаблон_для_заполнения_v2.docx (с подсказками по ячейкам) и Пример_оформления_ЛР01.docx (образец формата).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C1C1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C1C1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C1C1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