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2022-08-13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2022-08-13</w:t>
            </w:r>
          </w:p>
        </w:tc>
      </w:tr>
      <w:tr>
        <w:tc>
          <w:p>
            <w:pPr>
              <w:jc w:val="left"/>
            </w:pPr>
            <w:r>
              <w:t xml:space="preserve">Version: 2.0.0-alpha2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2021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w:t>
      </w:r>
      <w:r>
        <w:t xml:space="preserve"> </w:t>
      </w:r>
      <w:r>
        <w:t xml:space="preserve">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p>
    <w:p>
      <w:pPr>
        <w:pStyle w:val="BodyText"/>
      </w:pPr>
      <w:r>
        <w:t xml:space="preserve">The core purpose of WCMP is to describe</w:t>
      </w:r>
      <w:r>
        <w:t xml:space="preserve"> </w:t>
      </w:r>
      <w:r>
        <w:rPr>
          <w:b/>
        </w:rPr>
        <w:t xml:space="preserve">datasets</w:t>
      </w:r>
      <w:r>
        <w:t xml:space="preserve">. While WCMP is able to describe any</w:t>
      </w:r>
      <w:r>
        <w:t xml:space="preserve"> </w:t>
      </w:r>
      <w:r>
        <w:t xml:space="preserve">resource (datasets, APIs and data reduction services, processes, analytics, etc.), they key</w:t>
      </w:r>
      <w:r>
        <w:t xml:space="preserve"> </w:t>
      </w:r>
      <w:r>
        <w:t xml:space="preserve">component for international data exchange is data. Services and APIs operating on resources</w:t>
      </w:r>
      <w:r>
        <w:t xml:space="preserve"> </w:t>
      </w:r>
      <w:r>
        <w:t xml:space="preserve">may be represented as part of their own metadata, or associated thorugh WCMP links.</w:t>
      </w:r>
    </w:p>
    <w:p>
      <w:pPr>
        <w:pStyle w:val="BodyText"/>
      </w:pPr>
      <w:r>
        <w:t xml:space="preserve">WCMP discovery metadata provides description at the granularity level of a dataset. Station, instrument</w:t>
      </w:r>
      <w:r>
        <w:t xml:space="preserve"> </w:t>
      </w:r>
      <w:r>
        <w:t xml:space="preserve">and observation metadata are supported as part of the WIGOS Metadata Standard</w:t>
      </w:r>
      <w:r>
        <w:t xml:space="preserve"> </w:t>
      </w:r>
      <w:r>
        <w:rPr>
          <w:rStyle w:val="FootnoteReference"/>
        </w:rPr>
        <w:footnoteReference w:id="41"/>
      </w:r>
      <w:r>
        <w:t xml:space="preserve">.</w:t>
      </w:r>
    </w:p>
    <w:p>
      <w:pPr>
        <w:pStyle w:val="BodyText"/>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43" w:name="X859b073d7e5a95a337a680b453cd9ab10fc927d"/>
      <w:r>
        <w:t xml:space="preserve">Conformance</w:t>
      </w:r>
      <w:bookmarkEnd w:id="43"/>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1"/>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numId w:val="1002"/>
          <w:ilvl w:val="0"/>
        </w:numPr>
      </w:pPr>
      <w:r>
        <w:t xml:space="preserve">OGC: OGC 20-004, OGC API - Records - Part 1: Core 1.0 (2021)</w:t>
      </w:r>
      <w:r>
        <w:t xml:space="preserve"> </w:t>
      </w:r>
      <w:r>
        <w:rPr>
          <w:rStyle w:val="FootnoteReference"/>
        </w:rPr>
        <w:footnoteReference w:id="45"/>
      </w:r>
    </w:p>
    <w:p>
      <w:pPr>
        <w:numPr>
          <w:numId w:val="1002"/>
          <w:ilvl w:val="0"/>
        </w:numPr>
      </w:pPr>
      <w:r>
        <w:t xml:space="preserve">OGC: OGC 17-069r, OGC API - Features - Part 1: Core 1.0 (2022)</w:t>
      </w:r>
      <w:r>
        <w:t xml:space="preserve"> </w:t>
      </w:r>
      <w:r>
        <w:rPr>
          <w:rStyle w:val="FootnoteReference"/>
        </w:rPr>
        <w:footnoteReference w:id="47"/>
      </w:r>
    </w:p>
    <w:p>
      <w:pPr>
        <w:numPr>
          <w:numId w:val="1002"/>
          <w:ilvl w:val="0"/>
        </w:numPr>
      </w:pPr>
      <w:r>
        <w:t xml:space="preserve">IETF: RFC-7946 The GeoJSON Format (2016)</w:t>
      </w:r>
      <w:r>
        <w:t xml:space="preserve"> </w:t>
      </w:r>
      <w:r>
        <w:rPr>
          <w:rStyle w:val="FootnoteReference"/>
        </w:rPr>
        <w:footnoteReference w:id="49"/>
      </w:r>
    </w:p>
    <w:p>
      <w:pPr>
        <w:numPr>
          <w:numId w:val="1002"/>
          <w:ilvl w:val="0"/>
        </w:numPr>
      </w:pPr>
      <w:r>
        <w:t xml:space="preserve">IETF: RFC-8259 The JavaScript Object Notation (JSON) Data Interchange Formathe GeoJSON Format (2016)</w:t>
      </w:r>
      <w:r>
        <w:t xml:space="preserve"> </w:t>
      </w:r>
      <w:r>
        <w:rPr>
          <w:rStyle w:val="FootnoteReference"/>
        </w:rPr>
        <w:footnoteReference w:id="50"/>
      </w:r>
    </w:p>
    <w:p>
      <w:pPr>
        <w:numPr>
          <w:numId w:val="1002"/>
          <w:ilvl w:val="0"/>
        </w:numPr>
      </w:pPr>
      <w:r>
        <w:t xml:space="preserve">W3C/OGC: Spatial Data on the Web Best Practices, W3C Working Group Note (2017)</w:t>
      </w:r>
      <w:r>
        <w:t xml:space="preserve"> </w:t>
      </w:r>
      <w:r>
        <w:rPr>
          <w:rStyle w:val="FootnoteReference"/>
        </w:rPr>
        <w:footnoteReference w:id="52"/>
      </w:r>
    </w:p>
    <w:p>
      <w:pPr>
        <w:numPr>
          <w:numId w:val="1002"/>
          <w:ilvl w:val="0"/>
        </w:numPr>
      </w:pPr>
      <w:r>
        <w:t xml:space="preserve">W3C: Data on the Web Best Practices, W3C Recommendation (2017)</w:t>
      </w:r>
      <w:r>
        <w:t xml:space="preserve"> </w:t>
      </w:r>
      <w:r>
        <w:rPr>
          <w:rStyle w:val="FootnoteReference"/>
        </w:rPr>
        <w:footnoteReference w:id="53"/>
      </w:r>
    </w:p>
    <w:p>
      <w:pPr>
        <w:numPr>
          <w:numId w:val="1002"/>
          <w:ilvl w:val="0"/>
        </w:numPr>
      </w:pPr>
      <w:r>
        <w:t xml:space="preserve">W3C: Data Catalog Vocabulary, W3C Recommendation (2014)</w:t>
      </w:r>
      <w:r>
        <w:t xml:space="preserve"> </w:t>
      </w:r>
      <w:r>
        <w:rPr>
          <w:rStyle w:val="FootnoteReference"/>
        </w:rPr>
        <w:footnoteReference w:id="54"/>
      </w:r>
    </w:p>
    <w:p>
      <w:pPr>
        <w:numPr>
          <w:numId w:val="1002"/>
          <w:ilvl w:val="0"/>
        </w:numPr>
      </w:pPr>
      <w:r>
        <w:t xml:space="preserve">IANA: Link Relation Types (2020)</w:t>
      </w:r>
      <w:r>
        <w:t xml:space="preserve"> </w:t>
      </w:r>
      <w:r>
        <w:rPr>
          <w:rStyle w:val="FootnoteReference"/>
        </w:rPr>
        <w:footnoteReference w:id="56"/>
      </w:r>
    </w:p>
    <w:p>
      <w:pPr>
        <w:numPr>
          <w:numId w:val="1002"/>
          <w:ilvl w:val="0"/>
        </w:numPr>
      </w:pPr>
      <w:r>
        <w:t xml:space="preserve">Linux Foundation: SPDX License List (2021)</w:t>
      </w:r>
      <w:r>
        <w:t xml:space="preserve"> </w:t>
      </w:r>
      <w:r>
        <w:rPr>
          <w:rStyle w:val="FootnoteReference"/>
        </w:rPr>
        <w:footnoteReference w:id="58"/>
      </w:r>
    </w:p>
    <w:p>
      <w:pPr>
        <w:numPr>
          <w:numId w:val="1002"/>
          <w:ilvl w:val="0"/>
        </w:numPr>
      </w:pPr>
      <w:r>
        <w:t xml:space="preserve">IETF: JSON Schema (2022)</w:t>
      </w:r>
      <w:r>
        <w:t xml:space="preserve"> </w:t>
      </w:r>
      <w:r>
        <w:rPr>
          <w:rStyle w:val="FootnoteReference"/>
        </w:rPr>
        <w:footnoteReference w:id="60"/>
      </w:r>
    </w:p>
    <w:p>
      <w:pPr>
        <w:numPr>
          <w:numId w:val="1002"/>
          <w:ilvl w:val="0"/>
        </w:numPr>
      </w:pPr>
      <w:r>
        <w:t xml:space="preserve">WMO: WIS2 Topic Hierarchy (2022)</w:t>
      </w:r>
      <w:r>
        <w:t xml:space="preserve"> </w:t>
      </w:r>
      <w:r>
        <w:rPr>
          <w:rStyle w:val="FootnoteReference"/>
        </w:rPr>
        <w:footnoteReference w:id="62"/>
      </w:r>
    </w:p>
    <w:p>
      <w:pPr>
        <w:pStyle w:val="Heading1"/>
      </w:pPr>
      <w:bookmarkStart w:id="64" w:name="Xf17c8383fae2ebb7cd7431905910c5a97b905d8"/>
      <w:r>
        <w:t xml:space="preserve">Terms and definitions</w:t>
      </w:r>
      <w:bookmarkEnd w:id="64"/>
    </w:p>
    <w:p>
      <w:pPr>
        <w:pStyle w:val="FirstParagraph"/>
      </w:pPr>
      <w:r>
        <w:t xml:space="preserve">This document uses the terms defined in</w:t>
      </w:r>
      <w:r>
        <w:t xml:space="preserve"> </w:t>
      </w:r>
      <w:hyperlink r:id="rId6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Heading2"/>
      </w:pPr>
      <w:bookmarkStart w:id="67" w:name="X54e275d746a583d0fab5702dec00410ae636698"/>
      <w:r>
        <w:t xml:space="preserve">Abbreviated terms</w:t>
      </w:r>
      <w:bookmarkEnd w:id="6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68" w:name="X092135ba5a88783865c456c6e3593fb42502819"/>
      <w:r>
        <w:t xml:space="preserve">Conventions</w:t>
      </w:r>
      <w:bookmarkEnd w:id="6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9" w:name="Xd36e39716b76592b350f106ac5ed38f15d24141"/>
      <w:r>
        <w:t xml:space="preserve">Identifiers</w:t>
      </w:r>
      <w:bookmarkEnd w:id="69"/>
    </w:p>
    <w:p>
      <w:pPr>
        <w:pStyle w:val="FirstParagraph"/>
      </w:pPr>
      <w:r>
        <w:t xml:space="preserve">The normative provisions in this Standard are denoted by the URI:</w:t>
      </w:r>
    </w:p>
    <w:p>
      <w:pPr>
        <w:pStyle w:val="BodyText"/>
      </w:pPr>
      <w:hyperlink r:id="rId70">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1" w:name="X70860ddc704121b08ffd7850543538547ce4efd"/>
      <w:r>
        <w:t xml:space="preserve">Examples</w:t>
      </w:r>
      <w:bookmarkEnd w:id="71"/>
    </w:p>
    <w:p>
      <w:pPr>
        <w:pStyle w:val="FirstParagraph"/>
      </w:pPr>
      <w:r>
        <w:t xml:space="preserve">Examples provided in this specification are encoded as GeoJSON.</w:t>
      </w:r>
    </w:p>
    <w:p>
      <w:pPr>
        <w:pStyle w:val="BodyText"/>
      </w:pPr>
      <w:r>
        <w:t xml:space="preserve">Complete examples can be found at</w:t>
      </w:r>
      <w:r>
        <w:t xml:space="preserve"> </w:t>
      </w:r>
      <w:hyperlink r:id="rId72">
        <w:r>
          <w:rPr>
            <w:rStyle w:val="Hyperlink"/>
          </w:rPr>
          <w:t xml:space="preserve">https://schemas.wmo.int/wcmp/2.0/examples</w:t>
        </w:r>
      </w:hyperlink>
    </w:p>
    <w:p>
      <w:pPr>
        <w:pStyle w:val="Heading2"/>
      </w:pPr>
      <w:bookmarkStart w:id="73" w:name="X51ea2dcbbf0dc3858aa5637c32a54d26159edc1"/>
      <w:r>
        <w:t xml:space="preserve">Schemas</w:t>
      </w:r>
      <w:bookmarkEnd w:id="73"/>
    </w:p>
    <w:p>
      <w:pPr>
        <w:pStyle w:val="FirstParagraph"/>
      </w:pPr>
      <w:r>
        <w:t xml:space="preserve">The WCMP 2.0 schema can be found at</w:t>
      </w:r>
      <w:r>
        <w:t xml:space="preserve"> </w:t>
      </w:r>
      <w:hyperlink r:id="rId74">
        <w:r>
          <w:rPr>
            <w:rStyle w:val="Hyperlink"/>
          </w:rPr>
          <w:t xml:space="preserve">https://schemas.wmo.int/wcmp/2.0/wcmpRecordGeoJSON.yaml</w:t>
        </w:r>
      </w:hyperlink>
    </w:p>
    <w:p>
      <w:pPr>
        <w:pStyle w:val="Heading2"/>
      </w:pPr>
      <w:bookmarkStart w:id="75" w:name="Xdb1c944d8a2f930464777656f10fba2a74d95df"/>
      <w:r>
        <w:t xml:space="preserve">Schema representation</w:t>
      </w:r>
      <w:bookmarkEnd w:id="75"/>
    </w:p>
    <w:p>
      <w:pPr>
        <w:pStyle w:val="FirstParagraph"/>
      </w:pPr>
      <w:r>
        <w:t xml:space="preserve">JSON Schema</w:t>
      </w:r>
      <w:r>
        <w:t xml:space="preserve"> </w:t>
      </w:r>
      <w:r>
        <w:rPr>
          <w:rStyle w:val="FootnoteReference"/>
        </w:rPr>
        <w:footnoteReference w:id="76"/>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7"/>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79" w:name="X37714c48d157262c66f03d58cc254f353ae1551"/>
      <w:r>
        <w:t xml:space="preserve">Use of HTTPS</w:t>
      </w:r>
      <w:bookmarkEnd w:id="79"/>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80" w:name="X1ea7cbd003469405f98a7976943980a7b23bcee"/>
      <w:r>
        <w:t xml:space="preserve">Introduction</w:t>
      </w:r>
      <w:bookmarkEnd w:id="80"/>
    </w:p>
    <w:p>
      <w:pPr>
        <w:pStyle w:val="Heading2"/>
      </w:pPr>
      <w:bookmarkStart w:id="81" w:name="X43f9398da9c2eb974194c1e60a2fdc80e1bfc87"/>
      <w:r>
        <w:t xml:space="preserve">Overview</w:t>
      </w:r>
      <w:bookmarkEnd w:id="81"/>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82" w:name="X46852dd3747cafb42375984a04912ffe822e852"/>
      <w:r>
        <w:t xml:space="preserve">WIS 2.0</w:t>
      </w:r>
      <w:bookmarkEnd w:id="82"/>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Principle 1: WIS 2.0 adopts Web technologies and leverages industry best practices and open standards</w:t>
      </w:r>
    </w:p>
    <w:p>
      <w:pPr>
        <w:numPr>
          <w:numId w:val="1003"/>
          <w:ilvl w:val="0"/>
        </w:numPr>
      </w:pPr>
      <w:r>
        <w:rPr>
          <w:b/>
        </w:rPr>
        <w:t xml:space="preserve">Principle 2: WIS 2.0 uses Uniform Resource Locators (URL) to identify resources</w:t>
      </w:r>
    </w:p>
    <w:p>
      <w:pPr>
        <w:numPr>
          <w:numId w:val="1003"/>
          <w:ilvl w:val="0"/>
        </w:numPr>
      </w:pPr>
      <w:r>
        <w:rPr>
          <w:b/>
        </w:rPr>
        <w:t xml:space="preserve">Principle 3: WIS 2.0 prioritizes use of public telecommunications networks (i.e. Internet) when publishing digital resources</w:t>
      </w:r>
    </w:p>
    <w:p>
      <w:pPr>
        <w:numPr>
          <w:numId w:val="1003"/>
          <w:ilvl w:val="0"/>
        </w:numPr>
      </w:pPr>
      <w:r>
        <w:rPr>
          <w:b/>
        </w:rPr>
        <w:t xml:space="preserve">Principle 4: WIS2.0 requires provision of Web service(s) to access or interact with digital resources (e.g. data, information, products) published using WIS</w:t>
      </w:r>
    </w:p>
    <w:p>
      <w:pPr>
        <w:numPr>
          <w:numId w:val="1003"/>
          <w:ilvl w:val="0"/>
        </w:numPr>
      </w:pPr>
      <w:r>
        <w:t xml:space="preserve">Principle 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Principle 6: WIS 2.0 will add open standard messaging protocols that use the publish-subscribe message pattern to the list of data exchange mechanisms approved for use within WIS and GTS</w:t>
      </w:r>
    </w:p>
    <w:p>
      <w:pPr>
        <w:numPr>
          <w:numId w:val="1003"/>
          <w:ilvl w:val="0"/>
        </w:numPr>
      </w:pPr>
      <w:r>
        <w:t xml:space="preserve">Principle 7: WIS 2.0 will require all services that provide real-time distribution of messages to cache/store the messages for a minimum of 24 hours, and allow users to request cached messages for download</w:t>
      </w:r>
    </w:p>
    <w:p>
      <w:pPr>
        <w:numPr>
          <w:numId w:val="1003"/>
          <w:ilvl w:val="0"/>
        </w:numPr>
      </w:pPr>
      <w:r>
        <w:t xml:space="preserve">Principle 8: WIS 2.0 will adopt direct data exchange between provider and consumer</w:t>
      </w:r>
    </w:p>
    <w:p>
      <w:pPr>
        <w:numPr>
          <w:numId w:val="1003"/>
          <w:ilvl w:val="0"/>
        </w:numPr>
      </w:pPr>
      <w:r>
        <w:t xml:space="preserve">Principle 9: WIS 2.0 will phase out the use of routing tables and bulletin headers</w:t>
      </w:r>
    </w:p>
    <w:p>
      <w:pPr>
        <w:numPr>
          <w:numId w:val="1003"/>
          <w:ilvl w:val="0"/>
        </w:numPr>
      </w:pPr>
      <w:r>
        <w:rPr>
          <w:b/>
        </w:rPr>
        <w:t xml:space="preserve">Principle 10: WIS 2.0 will provide a Catalogue containing metadata that describes both data and the service(s) provided to access that data</w:t>
      </w:r>
    </w:p>
    <w:p>
      <w:pPr>
        <w:numPr>
          <w:numId w:val="1003"/>
          <w:ilvl w:val="0"/>
        </w:numPr>
      </w:pPr>
      <w:r>
        <w:rPr>
          <w:b/>
        </w:rPr>
        <w:t xml:space="preserve">Principle 11: WIS 2.0 encourages data providers to publish metadata describing their data and Web services in a way that can be indexed by commercial search engines</w:t>
      </w:r>
    </w:p>
    <w:p>
      <w:pPr>
        <w:pStyle w:val="Heading3"/>
      </w:pPr>
      <w:bookmarkStart w:id="83" w:name="Xa845a256222d6abc4437db6e298e18a47cef27f"/>
      <w:r>
        <w:t xml:space="preserve">Discovery metadata design considerations</w:t>
      </w:r>
      <w:bookmarkEnd w:id="83"/>
    </w:p>
    <w:p>
      <w:pPr>
        <w:pStyle w:val="FirstParagraph"/>
      </w:pPr>
      <w:r>
        <w:t xml:space="preserve">The following describes envisioned workflows of WIS 2.0 in the context of metadata search and harvesting.</w:t>
      </w:r>
    </w:p>
    <w:p>
      <w:pPr>
        <w:pStyle w:val="BodyText"/>
      </w:pPr>
      <w:r>
        <w:t xml:space="preserve">We consider the following:</w:t>
      </w:r>
    </w:p>
    <w:p>
      <w:pPr>
        <w:numPr>
          <w:numId w:val="1004"/>
          <w:ilvl w:val="0"/>
        </w:numPr>
      </w:pPr>
      <w:r>
        <w:t xml:space="preserve">flexible metadata publishing mechanisms: providers need to be able to publish discovery metadata in the easiest and</w:t>
      </w:r>
      <w:r>
        <w:t xml:space="preserve"> </w:t>
      </w:r>
      <w:r>
        <w:t xml:space="preserve">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w:t>
      </w:r>
      <w:r>
        <w:t xml:space="preserve"> </w:t>
      </w:r>
      <w:r>
        <w:t xml:space="preserve">metadata harvesters</w:t>
      </w:r>
    </w:p>
    <w:p>
      <w:pPr>
        <w:numPr>
          <w:numId w:val="1004"/>
          <w:ilvl w:val="0"/>
        </w:numPr>
      </w:pPr>
      <w:r>
        <w:t xml:space="preserve">the browser as the catalogue: here, browsers utilize mass market search engines as the gateway to low barrier</w:t>
      </w:r>
      <w:r>
        <w:t xml:space="preserve"> </w:t>
      </w:r>
      <w:r>
        <w:t xml:space="preserve">discovery. This pattern may work by way of the Global Discovery Catalogue and the Global Cache, with the idea that</w:t>
      </w:r>
      <w:r>
        <w:t xml:space="preserve"> </w:t>
      </w:r>
      <w:r>
        <w:t xml:space="preserve">search engines can index from the authoritative source</w:t>
      </w:r>
    </w:p>
    <w:p>
      <w:pPr>
        <w:pStyle w:val="Heading3"/>
      </w:pPr>
      <w:bookmarkStart w:id="84" w:name="X28d371aa0c0ef80c266a346e5bb56f745385050"/>
      <w:r>
        <w:t xml:space="preserve">Granularity</w:t>
      </w:r>
      <w:bookmarkEnd w:id="84"/>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 following table provides an overview of granularity level and targets for various data types.</w:t>
      </w:r>
    </w:p>
    <w:tbl>
      <w:tblPr>
        <w:tblStyle w:val="Table"/>
        <w:tblW w:type="pct" w:w="5000.0"/>
        <w:tblLook w:firstRow="0"/>
      </w:tblPr>
      <w:tblGrid>
        <w:gridCol w:w="3960"/>
        <w:gridCol w:w="3960"/>
      </w:tblGrid>
      <w:tr>
        <w:tc>
          <w:p>
            <w:pPr>
              <w:jc w:val="left"/>
            </w:pPr>
            <w:r>
              <w:t xml:space="preserve">Dataset metadata</w:t>
            </w:r>
          </w:p>
        </w:tc>
        <w:tc>
          <w:p>
            <w:pPr>
              <w:jc w:val="left"/>
            </w:pPr>
            <w:r>
              <w:t xml:space="preserve">WCMP</w:t>
            </w:r>
          </w:p>
        </w:tc>
      </w:tr>
      <w:tr>
        <w:tc>
          <w:p>
            <w:pPr>
              <w:jc w:val="left"/>
            </w:pPr>
            <w:r>
              <w:t xml:space="preserve">Station metadata</w:t>
            </w:r>
          </w:p>
        </w:tc>
        <w:tc>
          <w:p>
            <w:pPr>
              <w:jc w:val="left"/>
            </w:pPr>
            <w:r>
              <w:t xml:space="preserve">WMDR</w:t>
            </w:r>
          </w:p>
        </w:tc>
      </w:tr>
      <w:tr>
        <w:tc>
          <w:p>
            <w:pPr>
              <w:jc w:val="left"/>
            </w:pPr>
            <w:r>
              <w:t xml:space="preserve">Instrument metadata</w:t>
            </w:r>
          </w:p>
        </w:tc>
        <w:tc>
          <w:p>
            <w:pPr>
              <w:jc w:val="left"/>
            </w:pPr>
            <w:r>
              <w:t xml:space="preserve">WMDR</w:t>
            </w:r>
          </w:p>
        </w:tc>
      </w:tr>
      <w:tr>
        <w:tc>
          <w:p>
            <w:pPr>
              <w:jc w:val="left"/>
            </w:pPr>
            <w:r>
              <w:t xml:space="preserve">Observation metadata</w:t>
            </w:r>
          </w:p>
        </w:tc>
        <w:tc>
          <w:p>
            <w:pPr>
              <w:jc w:val="left"/>
            </w:pPr>
            <w:r>
              <w:t xml:space="preserve">WMDR</w:t>
            </w:r>
          </w:p>
        </w:tc>
      </w:tr>
    </w:tbl>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5"/>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86" w:name="Xb0f63ba3c7bc76c9e95dbad89cd924b80d2140e"/>
      <w:r>
        <w:t xml:space="preserve">User stories</w:t>
      </w:r>
      <w:bookmarkEnd w:id="86"/>
    </w:p>
    <w:p>
      <w:pPr>
        <w:pStyle w:val="FirstParagraph"/>
      </w:pPr>
      <w:r>
        <w:t xml:space="preserve">As part of requirements gathering</w:t>
      </w:r>
      <w:r>
        <w:t xml:space="preserve"> </w:t>
      </w:r>
      <w:r>
        <w:rPr>
          <w:rStyle w:val="FootnoteReference"/>
        </w:rPr>
        <w:footnoteReference w:id="87"/>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89" w:name="X59ac2db69d0d57cc5ca416dc4dc8b06f34de921"/>
      <w:r>
        <w:t xml:space="preserve">Domain specialist</w:t>
      </w:r>
      <w:bookmarkEnd w:id="89"/>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vast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relevant/useful for the work of my team, notably NWP and satellite imagery so that we could further improve our predictions. That should work for unprocessed outputs of a prediction model or a satellite as well as for services that offer more sophisticated access to the data, e.g. tailing</w:t>
      </w:r>
    </w:p>
    <w:p>
      <w:pPr>
        <w:numPr>
          <w:numId w:val="1012"/>
          <w:ilvl w:val="0"/>
        </w:numPr>
      </w:pPr>
      <w:r>
        <w:t xml:space="preserve">As a GIS professional, I would like to search for weather/climate/water data from my GIS Desktop support tool so that I can integrate forecast data into my workflow</w:t>
      </w:r>
    </w:p>
    <w:p>
      <w:pPr>
        <w:pStyle w:val="Heading3"/>
      </w:pPr>
      <w:bookmarkStart w:id="90" w:name="X85040cbd31ec861a1d25081504588e632e0168e"/>
      <w:r>
        <w:t xml:space="preserve">Mass market</w:t>
      </w:r>
      <w:bookmarkEnd w:id="90"/>
    </w:p>
    <w:p>
      <w:pPr>
        <w:numPr>
          <w:numId w:val="1013"/>
          <w:ilvl w:val="0"/>
        </w:numPr>
      </w:pPr>
      <w:r>
        <w:t xml:space="preserve">As an entrepreneur (start-up) that provides (wants to provide) tailored weather information I want to be able to find services (free or commercial) that provide meteorological data in a cloud or even better, provide customizable processing of such data - to be able to build my own service on top of it. And I want to be able to find out if a new such service appears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 to date information on weather for my city</w:t>
      </w:r>
    </w:p>
    <w:p>
      <w:pPr>
        <w:pStyle w:val="Heading3"/>
      </w:pPr>
      <w:bookmarkStart w:id="91" w:name="X24a395403422e31da2c92caef9fc51bd6dd6d7f"/>
      <w:r>
        <w:t xml:space="preserve">Developers</w:t>
      </w:r>
      <w:bookmarkEnd w:id="91"/>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reality</w:t>
      </w:r>
    </w:p>
    <w:p>
      <w:pPr>
        <w:numPr>
          <w:numId w:val="1014"/>
          <w:ilvl w:val="0"/>
        </w:numPr>
      </w:pPr>
      <w:r>
        <w:t xml:space="preserve">As a web developer I would like to access to a search API that provides easy to 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2"/>
      </w:r>
      <w:r>
        <w:t xml:space="preserve"> </w:t>
      </w:r>
      <w:r>
        <w:t xml:space="preserve">adds the following user stories:</w:t>
      </w:r>
    </w:p>
    <w:p>
      <w:pPr>
        <w:numPr>
          <w:numId w:val="1015"/>
          <w:ilvl w:val="0"/>
        </w:numPr>
      </w:pPr>
      <w:r>
        <w:t xml:space="preserve">As an everyday user, I would like to find easy to 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 made weather services to my users</w:t>
      </w:r>
    </w:p>
    <w:p>
      <w:pPr>
        <w:pStyle w:val="FirstParagraph"/>
      </w:pPr>
      <w:r>
        <w:t xml:space="preserve">Given the above, we see a variety of users/actors to which WIS 2.0, driving the need for low barrier, ubiquitous and</w:t>
      </w:r>
      <w:r>
        <w:t xml:space="preserve"> </w:t>
      </w:r>
      <w:r>
        <w:t xml:space="preserve">efficient discovery, visualization, access of weather/climate/water (real-time, near real-time, archive, etc.) data.</w:t>
      </w:r>
    </w:p>
    <w:p>
      <w:pPr>
        <w:pStyle w:val="Heading2"/>
      </w:pPr>
      <w:bookmarkStart w:id="94" w:name="Xead1ded0b79e46c70165de91caed0eee055f59d"/>
      <w:r>
        <w:t xml:space="preserve">OGC API - Records - Part 1: Core</w:t>
      </w:r>
      <w:bookmarkEnd w:id="94"/>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5" w:name="Xa9503267062c903b4ffeda7437eb4accd749a6e"/>
      <w:r>
        <w:t xml:space="preserve">The WIS 2.0 Global Discovery Catalogue</w:t>
      </w:r>
      <w:bookmarkEnd w:id="95"/>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6" w:name="X15d8e305993da942b014d5b4105677cc8a76a02"/>
      <w:r>
        <w:t xml:space="preserve">Mass market considerations</w:t>
      </w:r>
      <w:bookmarkEnd w:id="96"/>
    </w:p>
    <w:p>
      <w:pPr>
        <w:pStyle w:val="FirstParagraph"/>
      </w:pPr>
      <w:r>
        <w:t xml:space="preserve">Given WIS 2.0 principle 11 (publishing metadata in a way that can be indexed by commercial search engines),</w:t>
      </w:r>
      <w:r>
        <w:t xml:space="preserve"> </w:t>
      </w:r>
      <w:r>
        <w:t xml:space="preserve">WCMP discovery metadata enables annotations that can facilitate Search Engine Optimization (SEO) and</w:t>
      </w:r>
      <w:r>
        <w:t xml:space="preserve"> </w:t>
      </w:r>
      <w:r>
        <w:t xml:space="preserve">structured data discovery, search and relevant/rich results.</w:t>
      </w:r>
    </w:p>
    <w:p>
      <w:pPr>
        <w:pStyle w:val="Heading1"/>
      </w:pPr>
      <w:bookmarkStart w:id="97" w:name="X69b8a0e0e6158cda217a5ca0d365d91ea145566"/>
      <w:r>
        <w:t xml:space="preserve">The WMO Core Metadata Profile Record</w:t>
      </w:r>
      <w:bookmarkEnd w:id="97"/>
    </w:p>
    <w:p>
      <w:pPr>
        <w:pStyle w:val="FirstParagraph"/>
      </w:pPr>
      <w:r>
        <w:t xml:space="preserve">A WCMP record provides descriptive information about a dataset made available</w:t>
      </w:r>
      <w:r>
        <w:t xml:space="preserve"> </w:t>
      </w:r>
      <w:r>
        <w:t xml:space="preserve">through WIS 2.0.</w:t>
      </w:r>
    </w:p>
    <w:p>
      <w:pPr>
        <w:pStyle w:val="Heading2"/>
      </w:pPr>
      <w:bookmarkStart w:id="98" w:name="X832d8df2233b24fd4778b0d5040958f69375ea7"/>
      <w:r>
        <w:t xml:space="preserve">Conformance Class Core</w:t>
      </w:r>
      <w:bookmarkEnd w:id="98"/>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99">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100" w:name="X6c8ff279ae0c1bdfb37bb6344105bb8007f162a"/>
      <w:r>
        <w:t xml:space="preserve">Validation</w:t>
      </w:r>
      <w:bookmarkEnd w:id="100"/>
    </w:p>
    <w:p>
      <w:pPr>
        <w:pStyle w:val="FirstParagraph"/>
      </w:pPr>
      <w:r>
        <w:t xml:space="preserve">The WCMP record schema is based on the schema defined as part of OGC API - Records - Part 1:</w:t>
      </w:r>
      <w:r>
        <w:t xml:space="preserve"> </w:t>
      </w:r>
      <w:r>
        <w:t xml:space="preserve">Core: Requirements Class: Record Core and the associated information model. WCMP records which</w:t>
      </w:r>
      <w:r>
        <w:t xml:space="preserve"> </w:t>
      </w:r>
      <w:r>
        <w:t xml:space="preserve">are valid to WCMP are therefore valid to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 defined in Annex A (TODO: point to correct schema/annex).</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1" w:name="X444f0cc7981cc47da1496fc7f9a9f36bfe900c0"/>
      <w:r>
        <w:t xml:space="preserve">Granularity</w:t>
      </w:r>
      <w:bookmarkEnd w:id="101"/>
    </w:p>
    <w:p>
      <w:pPr>
        <w:pStyle w:val="FirstParagraph"/>
      </w:pPr>
      <w:r>
        <w:t xml:space="preserve">A WCMP record provides a description at the granularity of a dataset, which facilitates clearer</w:t>
      </w:r>
      <w:r>
        <w:t xml:space="preserve"> </w:t>
      </w:r>
      <w:r>
        <w:t xml:space="preserve">cataloguing and discovery workflow, in combination with data services or APIs, which provide</w:t>
      </w:r>
      <w:r>
        <w:t xml:space="preserve"> </w:t>
      </w:r>
      <w:r>
        <w:t xml:space="preserve">access/query/filter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"http://codes.wmo.int/grib2/codeflag/_4.2"</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/rec/core/granularity</w:t>
            </w:r>
          </w:p>
        </w:tc>
      </w:tr>
      <w:tr>
        <w:tc>
          <w:p>
            <w:pPr>
              <w:jc w:val="left"/>
            </w:pPr>
            <w:r>
              <w:t xml:space="preserve">A</w:t>
            </w:r>
          </w:p>
        </w:tc>
        <w:tc>
          <w:p>
            <w:pPr>
              <w:jc w:val="left"/>
            </w:pPr>
            <w:r>
              <w:t xml:space="preserve">A WCMP record SHOULD provide a high level description of a dataset to facilitate simple information search queries.</w:t>
            </w:r>
          </w:p>
        </w:tc>
      </w:tr>
      <w:tr>
        <w:tc>
          <w:p>
            <w:pPr>
              <w:jc w:val="left"/>
            </w:pPr>
            <w:r>
              <w:t xml:space="preserve">B</w:t>
            </w:r>
          </w:p>
        </w:tc>
        <w:tc>
          <w:p>
            <w:pPr>
              <w:jc w:val="left"/>
            </w:pPr>
            <w:r>
              <w:t xml:space="preserve">A WCMP record SHOULD provide enough information to facilitate further interaction with a dataset (parameters, variables, spatiotemporal dimensions) as part of an associated service or capability.</w:t>
            </w:r>
          </w:p>
        </w:tc>
      </w:tr>
      <w:tr>
        <w:tc>
          <w:p>
            <w:pPr>
              <w:jc w:val="left"/>
            </w:pPr>
            <w:r>
              <w:t xml:space="preserve">C</w:t>
            </w:r>
          </w:p>
        </w:tc>
        <w:tc>
          <w:p>
            <w:pPr>
              <w:jc w:val="left"/>
            </w:pPr>
            <w:r>
              <w:t xml:space="preserve">A WCMP record SHOULD describe dataset parameters and variables as themes/concepts with an associated vocabulary</w:t>
            </w:r>
            <w:r>
              <w:t xml:space="preserve"> </w:t>
            </w:r>
            <w:hyperlink w:anchor="themes">
              <w:r>
                <w:rPr>
                  <w:rStyle w:val="Hyperlink"/>
                </w:rPr>
                <w:t xml:space="preserve">Themes and Topic Hierarchy</w:t>
              </w:r>
            </w:hyperlink>
            <w:r>
              <w:t xml:space="preserve">.</w:t>
            </w:r>
          </w:p>
        </w:tc>
      </w:tr>
      <w:tr>
        <w:tc>
          <w:p>
            <w:pPr>
              <w:jc w:val="left"/>
            </w:pPr>
            <w:r>
              <w:t xml:space="preserve">C</w:t>
            </w:r>
          </w:p>
        </w:tc>
        <w:tc>
          <w:p>
            <w:pPr>
              <w:jc w:val="left"/>
            </w:pPr>
            <w:r>
              <w:t xml:space="preserve">When dataset properties (parameters, variables, spatiotemporal extents) are made available via a data service or API, a WCMP record SHOULD provide templated links to facilitate easier data query/filter</w:t>
            </w:r>
            <w:r>
              <w:t xml:space="preserve"> </w:t>
            </w:r>
            <w:hyperlink w:anchor="distribution">
              <w:r>
                <w:rPr>
                  <w:rStyle w:val="Hyperlink"/>
                </w:rPr>
                <w:t xml:space="preserve">Distribution Information</w:t>
              </w:r>
            </w:hyperlink>
            <w:r>
              <w:t xml:space="preserve">.</w:t>
            </w:r>
          </w:p>
        </w:tc>
      </w:tr>
    </w:tbl>
    <w:p>
      <w:pPr>
        <w:pStyle w:val="Heading3"/>
      </w:pPr>
      <w:bookmarkStart w:id="102" w:name="X308bfe473ee20a8b70bcf19a3157dd310a3e83c"/>
      <w:r>
        <w:t xml:space="preserve">Identifier</w:t>
      </w:r>
      <w:bookmarkEnd w:id="102"/>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a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contain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contain a</w:t>
            </w:r>
            <w:r>
              <w:t xml:space="preserve"> </w:t>
            </w:r>
            <w:r>
              <w:rPr>
                <w:rStyle w:val="VerbatimChar"/>
              </w:rPr>
              <w:t xml:space="preserve">centre_id</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103" w:name="X863352c0a208a97f96d5316c8b110d03a11946f"/>
      <w:r>
        <w:t xml:space="preserve">Conformance</w:t>
      </w:r>
      <w:bookmarkEnd w:id="103"/>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104" w:name="X5f04a09c9b33d9ad8b2a9841bb08b741ed45545"/>
      <w:r>
        <w:t xml:space="preserve">Properties Type</w:t>
      </w:r>
      <w:bookmarkEnd w:id="104"/>
    </w:p>
    <w:p>
      <w:pPr>
        <w:pStyle w:val="FirstParagraph"/>
      </w:pPr>
      <w:r>
        <w:t xml:space="preserve">WCMP records provide descriptive information about a number of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p>
      <w:pPr>
        <w:pStyle w:val="FirstParagraph"/>
      </w:pPr>
      <w:r>
        <w:t xml:space="preserve">TODO: create and refer to WCMP2 codelist?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105" w:name="Xa5ea5b3b1ac0cb74d7c11d9f0702f0727c362b8"/>
      <w:r>
        <w:t xml:space="preserve">Title</w:t>
      </w:r>
      <w:bookmarkEnd w:id="105"/>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06" w:name="X27c2861bd8994dab347b4afc4625910fe21ec65"/>
      <w:r>
        <w:t xml:space="preserve">Description</w:t>
      </w:r>
      <w:bookmarkEnd w:id="106"/>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resource the provider wishes to make discoverable.</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07" w:name="X531796add42fad545194fbf0ae86da68e89d0c9"/>
      <w:r>
        <w:t xml:space="preserve">Keywords</w:t>
      </w:r>
      <w:bookmarkEnd w:id="107"/>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08" w:name="themes"/>
      <w:r>
        <w:t xml:space="preserve">Themes and Topic Hierarchy</w:t>
      </w:r>
      <w:bookmarkEnd w:id="108"/>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09" w:name="X2bf3872efc18f92f754db8be93d1ba8324115be"/>
      <w:r>
        <w:t xml:space="preserve">Geospatial and Temporal Extents</w:t>
      </w:r>
      <w:bookmarkEnd w:id="109"/>
    </w:p>
    <w:p>
      <w:pPr>
        <w:pStyle w:val="Heading4"/>
      </w:pPr>
      <w:bookmarkStart w:id="110" w:name="X35a334403f938723739025300a4eafb7282eb26"/>
      <w:r>
        <w:t xml:space="preserve">Geospatial Extent</w:t>
      </w:r>
      <w:bookmarkEnd w:id="110"/>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11" w:name="X3ef0ec9863efeeaa922c5d391305a481c050bfa"/>
      <w:r>
        <w:t xml:space="preserve">Additional Geospatial Extents</w:t>
      </w:r>
      <w:bookmarkEnd w:id="111"/>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1..n minimum bounding geometries for a given dataset, where:</w:t>
      </w:r>
    </w:p>
    <w:p>
      <w:pPr>
        <w:numPr>
          <w:numId w:val="1018"/>
          <w:ilvl w:val="0"/>
        </w:numPr>
      </w:pPr>
      <w:r>
        <w:t xml:space="preserve">minx: westernmost coordinate of the limit of the dataset extent, expressed in longitude decimal degrees as a</w:t>
      </w:r>
      <w:r>
        <w:t xml:space="preserve"> </w:t>
      </w:r>
      <w:r>
        <w:t xml:space="preserve">signed number between -180 and 180, less than or equal to maxx</w:t>
      </w:r>
    </w:p>
    <w:p>
      <w:pPr>
        <w:numPr>
          <w:numId w:val="1018"/>
          <w:ilvl w:val="0"/>
        </w:numPr>
      </w:pPr>
      <w:r>
        <w:t xml:space="preserve">miny: southernmost coordinate of the limit of the dataset extent, expressed in latitude decimal degrees as a</w:t>
      </w:r>
      <w:r>
        <w:t xml:space="preserve"> </w:t>
      </w:r>
      <w:r>
        <w:t xml:space="preserve">signed number between -90 and 90, less than or equal to maxy</w:t>
      </w:r>
    </w:p>
    <w:p>
      <w:pPr>
        <w:numPr>
          <w:numId w:val="1018"/>
          <w:ilvl w:val="0"/>
        </w:numPr>
      </w:pPr>
      <w:r>
        <w:t xml:space="preserve">maxx: easternmost coordinate of the limit of the dataset extent, expressed in longitude decimal degrees as a</w:t>
      </w:r>
      <w:r>
        <w:t xml:space="preserve"> </w:t>
      </w:r>
      <w:r>
        <w:t xml:space="preserve">signed number between -180 and 180, greater than or equal to minx</w:t>
      </w:r>
    </w:p>
    <w:p>
      <w:pPr>
        <w:numPr>
          <w:numId w:val="1018"/>
          <w:ilvl w:val="0"/>
        </w:numPr>
      </w:pPr>
      <w:r>
        <w:t xml:space="preserve">maxy: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12" w:name="X588a05d06ef6be52311cc5cfafec95f7fa5aa17"/>
      <w:r>
        <w:t xml:space="preserve">Temporal Extent</w:t>
      </w:r>
      <w:bookmarkEnd w:id="112"/>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13" w:name="X722e1c46ae3e0b90d914a68f0ef7f90696f916d"/>
      <w:r>
        <w:t xml:space="preserve">Additional Temporal Extents</w:t>
      </w:r>
      <w:bookmarkEnd w:id="113"/>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measured/generated/reported.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14" w:name="X0b7d3b31fd050620ddeac2b3c5dc4790707dca0"/>
      <w:r>
        <w:t xml:space="preserve">Providers</w:t>
      </w:r>
      <w:bookmarkEnd w:id="114"/>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"individual"</w:t>
      </w:r>
      <w:r>
        <w:rPr>
          <w:rStyle w:val="FunctionTok"/>
        </w:rPr>
        <w:t xml:space="preserve">:</w:t>
      </w:r>
      <w:r>
        <w:rPr>
          <w:rStyle w:val="NormalTok"/>
        </w:rPr>
        <w:t xml:space="preserve"> </w:t>
      </w:r>
      <w:r>
        <w:rPr>
          <w:rStyle w:val="StringTok"/>
        </w:rPr>
        <w:t xml:space="preserve">"National Inquiry Response Team / </w:t>
      </w:r>
      <w:r>
        <w:rPr>
          <w:rStyle w:val="CharTok"/>
        </w:rPr>
        <w:t xml:space="preserve">\u00c9</w:t>
      </w:r>
      <w:r>
        <w:rPr>
          <w:rStyle w:val="StringTok"/>
        </w:rPr>
        <w:t xml:space="preserve">quipe nationale de r</w:t>
      </w:r>
      <w:r>
        <w:rPr>
          <w:rStyle w:val="CharTok"/>
        </w:rPr>
        <w:t xml:space="preserve">\u00e9</w:t>
      </w:r>
      <w:r>
        <w:rPr>
          <w:rStyle w:val="StringTok"/>
        </w:rPr>
        <w:t xml:space="preserve">ponse des demandes du public"</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"+01-506-451-6010"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(TODO: validation required roles) (TODO: codelist?). Providers are defined as either a URI or inline.</w:t>
            </w:r>
          </w:p>
        </w:tc>
      </w:tr>
    </w:tbl>
    <w:p>
      <w:pPr>
        <w:pStyle w:val="Heading3"/>
      </w:pPr>
      <w:bookmarkStart w:id="115" w:name="Xbe84a4e4fc72b0fc9f958f069279ff01f30498d"/>
      <w:r>
        <w:t xml:space="preserve">Version</w:t>
      </w:r>
      <w:bookmarkEnd w:id="115"/>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16" w:name="X25c8273b4c85b421897010e0ed5f49f55f6aa85"/>
      <w:r>
        <w:t xml:space="preserve">Digital Object Identifier</w:t>
      </w:r>
      <w:bookmarkEnd w:id="116"/>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17" w:name="X4a4f187431fc3409d2ffbccf4d6efd6fc8f5de1"/>
      <w:r>
        <w:t xml:space="preserve">Record Creation Date</w:t>
      </w:r>
      <w:bookmarkEnd w:id="117"/>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18" w:name="Xb24039ba8f38ed0b6986961719c4ce0528fcee3"/>
      <w:r>
        <w:t xml:space="preserve">Record Update Date</w:t>
      </w:r>
      <w:bookmarkEnd w:id="118"/>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19" w:name="X557cd1acbf1acf027bc1eefebffa09fd7621f48"/>
      <w:r>
        <w:t xml:space="preserve">WMO Data Policy</w:t>
      </w:r>
      <w:bookmarkEnd w:id="119"/>
    </w:p>
    <w:p>
      <w:pPr>
        <w:pStyle w:val="FirstParagraph"/>
      </w:pPr>
      <w:r>
        <w:t xml:space="preserve">Based on the WMO Unified Data Policy for the International Exchange of Earth System Data (Resolution 1 (Cg-Ext(2021)</w:t>
      </w:r>
      <w:r>
        <w:t xml:space="preserve"> </w:t>
      </w:r>
      <w:r>
        <w:rPr>
          <w:rStyle w:val="FootnoteReference"/>
        </w:rPr>
        <w:footnoteReference w:id="120"/>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1..n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21" w:name="distribution"/>
      <w:r>
        <w:t xml:space="preserve">Distribution Information</w:t>
      </w:r>
      <w:bookmarkEnd w:id="121"/>
    </w:p>
    <w:p>
      <w:pPr>
        <w:pStyle w:val="Heading4"/>
      </w:pPr>
      <w:bookmarkStart w:id="122" w:name="X322101054fd636c32d6869f7cfec83424c5280c"/>
      <w:r>
        <w:t xml:space="preserve">Overview</w:t>
      </w:r>
      <w:bookmarkEnd w:id="122"/>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23" w:name="X7f2d3170ba1313fe186a133a9c36acebf07ba9f"/>
      <w:r>
        <w:t xml:space="preserve">Examples</w:t>
      </w:r>
      <w:bookmarkEnd w:id="123"/>
    </w:p>
    <w:p>
      <w:pPr>
        <w:numPr>
          <w:numId w:val="1019"/>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20"/>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1"/>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 defined in (TODO add the reference to the topic hierarchy documentation).</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finding and choosing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1"/>
      </w:pPr>
      <w:bookmarkStart w:id="124" w:name="X78fdb1f4716baf4c26796c550dad0531813f831"/>
      <w:r>
        <w:t xml:space="preserve">Conformance Class Abstract Test Suite (Normative)</w:t>
      </w:r>
      <w:bookmarkEnd w:id="124"/>
    </w:p>
    <w:p>
      <w:pPr>
        <w:pStyle w:val="Heading2"/>
      </w:pPr>
      <w:bookmarkStart w:id="125" w:name="Xf5e33246fc357dd59e783ff5116aed1d0d78d2d"/>
      <w:r>
        <w:t xml:space="preserve">Conformance Class: Core</w:t>
      </w:r>
      <w:bookmarkEnd w:id="125"/>
    </w:p>
    <w:p>
      <w:pPr>
        <w:pStyle w:val="DefinitionTerm"/>
      </w:pPr>
      <w:r>
        <w:t xml:space="preserve">label</w:t>
      </w:r>
    </w:p>
    <w:p>
      <w:pPr>
        <w:pStyle w:val="Definition"/>
      </w:pPr>
      <w:hyperlink r:id="rId126">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27" w:name="Xd66068c09e2a54a50a68955949a313d0b938175"/>
      <w:r>
        <w:t xml:space="preserve">Validation</w:t>
      </w:r>
      <w:bookmarkEnd w:id="127"/>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28" w:name="X8749fcc5d010c03aaa11d4f982116a6b2a782f3"/>
      <w:r>
        <w:t xml:space="preserve">Identifier</w:t>
      </w:r>
      <w:bookmarkEnd w:id="128"/>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country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is a centre id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29" w:name="X9fdb21ee96995d5f930cb0780bfaebc67434759"/>
      <w:r>
        <w:t xml:space="preserve">Conformance</w:t>
      </w:r>
      <w:bookmarkEnd w:id="129"/>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30" w:name="X6d4483cd4117b18fd4d8ff151fa98101d4d85c3"/>
      <w:r>
        <w:t xml:space="preserve">Type</w:t>
      </w:r>
      <w:bookmarkEnd w:id="130"/>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31" w:name="X2cd138ec2cc1e8f3c389d6ae274f3ec62d714cc"/>
      <w:r>
        <w:t xml:space="preserve">Geospatial Extent</w:t>
      </w:r>
      <w:bookmarkEnd w:id="131"/>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32" w:name="X6c3b14e82bcb4c6134ba775eeba7bab4a353527"/>
      <w:r>
        <w:t xml:space="preserve">Temporal Extent</w:t>
      </w:r>
      <w:bookmarkEnd w:id="132"/>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33" w:name="X0a430a0c5c504d76b118ea54558acec27256b59"/>
      <w:r>
        <w:t xml:space="preserve">Title</w:t>
      </w:r>
      <w:bookmarkEnd w:id="133"/>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34" w:name="X7934b6c03a8d6c6c2556b1e1383ef13f8696932"/>
      <w:r>
        <w:t xml:space="preserve">Description</w:t>
      </w:r>
      <w:bookmarkEnd w:id="134"/>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35" w:name="X29386c09e6e2b80dd6f364285a925f5d3d1e217"/>
      <w:r>
        <w:t xml:space="preserve">Themes and Topic Hierarchy</w:t>
      </w:r>
      <w:bookmarkEnd w:id="135"/>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36" w:name="X10bbdd08a0596b7fce788907ef606d3a8bd26e3"/>
      <w:r>
        <w:t xml:space="preserve">Providers</w:t>
      </w:r>
      <w:bookmarkEnd w:id="136"/>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37" w:name="X6e3f6d99fb72f835feb7e64501c55e720e6e2db"/>
      <w:r>
        <w:t xml:space="preserve">Record Creation Date</w:t>
      </w:r>
      <w:bookmarkEnd w:id="137"/>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38" w:name="X21c7b5370852b1fa2e853687712a99110019d5a"/>
      <w:r>
        <w:t xml:space="preserve">Record Update Date</w:t>
      </w:r>
      <w:bookmarkEnd w:id="138"/>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39" w:name="X694da1ab5763c16ee6c6ac21f8da5c800ce07b3"/>
      <w:r>
        <w:t xml:space="preserve">WMO Data Policy</w:t>
      </w:r>
      <w:bookmarkEnd w:id="139"/>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40" w:name="X1d7673d1972ef78546ac031bb8b3bfe7ca8f8ab"/>
      <w:r>
        <w:t xml:space="preserve">Links</w:t>
      </w:r>
      <w:bookmarkEnd w:id="140"/>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Heading1"/>
      </w:pPr>
      <w:bookmarkStart w:id="141" w:name="Codelists"/>
      <w:r>
        <w:t xml:space="preserve">Codelists</w:t>
      </w:r>
      <w:bookmarkEnd w:id="141"/>
    </w:p>
    <w:p>
      <w:pPr>
        <w:pStyle w:val="Heading1"/>
      </w:pPr>
      <w:bookmarkStart w:id="142" w:name="Bibliography"/>
      <w:r>
        <w:t xml:space="preserve">Bibliography</w:t>
      </w:r>
      <w:bookmarkEnd w:id="142"/>
    </w:p>
    <w:p>
      <w:pPr>
        <w:numPr>
          <w:numId w:val="1022"/>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2"/>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2"/>
          <w:ilvl w:val="0"/>
        </w:numPr>
      </w:pPr>
      <w:r>
        <w:t xml:space="preserve">W3C: Data Catalog Vocabulary, W3C Recommendation 16 January 2014,</w:t>
      </w:r>
      <w:r>
        <w:t xml:space="preserve"> </w:t>
      </w:r>
      <w:hyperlink r:id="rId55">
        <w:r>
          <w:rPr>
            <w:rStyle w:val="Hyperlink"/>
          </w:rPr>
          <w:t xml:space="preserve">https://www.w3.org/TR/vocab-dcat</w:t>
        </w:r>
      </w:hyperlink>
    </w:p>
    <w:p>
      <w:pPr>
        <w:numPr>
          <w:numId w:val="1022"/>
          <w:ilvl w:val="0"/>
        </w:numPr>
      </w:pPr>
      <w:r>
        <w:t xml:space="preserve">IANA: Link Relation Types,</w:t>
      </w:r>
      <w:r>
        <w:t xml:space="preserve"> </w:t>
      </w:r>
      <w:hyperlink r:id="rId57">
        <w:r>
          <w:rPr>
            <w:rStyle w:val="Hyperlink"/>
          </w:rPr>
          <w:t xml:space="preserve">https://www.iana.org/assignments/link-relations/link-relations.xml</w:t>
        </w:r>
      </w:hyperlink>
    </w:p>
    <w:p>
      <w:pPr>
        <w:numPr>
          <w:numId w:val="1022"/>
          <w:ilvl w:val="0"/>
        </w:numPr>
      </w:pPr>
      <w:r>
        <w:t xml:space="preserve">Linux Foundation: SPDX License List,</w:t>
      </w:r>
      <w:r>
        <w:t xml:space="preserve"> </w:t>
      </w:r>
      <w:hyperlink r:id="rId59">
        <w:r>
          <w:rPr>
            <w:rStyle w:val="Hyperlink"/>
          </w:rPr>
          <w:t xml:space="preserve">https://spdx.org/licenses</w:t>
        </w:r>
      </w:hyperlink>
    </w:p>
    <w:p>
      <w:pPr>
        <w:pStyle w:val="Heading1"/>
      </w:pPr>
      <w:bookmarkStart w:id="143" w:name="X7704236ba72ed8cc2b9a9e238d27c640b9b6528"/>
      <w:r>
        <w:t xml:space="preserve">Revision History</w:t>
      </w:r>
      <w:bookmarkEnd w:id="143"/>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76">
    <w:p>
      <w:pPr>
        <w:pStyle w:val="FootnoteText"/>
      </w:pPr>
      <w:r>
        <w:rPr>
          <w:rStyle w:val="FootnoteReference"/>
        </w:rPr>
        <w:footnoteRef/>
      </w:r>
      <w:r>
        <w:t xml:space="preserve"> </w:t>
      </w:r>
      <w:hyperlink r:id="rId61">
        <w:r>
          <w:rPr>
            <w:rStyle w:val="Hyperlink"/>
          </w:rPr>
          <w:t xml:space="preserve">https://json-schema.org</w:t>
        </w:r>
      </w:hyperlink>
    </w:p>
  </w:footnote>
  <w:footnote w:id="77">
    <w:p>
      <w:pPr>
        <w:pStyle w:val="FootnoteText"/>
      </w:pPr>
      <w:r>
        <w:rPr>
          <w:rStyle w:val="FootnoteReference"/>
        </w:rPr>
        <w:footnoteRef/>
      </w:r>
      <w:r>
        <w:t xml:space="preserve"> </w:t>
      </w:r>
      <w:hyperlink r:id="rId78">
        <w:r>
          <w:rPr>
            <w:rStyle w:val="Hyperlink"/>
          </w:rPr>
          <w:t xml:space="preserve">https://en.wikipedia.org/wiki/YAML</w:t>
        </w:r>
      </w:hyperlink>
    </w:p>
  </w:footnote>
  <w:footnote w:id="87">
    <w:p>
      <w:pPr>
        <w:pStyle w:val="FootnoteText"/>
      </w:pPr>
      <w:r>
        <w:rPr>
          <w:rStyle w:val="FootnoteReference"/>
        </w:rPr>
        <w:footnoteRef/>
      </w:r>
      <w:r>
        <w:t xml:space="preserve"> </w:t>
      </w:r>
      <w:hyperlink r:id="rId88">
        <w:r>
          <w:rPr>
            <w:rStyle w:val="Hyperlink"/>
          </w:rPr>
          <w:t xml:space="preserve">https://github.com/wmo-im/wcmp/issues/107</w:t>
        </w:r>
      </w:hyperlink>
    </w:p>
  </w:footnote>
  <w:footnote w:id="92">
    <w:p>
      <w:pPr>
        <w:pStyle w:val="FootnoteText"/>
      </w:pPr>
      <w:r>
        <w:rPr>
          <w:rStyle w:val="FootnoteReference"/>
        </w:rPr>
        <w:footnoteRef/>
      </w:r>
      <w:r>
        <w:t xml:space="preserve"> </w:t>
      </w:r>
      <w:hyperlink r:id="rId93">
        <w:r>
          <w:rPr>
            <w:rStyle w:val="Hyperlink"/>
          </w:rPr>
          <w:t xml:space="preserve">https://gisc.dwd.de/wis2.0/WIS_2.0_final.mp4</w:t>
        </w:r>
      </w:hyperlink>
    </w:p>
  </w:footnote>
  <w:footnote w:id="120">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5" Target="media/rId85.png" /><Relationship Type="http://schemas.openxmlformats.org/officeDocument/2006/relationships/hyperlink" Id="rId70" Target="http://wis.wmo.int/spec/wcmp/2.0" TargetMode="External" /><Relationship Type="http://schemas.openxmlformats.org/officeDocument/2006/relationships/hyperlink" Id="rId126" Target="http://www.wmo.int/spec/wcmp/2.0/conf/core" TargetMode="External" /><Relationship Type="http://schemas.openxmlformats.org/officeDocument/2006/relationships/hyperlink" Id="rId99"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8" Target="https://en.wikipedia.org/wiki/YAML" TargetMode="External" /><Relationship Type="http://schemas.openxmlformats.org/officeDocument/2006/relationships/hyperlink" Id="rId93" Target="https://gisc.dwd.de/wis2.0/WIS_2.0_final.mp4" TargetMode="External" /><Relationship Type="http://schemas.openxmlformats.org/officeDocument/2006/relationships/hyperlink" Id="rId88"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5" Target="https://portal.ogc.org/public_ogc/directives/directives.php" TargetMode="External" /><Relationship Type="http://schemas.openxmlformats.org/officeDocument/2006/relationships/hyperlink" Id="rId66" Target="https://portal.opengeospatial.org/files/?artifact_id=34762" TargetMode="External" /><Relationship Type="http://schemas.openxmlformats.org/officeDocument/2006/relationships/hyperlink" Id="rId72" Target="https://schemas.wmo.int/wcmp/2.0/examples" TargetMode="External" /><Relationship Type="http://schemas.openxmlformats.org/officeDocument/2006/relationships/hyperlink" Id="rId74"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0" Target="http://wis.wmo.int/spec/wcmp/2.0" TargetMode="External" /><Relationship Type="http://schemas.openxmlformats.org/officeDocument/2006/relationships/hyperlink" Id="rId126" Target="http://www.wmo.int/spec/wcmp/2.0/conf/core" TargetMode="External" /><Relationship Type="http://schemas.openxmlformats.org/officeDocument/2006/relationships/hyperlink" Id="rId99"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8" Target="https://en.wikipedia.org/wiki/YAML" TargetMode="External" /><Relationship Type="http://schemas.openxmlformats.org/officeDocument/2006/relationships/hyperlink" Id="rId93" Target="https://gisc.dwd.de/wis2.0/WIS_2.0_final.mp4" TargetMode="External" /><Relationship Type="http://schemas.openxmlformats.org/officeDocument/2006/relationships/hyperlink" Id="rId88"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5" Target="https://portal.ogc.org/public_ogc/directives/directives.php" TargetMode="External" /><Relationship Type="http://schemas.openxmlformats.org/officeDocument/2006/relationships/hyperlink" Id="rId66" Target="https://portal.opengeospatial.org/files/?artifact_id=34762" TargetMode="External" /><Relationship Type="http://schemas.openxmlformats.org/officeDocument/2006/relationships/hyperlink" Id="rId72" Target="https://schemas.wmo.int/wcmp/2.0/examples" TargetMode="External" /><Relationship Type="http://schemas.openxmlformats.org/officeDocument/2006/relationships/hyperlink" Id="rId74"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2022-08-13T12:09:17Z</dcterms:created>
  <dcterms:modified xsi:type="dcterms:W3CDTF">2022-08-13T12:09:17Z</dcterms:modified>
</cp:coreProperties>
</file>

<file path=docProps/custom.xml><?xml version="1.0" encoding="utf-8"?>
<Properties xmlns="http://schemas.openxmlformats.org/officeDocument/2006/custom-properties" xmlns:vt="http://schemas.openxmlformats.org/officeDocument/2006/docPropsVTypes"/>
</file>