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240" w:before="0"/>
        <w:jc w:val="center"/>
      </w:pPr>
      <w:r>
        <w:rPr>
          <w:rFonts w:ascii="Arial" w:cs="Arial" w:eastAsia="Arial" w:hAnsi="Arial"/>
          <w:b/>
          <w:bCs/>
          <w:color w:val="2E4A6E"/>
          <w:sz w:val="52"/>
          <w:szCs w:val="52"/>
        </w:rPr>
        <w:t xml:space="preserve">Individual Component Report</w:t>
      </w:r>
    </w:p>
    <w:p>
      <w:pPr>
        <w:spacing w:after="160" w:before="0"/>
        <w:jc w:val="center"/>
      </w:pPr>
      <w:r>
        <w:rPr>
          <w:rFonts w:ascii="Arial" w:cs="Arial" w:eastAsia="Arial" w:hAnsi="Arial"/>
          <w:color w:val="4A6A8E"/>
          <w:sz w:val="30"/>
          <w:szCs w:val="30"/>
        </w:rPr>
        <w:t xml:space="preserve">LLM-Based Test Case Generation &amp; Comparison</w:t>
      </w:r>
    </w:p>
    <w:p>
      <w:pPr>
        <w:spacing w:after="80" w:before="0"/>
        <w:jc w:val="center"/>
      </w:pPr>
      <w:r>
        <w:rPr>
          <w:rFonts w:ascii="Arial" w:cs="Arial" w:eastAsia="Arial" w:hAnsi="Arial"/>
          <w:color w:val="666666"/>
          <w:sz w:val="24"/>
          <w:szCs w:val="24"/>
        </w:rPr>
        <w:t xml:space="preserve">21 CFR Part 117.130 — Hazard Analysis Requirements</w:t>
      </w:r>
    </w:p>
    <w:p>
      <w:pPr>
        <w:pBdr>
          <w:bottom w:val="single" w:color="CCCCCC" w:sz="4" w:space="1"/>
        </w:pBdr>
        <w:spacing w:after="120" w:before="120"/>
      </w:pPr>
    </w:p>
    <w:p>
      <w:pPr>
        <w:spacing w:after="80" w:before="80"/>
        <w:jc w:val="center"/>
      </w:pPr>
      <w:r>
        <w:rPr>
          <w:rFonts w:ascii="Arial" w:cs="Arial" w:eastAsia="Arial" w:hAnsi="Arial"/>
          <w:color w:val="888888"/>
          <w:sz w:val="20"/>
          <w:szCs w:val="20"/>
        </w:rPr>
        <w:t xml:space="preserve">Verification &amp; Validation — SQA 2026 | Auburn University</w:t>
      </w:r>
    </w:p>
    <w:p>
      <w:pPr>
        <w:spacing w:after="40" w:before="40"/>
        <w:jc w:val="center"/>
      </w:pPr>
      <w:r>
        <w:rPr>
          <w:rFonts w:ascii="Arial" w:cs="Arial" w:eastAsia="Arial" w:hAnsi="Arial"/>
          <w:color w:val="888888"/>
          <w:sz w:val="20"/>
          <w:szCs w:val="20"/>
        </w:rPr>
        <w:t xml:space="preserve">April 2026</w:t>
      </w:r>
    </w:p>
    <w:p>
      <w:pPr>
        <w:spacing w:after="0" w:before="480"/>
      </w:pPr>
    </w:p>
    <w:p>
      <w:pPr>
        <w:pStyle w:val="Heading1"/>
        <w:spacing w:after="180" w:before="360"/>
      </w:pPr>
      <w:r>
        <w:rPr>
          <w:rFonts w:ascii="Arial" w:cs="Arial" w:eastAsia="Arial" w:hAnsi="Arial"/>
          <w:b/>
          <w:bCs/>
          <w:color w:val="2E4A6E"/>
          <w:sz w:val="32"/>
          <w:szCs w:val="32"/>
        </w:rPr>
        <w:t xml:space="preserve">1. Overview</w:t>
      </w:r>
    </w:p>
    <w:p>
      <w:pPr>
        <w:spacing w:after="80" w:before="80"/>
      </w:pPr>
      <w:r>
        <w:rPr>
          <w:rFonts w:ascii="Arial" w:cs="Arial" w:eastAsia="Arial" w:hAnsi="Arial"/>
          <w:sz w:val="20"/>
          <w:szCs w:val="20"/>
        </w:rPr>
        <w:t xml:space="preserve">This report fulfills the individual component (40 points) of the CFR_TEST Verification and Validation project. The objective was to generate LLM-based test cases for five selected requirements from 21 CFR Part 117.130 using two different models — Mistral (via the Mistral API) and a quantized variant (Mistral 7B Q4_K_M via Ollama) — and to compare their outputs across three evaluation criteria: coverage, correctness, and completeness.</w:t>
      </w:r>
    </w:p>
    <w:p>
      <w:pPr>
        <w:spacing w:after="0" w:before="60"/>
      </w:pPr>
    </w:p>
    <w:p>
      <w:pPr>
        <w:pStyle w:val="Heading2"/>
        <w:spacing w:after="120" w:before="240"/>
      </w:pPr>
      <w:r>
        <w:rPr>
          <w:rFonts w:ascii="Arial" w:cs="Arial" w:eastAsia="Arial" w:hAnsi="Arial"/>
          <w:b/>
          <w:bCs/>
          <w:color w:val="1A3A5C"/>
          <w:sz w:val="26"/>
          <w:szCs w:val="26"/>
        </w:rPr>
        <w:t xml:space="preserve">1.1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4A6E" w:sz="1"/>
              <w:left w:val="single" w:color="2E4A6E" w:sz="1"/>
              <w:bottom w:val="single" w:color="2E4A6E" w:sz="1"/>
              <w:right w:val="single" w:color="2E4A6E" w:sz="1"/>
            </w:tcBorders>
            <w:shd w:fill="2E4A6E"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280"/>
            <w:tcBorders>
              <w:top w:val="single" w:color="2E4A6E" w:sz="1"/>
              <w:left w:val="single" w:color="2E4A6E" w:sz="1"/>
              <w:bottom w:val="single" w:color="2E4A6E" w:sz="1"/>
              <w:right w:val="single" w:color="2E4A6E" w:sz="1"/>
            </w:tcBorders>
            <w:shd w:fill="2E4A6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80"/>
            <w:tcBorders>
              <w:top w:val="single" w:color="2E4A6E" w:sz="1"/>
              <w:left w:val="single" w:color="2E4A6E" w:sz="1"/>
              <w:bottom w:val="single" w:color="2E4A6E" w:sz="1"/>
              <w:right w:val="single" w:color="2E4A6E" w:sz="1"/>
            </w:tcBorders>
            <w:shd w:fill="2E4A6E" w:val="clear"/>
            <w:tcMar>
              <w:top w:type="dxa" w:w="80"/>
              <w:left w:type="dxa" w:w="120"/>
              <w:bottom w:type="dxa" w:w="80"/>
              <w:right w:type="dxa" w:w="120"/>
            </w:tcMar>
          </w:tcPr>
          <w:p>
            <w:r>
              <w:rPr>
                <w:rFonts w:ascii="Arial" w:cs="Arial" w:eastAsia="Arial" w:hAnsi="Arial"/>
                <w:b/>
                <w:bCs/>
                <w:color w:val="FFFFFF"/>
                <w:sz w:val="20"/>
                <w:szCs w:val="20"/>
              </w:rPr>
              <w:t xml:space="preserve">Access Method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Mistral (API)</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mistral-large-latest</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Mistral REST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Quantized Mistral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mistral:7b-instruct-q4_K_M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(local)</w:t>
            </w:r>
          </w:p>
        </w:tc>
      </w:tr>
    </w:tbl>
    <w:p>
      <w:pPr>
        <w:spacing w:after="0" w:before="120"/>
      </w:pPr>
    </w:p>
    <w:p>
      <w:pPr>
        <w:pStyle w:val="Heading2"/>
        <w:spacing w:after="120" w:before="240"/>
      </w:pPr>
      <w:r>
        <w:rPr>
          <w:rFonts w:ascii="Arial" w:cs="Arial" w:eastAsia="Arial" w:hAnsi="Arial"/>
          <w:b/>
          <w:bCs/>
          <w:color w:val="1A3A5C"/>
          <w:sz w:val="26"/>
          <w:szCs w:val="26"/>
        </w:rPr>
        <w:t xml:space="preserve">1.2 Requirements Selected</w:t>
      </w:r>
    </w:p>
    <w:p>
      <w:pPr>
        <w:spacing w:after="60" w:before="60"/>
      </w:pPr>
      <w:r>
        <w:rPr>
          <w:rFonts w:ascii="Arial" w:cs="Arial" w:eastAsia="Arial" w:hAnsi="Arial"/>
          <w:sz w:val="20"/>
          <w:szCs w:val="20"/>
        </w:rPr>
        <w:t xml:space="preserve">Five atomic rules were selected from the parsed requirements.json for this individual task: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4A6E" w:sz="1"/>
              <w:left w:val="single" w:color="2E4A6E" w:sz="1"/>
              <w:bottom w:val="single" w:color="2E4A6E" w:sz="1"/>
              <w:right w:val="single" w:color="2E4A6E" w:sz="1"/>
            </w:tcBorders>
            <w:shd w:fill="2E4A6E"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7360"/>
            <w:tcBorders>
              <w:top w:val="single" w:color="2E4A6E" w:sz="1"/>
              <w:left w:val="single" w:color="2E4A6E" w:sz="1"/>
              <w:bottom w:val="single" w:color="2E4A6E" w:sz="1"/>
              <w:right w:val="single" w:color="2E4A6E" w:sz="1"/>
            </w:tcBorders>
            <w:shd w:fill="2E4A6E" w:val="clear"/>
            <w:tcMar>
              <w:top w:type="dxa" w:w="80"/>
              <w:left w:type="dxa" w:w="120"/>
              <w:bottom w:type="dxa" w:w="80"/>
              <w:right w:type="dxa" w:w="120"/>
            </w:tcMar>
          </w:tcPr>
          <w:p>
            <w:r>
              <w:rPr>
                <w:rFonts w:ascii="Arial" w:cs="Arial" w:eastAsia="Arial" w:hAnsi="Arial"/>
                <w:b/>
                <w:bCs/>
                <w:color w:val="FFFFFF"/>
                <w:sz w:val="20"/>
                <w:szCs w:val="20"/>
              </w:rPr>
              <w:t xml:space="preserve">Requirement Text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REQ-CFR-001A</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(a)(1) Conduct a hazard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REQ-CFR-001B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(a)(2) The hazard analysis must be written regardless of the outcome of the analysis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REQ-CFR-002A</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(b)(1)(i) Biological hazards, including microbiological hazards such as parasites, environmental pathogens, and other pathogens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REQ-CFR-002B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(b)(1)(ii) Chemical hazards, including radiological hazards, substances such as pesticide and drug residues, natural toxins, decomposition, unapproved food or color additives, and food allergens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bCs/>
                <w:sz w:val="19"/>
                <w:szCs w:val="19"/>
              </w:rPr>
              <w:t xml:space="preserve">REQ-CFR-003A</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9"/>
                <w:szCs w:val="19"/>
              </w:rPr>
              <w:t xml:space="preserve">(c)(1)(i) The hazard analysis must include an evaluation of the known or reasonably foreseeable hazards to assess the severity of the illness or injury if the hazard were to occur</w:t>
            </w:r>
          </w:p>
        </w:tc>
      </w:tr>
    </w:tbl>
    <w:p>
      <w:pPr>
        <w:spacing w:after="0" w:before="180"/>
      </w:pPr>
    </w:p>
    <w:p>
      <w:pPr>
        <w:pStyle w:val="Heading1"/>
        <w:spacing w:after="180" w:before="360"/>
      </w:pPr>
      <w:r>
        <w:rPr>
          <w:rFonts w:ascii="Arial" w:cs="Arial" w:eastAsia="Arial" w:hAnsi="Arial"/>
          <w:b/>
          <w:bCs/>
          <w:color w:val="2E4A6E"/>
          <w:sz w:val="32"/>
          <w:szCs w:val="32"/>
        </w:rPr>
        <w:t xml:space="preserve">2. Methodology</w:t>
      </w:r>
    </w:p>
    <w:p>
      <w:pPr>
        <w:spacing w:after="60" w:before="60"/>
      </w:pPr>
      <w:r>
        <w:rPr>
          <w:rFonts w:ascii="Arial" w:cs="Arial" w:eastAsia="Arial" w:hAnsi="Arial"/>
          <w:sz w:val="20"/>
          <w:szCs w:val="20"/>
        </w:rPr>
        <w:t xml:space="preserve">Test cases were generated by prompting each model with the requirement text and requesting structured JSON output conforming to the assignment schema. Both models received identical prompts. Mistral API was called via the official REST endpoint; quantized Mistral was run locally via Ollama. The evaluation was conducted using an automated comparison script (compare_llm_outputs.py) that assessed each test case across the three required criteria.</w:t>
      </w:r>
    </w:p>
    <w:p>
      <w:pPr>
        <w:spacing w:after="0" w:before="80"/>
      </w:pPr>
    </w:p>
    <w:p>
      <w:pPr>
        <w:spacing w:after="60" w:before="60"/>
      </w:pPr>
      <w:r>
        <w:rPr>
          <w:rFonts w:ascii="Arial" w:cs="Arial" w:eastAsia="Arial" w:hAnsi="Arial"/>
          <w:sz w:val="20"/>
          <w:szCs w:val="20"/>
        </w:rPr>
        <w:t xml:space="preserve">Note on framing: several generated test cases describe validation of a software system rather than directly quoting or paraphrasing the CFR requirement. This is an expected artifact of prompting language models with regulatory text — they tend to operationalize requirements as system behaviors. Test cases were evaluated for alignment to the underlying regulatory requirement regardless of whether the model framed the output as a system test or a compliance check.</w:t>
      </w:r>
    </w:p>
    <w:p>
      <w:pPr>
        <w:spacing w:after="0" w:before="80"/>
      </w:pPr>
    </w:p>
    <w:p>
      <w:pPr>
        <w:spacing w:after="60" w:before="60"/>
      </w:pPr>
      <w:r>
        <w:rPr>
          <w:rFonts w:ascii="Arial" w:cs="Arial" w:eastAsia="Arial" w:hAnsi="Arial"/>
          <w:sz w:val="20"/>
          <w:szCs w:val="20"/>
        </w:rPr>
        <w:t xml:space="preserve">Evaluation dimensions:</w:t>
      </w:r>
    </w:p>
    <w:p>
      <w:pPr>
        <w:pStyle w:val="ListParagraph"/>
        <w:numPr>
          <w:ilvl w:val="0"/>
          <w:numId w:val="2"/>
        </w:numPr>
        <w:spacing w:after="40" w:before="40"/>
      </w:pPr>
      <w:r>
        <w:rPr>
          <w:rFonts w:ascii="Arial" w:cs="Arial" w:eastAsia="Arial" w:hAnsi="Arial"/>
          <w:sz w:val="20"/>
          <w:szCs w:val="20"/>
        </w:rPr>
        <w:t xml:space="preserve">Coverage — Did the model produce at least one test case for each of the five requirements?</w:t>
      </w:r>
    </w:p>
    <w:p>
      <w:pPr>
        <w:pStyle w:val="ListParagraph"/>
        <w:numPr>
          <w:ilvl w:val="0"/>
          <w:numId w:val="2"/>
        </w:numPr>
        <w:spacing w:after="40" w:before="40"/>
      </w:pPr>
      <w:r>
        <w:rPr>
          <w:rFonts w:ascii="Arial" w:cs="Arial" w:eastAsia="Arial" w:hAnsi="Arial"/>
          <w:sz w:val="20"/>
          <w:szCs w:val="20"/>
        </w:rPr>
        <w:t xml:space="preserve">Correctness — Does the test case description meaningfully address what the requirement specifies? Assessed via keyword overlap ratio between the description/input fields and the requirement text (heuristic), supplemented by manual review.</w:t>
      </w:r>
    </w:p>
    <w:p>
      <w:pPr>
        <w:pStyle w:val="ListParagraph"/>
        <w:numPr>
          <w:ilvl w:val="0"/>
          <w:numId w:val="2"/>
        </w:numPr>
        <w:spacing w:after="40" w:before="40"/>
      </w:pPr>
      <w:r>
        <w:rPr>
          <w:rFonts w:ascii="Arial" w:cs="Arial" w:eastAsia="Arial" w:hAnsi="Arial"/>
          <w:sz w:val="20"/>
          <w:szCs w:val="20"/>
        </w:rPr>
        <w:t xml:space="preserve">Completeness — Are all five required fields present (test_case_id, requirement_id, description, input_data, expected_output)? Are optional fields (steps, notes) present and substantive?</w:t>
      </w:r>
    </w:p>
    <w:p>
      <w:pPr>
        <w:spacing w:after="0" w:before="180"/>
      </w:pPr>
    </w:p>
    <w:p>
      <w:pPr>
        <w:pStyle w:val="Heading1"/>
        <w:spacing w:after="180" w:before="360"/>
      </w:pPr>
      <w:r>
        <w:rPr>
          <w:rFonts w:ascii="Arial" w:cs="Arial" w:eastAsia="Arial" w:hAnsi="Arial"/>
          <w:b/>
          <w:bCs/>
          <w:color w:val="2E4A6E"/>
          <w:sz w:val="32"/>
          <w:szCs w:val="32"/>
        </w:rPr>
        <w:t xml:space="preserve">3. Aggregate Comparison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900"/>
        <w:gridCol w:w="900"/>
        <w:gridCol w:w="1000"/>
        <w:gridCol w:w="900"/>
      </w:tblGrid>
      <w:tr>
        <w:trPr>
          <w:tblHeader/>
        </w:trPr>
        <w:tc>
          <w:tcPr>
            <w:tcW w:type="dxa" w:w="16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Req. ID</w:t>
            </w:r>
          </w:p>
        </w:tc>
        <w:tc>
          <w:tcPr>
            <w:tcW w:type="dxa" w:w="10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Coverage
Mistral</w:t>
            </w:r>
          </w:p>
        </w:tc>
        <w:tc>
          <w:tcPr>
            <w:tcW w:type="dxa" w:w="10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Coverage
Q.Mistral</w:t>
            </w:r>
          </w:p>
        </w:tc>
        <w:tc>
          <w:tcPr>
            <w:tcW w:type="dxa" w:w="10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Correctness
Mistral</w:t>
            </w:r>
          </w:p>
        </w:tc>
        <w:tc>
          <w:tcPr>
            <w:tcW w:type="dxa" w:w="9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Correctness
Q.Mistral</w:t>
            </w:r>
          </w:p>
        </w:tc>
        <w:tc>
          <w:tcPr>
            <w:tcW w:type="dxa" w:w="9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Completeness
Mistral</w:t>
            </w:r>
          </w:p>
        </w:tc>
        <w:tc>
          <w:tcPr>
            <w:tcW w:type="dxa" w:w="10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Completeness
Q.Mistral</w:t>
            </w:r>
          </w:p>
        </w:tc>
        <w:tc>
          <w:tcPr>
            <w:tcW w:type="dxa" w:w="900"/>
            <w:tcBorders>
              <w:top w:val="single" w:color="2E4A6E" w:sz="1"/>
              <w:left w:val="single" w:color="2E4A6E" w:sz="1"/>
              <w:bottom w:val="single" w:color="2E4A6E" w:sz="1"/>
              <w:right w:val="single" w:color="2E4A6E" w:sz="1"/>
            </w:tcBorders>
            <w:shd w:fill="2E4A6E" w:val="clear"/>
            <w:tcMar>
              <w:top w:type="dxa" w:w="80"/>
              <w:left w:type="dxa" w:w="100"/>
              <w:bottom w:type="dxa" w:w="80"/>
              <w:right w:type="dxa" w:w="100"/>
            </w:tcMar>
            <w:vAlign w:val="center"/>
          </w:tcPr>
          <w:p>
            <w:r>
              <w:rPr>
                <w:rFonts w:ascii="Arial" w:cs="Arial" w:eastAsia="Arial" w:hAnsi="Arial"/>
                <w:b/>
                <w:bCs/>
                <w:color w:val="FFFFFF"/>
                <w:sz w:val="18"/>
                <w:szCs w:val="18"/>
              </w:rPr>
              <w:t xml:space="preserve">Optional
Mistral</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bCs/>
                <w:color w:val="000000"/>
                <w:sz w:val="18"/>
                <w:szCs w:val="18"/>
              </w:rPr>
              <w:t xml:space="preserve">REQ-CFR-001A</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A00000"/>
                <w:sz w:val="18"/>
                <w:szCs w:val="18"/>
              </w:rPr>
              <w:t xml:space="preserve">Low (0.0)</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A00000"/>
                <w:sz w:val="18"/>
                <w:szCs w:val="18"/>
              </w:rPr>
              <w:t xml:space="preserve">Low (0.0)</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Full</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7D5A00"/>
                <w:sz w:val="18"/>
                <w:szCs w:val="18"/>
              </w:rPr>
              <w:t xml:space="preserve">Req. only*</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Steps+Notes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00000"/>
                <w:sz w:val="18"/>
                <w:szCs w:val="18"/>
              </w:rPr>
              <w:t xml:space="preserve">REQ-CFR-001B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High (1.0)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High (1.0)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Full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7D5A00"/>
                <w:sz w:val="18"/>
                <w:szCs w:val="18"/>
              </w:rPr>
              <w:t xml:space="preserve">Req. 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Steps+Notes</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bCs/>
                <w:color w:val="000000"/>
                <w:sz w:val="18"/>
                <w:szCs w:val="18"/>
              </w:rPr>
              <w:t xml:space="preserve">REQ-CFR-002A</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High (0.89)</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7D5A00"/>
                <w:sz w:val="18"/>
                <w:szCs w:val="18"/>
              </w:rPr>
              <w:t xml:space="preserve">Med (0.78)</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Full</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7D5A00"/>
                <w:sz w:val="18"/>
                <w:szCs w:val="18"/>
              </w:rPr>
              <w:t xml:space="preserve">Req. only*</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Steps+Notes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00000"/>
                <w:sz w:val="18"/>
                <w:szCs w:val="18"/>
              </w:rPr>
              <w:t xml:space="preserve">REQ-CFR-002B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High (0.88)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A00000"/>
                <w:sz w:val="18"/>
                <w:szCs w:val="18"/>
              </w:rPr>
              <w:t xml:space="preserve">Low (0.18)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Full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7D5A00"/>
                <w:sz w:val="18"/>
                <w:szCs w:val="18"/>
              </w:rPr>
              <w:t xml:space="preserve">Req. only*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Steps+Notes</w:t>
            </w:r>
          </w:p>
        </w:tc>
      </w:tr>
      <w:tr>
        <w:tc>
          <w:tcPr>
            <w:tcW w:type="dxa" w:w="16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bCs/>
                <w:color w:val="000000"/>
                <w:sz w:val="18"/>
                <w:szCs w:val="18"/>
              </w:rPr>
              <w:t xml:space="preserve">REQ-CFR-003A</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Yes</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High (1.0)</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High (1.0)</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Full</w:t>
            </w:r>
          </w:p>
        </w:tc>
        <w:tc>
          <w:tcPr>
            <w:tcW w:type="dxa" w:w="10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7D5A00"/>
                <w:sz w:val="18"/>
                <w:szCs w:val="18"/>
              </w:rPr>
              <w:t xml:space="preserve">Req. only*</w:t>
            </w:r>
          </w:p>
        </w:tc>
        <w:tc>
          <w:tcPr>
            <w:tcW w:type="dxa" w:w="9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vAlign w:val="center"/>
          </w:tcPr>
          <w:p>
            <w:r>
              <w:rPr>
                <w:rFonts w:ascii="Arial" w:cs="Arial" w:eastAsia="Arial" w:hAnsi="Arial"/>
                <w:b w:val="false"/>
                <w:bCs w:val="false"/>
                <w:color w:val="1D6A2E"/>
                <w:sz w:val="18"/>
                <w:szCs w:val="18"/>
              </w:rPr>
              <w:t xml:space="preserve">Steps+Notes</w:t>
            </w:r>
          </w:p>
        </w:tc>
      </w:tr>
    </w:tbl>
    <w:p>
      <w:pPr>
        <w:spacing w:after="0" w:before="120"/>
      </w:pPr>
    </w:p>
    <w:p>
      <w:pPr>
        <w:spacing w:after="60" w:before="60"/>
      </w:pPr>
      <w:r>
        <w:rPr>
          <w:rFonts w:ascii="Arial" w:cs="Arial" w:eastAsia="Arial" w:hAnsi="Arial"/>
          <w:sz w:val="18"/>
          <w:szCs w:val="18"/>
        </w:rPr>
        <w:t xml:space="preserve">Key: High = keyword overlap ratio &gt;= 0.8 | Med = 0.5–0.79 | Low = &lt; 0.5 (heuristic indicator, supplemented by manual review). Coverage pass = at least one test case generated per requirement. *Req. only = all five required fields present; optional fields (steps, notes) absent.</w:t>
      </w:r>
    </w:p>
    <w:p>
      <w:pPr>
        <w:spacing w:after="0" w:before="180"/>
      </w:pPr>
    </w:p>
    <w:p>
      <w:pPr>
        <w:pStyle w:val="Heading1"/>
        <w:spacing w:after="180" w:before="360"/>
      </w:pPr>
      <w:r>
        <w:rPr>
          <w:rFonts w:ascii="Arial" w:cs="Arial" w:eastAsia="Arial" w:hAnsi="Arial"/>
          <w:b/>
          <w:bCs/>
          <w:color w:val="2E4A6E"/>
          <w:sz w:val="32"/>
          <w:szCs w:val="32"/>
        </w:rPr>
        <w:t xml:space="preserve">4. Per-Requirement Analysis</w:t>
      </w:r>
    </w:p>
    <w:p>
      <w:pPr>
        <w:pStyle w:val="Heading2"/>
        <w:spacing w:after="120" w:before="240"/>
      </w:pPr>
      <w:r>
        <w:rPr>
          <w:rFonts w:ascii="Arial" w:cs="Arial" w:eastAsia="Arial" w:hAnsi="Arial"/>
          <w:b/>
          <w:bCs/>
          <w:color w:val="1A3A5C"/>
          <w:sz w:val="26"/>
          <w:szCs w:val="26"/>
        </w:rPr>
        <w:t xml:space="preserve">4.1 REQ-CFR-001A — Conduct a Hazard Analysis</w:t>
      </w:r>
    </w:p>
    <w:p>
      <w:pPr>
        <w:spacing w:after="60" w:before="60"/>
      </w:pPr>
      <w:r>
        <w:rPr>
          <w:rFonts w:ascii="Arial" w:cs="Arial" w:eastAsia="Arial" w:hAnsi="Arial"/>
          <w:sz w:val="20"/>
          <w:szCs w:val="20"/>
        </w:rPr>
        <w:t xml:space="preserve">Requirement: (a)(1) Conduct a hazard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Mistral (API)</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Quantized Mistral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Description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system requires and records a hazard analysis process as part of its workflow, ensuring compliance with regulatory requirements.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a hazard analysis is conducted for the system.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Input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Structured JSON: scenario, user role, system module, required fields (Hazard Identification, Severity Assessment, etc.)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Plain text: "The system under test is a medical device used to monitor vital signs in patients."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Expected Output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Structured JSON with system_response, validation, record_creation, compliance_check fields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Plain text: system should perform a hazard analysis and provide a report.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Steps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8 detailed step-by-step actions including login, navigation, form validation, submission, and log verification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3 notes covering regulatory alignment, edge cases, and enforcement rationale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Correctness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Low (0.0 keyword overlap) — description drifts toward software workflow testing rather than the CFR requirement itself</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Low (0.0) — medical device framing is off-domain for a food safety regulation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Completeness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Full (all required fields + optional fields)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Required fields complete; optional fields absent</w:t>
            </w:r>
          </w:p>
        </w:tc>
      </w:tr>
    </w:tbl>
    <w:p>
      <w:pPr>
        <w:spacing w:after="0" w:before="80"/>
      </w:pPr>
    </w:p>
    <w:p>
      <w:pPr>
        <w:spacing w:after="60" w:before="60"/>
      </w:pPr>
      <w:r>
        <w:rPr>
          <w:rFonts w:ascii="Arial" w:cs="Arial" w:eastAsia="Arial" w:hAnsi="Arial"/>
          <w:sz w:val="20"/>
          <w:szCs w:val="20"/>
        </w:rPr>
        <w:t xml:space="preserve">Analysis: Both models scored low on automated correctness for this requirement — a limitation of the keyword heuristic, since the requirement is simply "conduct a hazard analysis" (no distinctive vocabulary). Mistral API produced a richer, more actionable test case with structured input/output and detailed steps. Quantized Mistral's response was brief and applied an incorrect domain context (medical device instead of food safety).</w:t>
      </w:r>
    </w:p>
    <w:p>
      <w:pPr>
        <w:spacing w:after="0" w:before="160"/>
      </w:pPr>
    </w:p>
    <w:p>
      <w:pPr>
        <w:pStyle w:val="Heading2"/>
        <w:spacing w:after="120" w:before="240"/>
      </w:pPr>
      <w:r>
        <w:rPr>
          <w:rFonts w:ascii="Arial" w:cs="Arial" w:eastAsia="Arial" w:hAnsi="Arial"/>
          <w:b/>
          <w:bCs/>
          <w:color w:val="1A3A5C"/>
          <w:sz w:val="26"/>
          <w:szCs w:val="26"/>
        </w:rPr>
        <w:t xml:space="preserve">4.2 REQ-CFR-001B — Written Analysis Regardless of Outcome</w:t>
      </w:r>
    </w:p>
    <w:p>
      <w:pPr>
        <w:spacing w:after="60" w:before="60"/>
      </w:pPr>
      <w:r>
        <w:rPr>
          <w:rFonts w:ascii="Arial" w:cs="Arial" w:eastAsia="Arial" w:hAnsi="Arial"/>
          <w:sz w:val="20"/>
          <w:szCs w:val="20"/>
        </w:rPr>
        <w:t xml:space="preserve">Requirement: (a)(2) The hazard analysis must be written regardless of the outcome of the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Mistral (API)</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Quantized Mistral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Description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a written hazard analysis is produced regardless of whether hazards are identified or not during the analysis process.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hazard analysis is written regardless of the outcome of the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Input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Structured JSON: scenario (no hazards identified), documentation_requirement field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Plain text: "A hazard analysis report with a positive outcome and a negative outcome."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Expected Output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Structured JSON: documentation_exists: true, documentation_content describing a report explicitly stating no hazards were found</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Plain text: report should contain a written analysis for both positive and negative outcomes.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Steps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4 ordered steps: perform analysis, ensure no hazards found, check for report, verify report content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Compliance rationale: documentation required even when no hazards found, preventing record-keeping gaps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Correctness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 (1.0) — overlapping keywords: outcome, regardless, written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 (1.0) — same keywords present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Completeness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Full (all required + optional fields)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Partial (required fields only)</w:t>
            </w:r>
          </w:p>
        </w:tc>
      </w:tr>
    </w:tbl>
    <w:p>
      <w:pPr>
        <w:spacing w:after="0" w:before="80"/>
      </w:pPr>
    </w:p>
    <w:p>
      <w:pPr>
        <w:spacing w:after="60" w:before="60"/>
      </w:pPr>
      <w:r>
        <w:rPr>
          <w:rFonts w:ascii="Arial" w:cs="Arial" w:eastAsia="Arial" w:hAnsi="Arial"/>
          <w:sz w:val="20"/>
          <w:szCs w:val="20"/>
        </w:rPr>
        <w:t xml:space="preserve">Analysis: Both models correctly captured the core intent of this requirement — that a written record is mandatory even when no hazards are identified. Mistral API's version is more actionable: it explicitly tests the "no hazards found" scenario and verifies that documentation still exists. Quantized Mistral's version captures the idea but lacks specificity about the negative-outcome scenario.</w:t>
      </w:r>
    </w:p>
    <w:p>
      <w:pPr>
        <w:spacing w:after="0" w:before="160"/>
      </w:pPr>
    </w:p>
    <w:p>
      <w:pPr>
        <w:pStyle w:val="Heading2"/>
        <w:spacing w:after="120" w:before="240"/>
      </w:pPr>
      <w:r>
        <w:rPr>
          <w:rFonts w:ascii="Arial" w:cs="Arial" w:eastAsia="Arial" w:hAnsi="Arial"/>
          <w:b/>
          <w:bCs/>
          <w:color w:val="1A3A5C"/>
          <w:sz w:val="26"/>
          <w:szCs w:val="26"/>
        </w:rPr>
        <w:t xml:space="preserve">4.3 REQ-CFR-002A — Biological Hazards</w:t>
      </w:r>
    </w:p>
    <w:p>
      <w:pPr>
        <w:spacing w:after="60" w:before="60"/>
      </w:pPr>
      <w:r>
        <w:rPr>
          <w:rFonts w:ascii="Arial" w:cs="Arial" w:eastAsia="Arial" w:hAnsi="Arial"/>
          <w:sz w:val="20"/>
          <w:szCs w:val="20"/>
        </w:rPr>
        <w:t xml:space="preserve">Requirement: (b)(1)(i) Biological hazards, including microbiological hazards such as parasites, environmental pathogens, and other pathogens.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Mistral (API)</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Quantized Mistral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Description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system correctly identifies and flags biological hazards, specifically microbiological hazards such as parasites, environmental pathogens, and other pathogens.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system can detect and prevent biological hazards such as parasites, environmental pathogens, and other pathogens.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Input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Structured JSON: food_sample with specific organisms — Anisakis simplex (parasite), Listeria monocytogenes (env. pathogen), Salmonella enterica (other pathogen), plus non-hazardous Lactobacillus acidophilus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Plain text: "A sample of food product with known biological contamination."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Expected Output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Structured JSON: hazards_detected with type, name, risk_level for each; non_hazardous_microbes_ignored list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Plain text: system should detect and prevent contamination from entering the food supply chain.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Steps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4 steps: input data, process sample, verify flagging of pathogens, confirm non-hazardous microbes not flagged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Note on distinguishing hazardous vs. non-hazardous microbes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Correctness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 (0.89) — 8/9 keywords matched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Medium (0.78) — 7/9 keywords matched (missing "microbiological")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Completeness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Full</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Required fields complete; optional fields absent</w:t>
            </w:r>
          </w:p>
        </w:tc>
      </w:tr>
    </w:tbl>
    <w:p>
      <w:pPr>
        <w:spacing w:after="0" w:before="80"/>
      </w:pPr>
    </w:p>
    <w:p>
      <w:pPr>
        <w:spacing w:after="60" w:before="60"/>
      </w:pPr>
      <w:r>
        <w:rPr>
          <w:rFonts w:ascii="Arial" w:cs="Arial" w:eastAsia="Arial" w:hAnsi="Arial"/>
          <w:sz w:val="20"/>
          <w:szCs w:val="20"/>
        </w:rPr>
        <w:t xml:space="preserve">Analysis: Mistral API significantly outperforms here. Its test case uses real-world organisms and tests the important negative case (non-hazardous microbes should NOT be flagged). Quantized Mistral's test case is too vague — "food product with known biological contamination" provides no testable specificity, and the expected output mixes detection with prevention, which goes beyond the scope of the requirement.</w:t>
      </w:r>
    </w:p>
    <w:p>
      <w:pPr>
        <w:spacing w:after="0" w:before="160"/>
      </w:pPr>
    </w:p>
    <w:p>
      <w:pPr>
        <w:pStyle w:val="Heading2"/>
        <w:spacing w:after="120" w:before="240"/>
      </w:pPr>
      <w:r>
        <w:rPr>
          <w:rFonts w:ascii="Arial" w:cs="Arial" w:eastAsia="Arial" w:hAnsi="Arial"/>
          <w:b/>
          <w:bCs/>
          <w:color w:val="1A3A5C"/>
          <w:sz w:val="26"/>
          <w:szCs w:val="26"/>
        </w:rPr>
        <w:t xml:space="preserve">4.4 REQ-CFR-002B — Chemical Hazards</w:t>
      </w:r>
    </w:p>
    <w:p>
      <w:pPr>
        <w:spacing w:after="60" w:before="60"/>
      </w:pPr>
      <w:r>
        <w:rPr>
          <w:rFonts w:ascii="Arial" w:cs="Arial" w:eastAsia="Arial" w:hAnsi="Arial"/>
          <w:sz w:val="20"/>
          <w:szCs w:val="20"/>
        </w:rPr>
        <w:t xml:space="preserve">Requirement: (b)(1)(ii) Chemical hazards, including radiological hazards, substances such as pesticide and drug residues, natural toxins, decomposition, unapproved food or color additives, and food allergens.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Mistral (API)</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Quantized Mistral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Description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system correctly identifies and flags chemical hazards including radiological hazards, pesticide and drug residues, natural toxins, decomposition, unapproved food or color additives, and food allergens.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Test for the presence of pesticide residues in fresh produce.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Input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Highly structured JSON: sample_id, chemical_hazards list (7 categories), threshold values per substance, and sample_results with 13 specific measured values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Plain text: "A sample of fresh produce, such as lettuce or strawberries, collected from a grocery store."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Expected Output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Structured JSON: flagged_hazards list (7 specific violations) with hazard name, type, and threshold status; compliance_status: Non-Compliant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Plain text: presence or absence of pesticide residues.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Steps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4 steps: input sample and parameters, enter results, execute hazard detection, review output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Note that unapproved additives and allergens flagged at any detected level regardless of concentration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Correctness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 (0.88) — 15/17 keywords matched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Low (0.18) — only pesticide/residues matched; requirement covers 7 hazard categories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Completeness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Full</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Required fields complete; optional fields absent</w:t>
            </w:r>
          </w:p>
        </w:tc>
      </w:tr>
    </w:tbl>
    <w:p>
      <w:pPr>
        <w:spacing w:after="0" w:before="80"/>
      </w:pPr>
    </w:p>
    <w:p>
      <w:pPr>
        <w:spacing w:after="60" w:before="60"/>
      </w:pPr>
      <w:r>
        <w:rPr>
          <w:rFonts w:ascii="Arial" w:cs="Arial" w:eastAsia="Arial" w:hAnsi="Arial"/>
          <w:sz w:val="20"/>
          <w:szCs w:val="20"/>
        </w:rPr>
        <w:t xml:space="preserve">Analysis: This is the most significant gap between the two models. Quantized Mistral's test case covers only one of seven required hazard categories (pesticide residues), making it substantially non-compliant with the requirement scope. Mistral API produced an exceptionally detailed test case with concrete substance names, numerical thresholds, and correctly identifies that unapproved additives and allergens must be flagged regardless of concentration — a nuance directly relevant to food safety compliance.</w:t>
      </w:r>
    </w:p>
    <w:p>
      <w:pPr>
        <w:spacing w:after="0" w:before="160"/>
      </w:pPr>
    </w:p>
    <w:p>
      <w:pPr>
        <w:pStyle w:val="Heading2"/>
        <w:spacing w:after="120" w:before="240"/>
      </w:pPr>
      <w:r>
        <w:rPr>
          <w:rFonts w:ascii="Arial" w:cs="Arial" w:eastAsia="Arial" w:hAnsi="Arial"/>
          <w:b/>
          <w:bCs/>
          <w:color w:val="1A3A5C"/>
          <w:sz w:val="26"/>
          <w:szCs w:val="26"/>
        </w:rPr>
        <w:t xml:space="preserve">4.5 REQ-CFR-003A — Severity Evaluation</w:t>
      </w:r>
    </w:p>
    <w:p>
      <w:pPr>
        <w:spacing w:after="60" w:before="60"/>
      </w:pPr>
      <w:r>
        <w:rPr>
          <w:rFonts w:ascii="Arial" w:cs="Arial" w:eastAsia="Arial" w:hAnsi="Arial"/>
          <w:sz w:val="20"/>
          <w:szCs w:val="20"/>
        </w:rPr>
        <w:t xml:space="preserve">Requirement: (c)(1)(i) The hazard analysis must include an evaluation of the known or reasonably foreseeable hazards to assess the severity of the illness or injury if the hazard were to occur.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Mistral (API)</w:t>
            </w:r>
          </w:p>
        </w:tc>
        <w:tc>
          <w:tcPr>
            <w:tcW w:type="dxa" w:w="3580"/>
            <w:tcBorders>
              <w:top w:val="single" w:color="2E4A6E" w:sz="1"/>
              <w:left w:val="single" w:color="2E4A6E" w:sz="1"/>
              <w:bottom w:val="single" w:color="2E4A6E" w:sz="1"/>
              <w:right w:val="single" w:color="2E4A6E"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Quantized Mistral</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Description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hazard analysis module correctly evaluates known or reasonably foreseeable hazards and assesses the severity of illness or injury if the hazard were to occur.</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Verify that the hazard analysis includes an evaluation of known or reasonably foreseeable hazards to assess severity of illness or injury if the hazard were to occur.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Input 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Structured JSON: two hazards (Salmonella in raw chicken — High likelihood/Severe; metal fragments — Medium/Moderate) with explicit severity and likelihood scales (1–3)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Plain text: "A sample hazard analysis report with known and foreseeable hazards identified and their severity evaluated."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Expected Output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Structured JSON: hazard_evaluation_results with risk_score (9 and 4), severity_assessment, validation_status; overall_assessment message</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Plain text: report should include evaluation of hazards, their severity, and recommendations for 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Steps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6 steps: launch module, input hazards, configure scales, execute evaluation, review output, verify severity alignment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Notes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Note that risk score is calculated as product of severity × likelihood values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Not provided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9"/>
                <w:szCs w:val="19"/>
              </w:rPr>
              <w:t xml:space="preserve">Correctness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 (1.0) — all 11 distinctive keywords matched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High (1.0) — all 11 keywords matched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19"/>
                <w:szCs w:val="19"/>
              </w:rPr>
              <w:t xml:space="preserve">Completeness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Full</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sz w:val="19"/>
                <w:szCs w:val="19"/>
              </w:rPr>
              <w:t xml:space="preserve">Required fields complete; optional fields absent</w:t>
            </w:r>
          </w:p>
        </w:tc>
      </w:tr>
    </w:tbl>
    <w:p>
      <w:pPr>
        <w:spacing w:after="0" w:before="80"/>
      </w:pPr>
    </w:p>
    <w:p>
      <w:pPr>
        <w:spacing w:after="60" w:before="60"/>
      </w:pPr>
      <w:r>
        <w:rPr>
          <w:rFonts w:ascii="Arial" w:cs="Arial" w:eastAsia="Arial" w:hAnsi="Arial"/>
          <w:sz w:val="20"/>
          <w:szCs w:val="20"/>
        </w:rPr>
        <w:t xml:space="preserve">Analysis: Both models scored maximum correctness on this requirement, as the requirement text contains many distinctive, specific keywords. Mistral API again provided far more testable input data — concrete hazards with numerical scales — allowing the test to be executed and verified. Quantized Mistral captured the intent but cannot be executed as-is due to the vague input specification. Notably, Quantized Mistral added a recommendation for mitigation measures in the expected output, which goes slightly beyond the requirement scope.</w:t>
      </w:r>
    </w:p>
    <w:p>
      <w:pPr>
        <w:spacing w:after="0" w:before="180"/>
      </w:pPr>
    </w:p>
    <w:p>
      <w:pPr>
        <w:pStyle w:val="Heading1"/>
        <w:spacing w:after="180" w:before="360"/>
      </w:pPr>
      <w:r>
        <w:rPr>
          <w:rFonts w:ascii="Arial" w:cs="Arial" w:eastAsia="Arial" w:hAnsi="Arial"/>
          <w:b/>
          <w:bCs/>
          <w:color w:val="2E4A6E"/>
          <w:sz w:val="32"/>
          <w:szCs w:val="32"/>
        </w:rPr>
        <w:t xml:space="preserve">5. Discussion &amp; Findings</w:t>
      </w:r>
    </w:p>
    <w:p>
      <w:pPr>
        <w:pStyle w:val="Heading2"/>
        <w:spacing w:after="120" w:before="240"/>
      </w:pPr>
      <w:r>
        <w:rPr>
          <w:rFonts w:ascii="Arial" w:cs="Arial" w:eastAsia="Arial" w:hAnsi="Arial"/>
          <w:b/>
          <w:bCs/>
          <w:color w:val="1A3A5C"/>
          <w:sz w:val="26"/>
          <w:szCs w:val="26"/>
        </w:rPr>
        <w:t xml:space="preserve">5.1 Coverage</w:t>
      </w:r>
    </w:p>
    <w:p>
      <w:pPr>
        <w:spacing w:after="60" w:before="60"/>
      </w:pPr>
      <w:r>
        <w:rPr>
          <w:rFonts w:ascii="Arial" w:cs="Arial" w:eastAsia="Arial" w:hAnsi="Arial"/>
          <w:sz w:val="20"/>
          <w:szCs w:val="20"/>
        </w:rPr>
        <w:t xml:space="preserve">Both models achieved 100% coverage across all five requirements — each produced exactly one test case per requirement. This criterion is met by both models with no gaps.</w:t>
      </w:r>
    </w:p>
    <w:p>
      <w:pPr>
        <w:spacing w:after="0" w:before="80"/>
      </w:pPr>
    </w:p>
    <w:p>
      <w:pPr>
        <w:pStyle w:val="Heading2"/>
        <w:spacing w:after="120" w:before="240"/>
      </w:pPr>
      <w:r>
        <w:rPr>
          <w:rFonts w:ascii="Arial" w:cs="Arial" w:eastAsia="Arial" w:hAnsi="Arial"/>
          <w:b/>
          <w:bCs/>
          <w:color w:val="1A3A5C"/>
          <w:sz w:val="26"/>
          <w:szCs w:val="26"/>
        </w:rPr>
        <w:t xml:space="preserve">5.2 Correctness</w:t>
      </w:r>
    </w:p>
    <w:p>
      <w:pPr>
        <w:spacing w:after="60" w:before="60"/>
      </w:pPr>
      <w:r>
        <w:rPr>
          <w:rFonts w:ascii="Arial" w:cs="Arial" w:eastAsia="Arial" w:hAnsi="Arial"/>
          <w:sz w:val="20"/>
          <w:szCs w:val="20"/>
        </w:rPr>
        <w:t xml:space="preserve">Mistral API scored high (&gt;= 0.88) on 4 of 5 requirements, with only REQ-CFR-001A scoring low due to keyword sparsity in the requirement text rather than a genuine correctness failure. Quantized Mistral scored high on 3 of 5, with REQ-CFR-001A (low) and REQ-CFR-002B (low, 0.18) as clear failures. The failure on REQ-CFR-002B is substantive: the quantized model narrowed a seven-category chemical hazards requirement to only pesticide residues, missing radiological hazards, natural toxins, decomposition indicators, unapproved additives, allergens, and drug residues.</w:t>
      </w:r>
    </w:p>
    <w:p>
      <w:pPr>
        <w:spacing w:after="0" w:before="80"/>
      </w:pPr>
    </w:p>
    <w:p>
      <w:pPr>
        <w:spacing w:after="60" w:before="60"/>
      </w:pPr>
      <w:r>
        <w:rPr>
          <w:rFonts w:ascii="Arial" w:cs="Arial" w:eastAsia="Arial" w:hAnsi="Arial"/>
          <w:sz w:val="20"/>
          <w:szCs w:val="20"/>
        </w:rPr>
        <w:t xml:space="preserve">It is important to note that the automated heuristic (keyword overlap) is an imperfect proxy for correctness. REQ-CFR-001A illustrates this: both models scored 0.0 due to the requirement containing no distinctive technical vocabulary, yet both test cases are plausibly correct attempts. Manual review is necessary to confirm correctness beyond the heuristic.</w:t>
      </w:r>
    </w:p>
    <w:p>
      <w:pPr>
        <w:spacing w:after="0" w:before="80"/>
      </w:pPr>
    </w:p>
    <w:p>
      <w:pPr>
        <w:pStyle w:val="Heading2"/>
        <w:spacing w:after="120" w:before="240"/>
      </w:pPr>
      <w:r>
        <w:rPr>
          <w:rFonts w:ascii="Arial" w:cs="Arial" w:eastAsia="Arial" w:hAnsi="Arial"/>
          <w:b/>
          <w:bCs/>
          <w:color w:val="1A3A5C"/>
          <w:sz w:val="26"/>
          <w:szCs w:val="26"/>
        </w:rPr>
        <w:t xml:space="preserve">5.3 Completeness</w:t>
      </w:r>
    </w:p>
    <w:p>
      <w:pPr>
        <w:spacing w:after="60" w:before="60"/>
      </w:pPr>
      <w:r>
        <w:rPr>
          <w:rFonts w:ascii="Arial" w:cs="Arial" w:eastAsia="Arial" w:hAnsi="Arial"/>
          <w:sz w:val="20"/>
          <w:szCs w:val="20"/>
        </w:rPr>
        <w:t xml:space="preserve">All test cases from both models contained the five required fields (test_case_id, requirement_id, description, input_data, expected_output) — neither model produced missing or empty required fields.</w:t>
      </w:r>
    </w:p>
    <w:p>
      <w:pPr>
        <w:spacing w:after="0" w:before="80"/>
      </w:pPr>
    </w:p>
    <w:p>
      <w:pPr>
        <w:spacing w:after="60" w:before="60"/>
      </w:pPr>
      <w:r>
        <w:rPr>
          <w:rFonts w:ascii="Arial" w:cs="Arial" w:eastAsia="Arial" w:hAnsi="Arial"/>
          <w:sz w:val="20"/>
          <w:szCs w:val="20"/>
        </w:rPr>
        <w:t xml:space="preserve">The clear differentiator is optional field usage:</w:t>
      </w:r>
    </w:p>
    <w:p>
      <w:pPr>
        <w:pStyle w:val="ListParagraph"/>
        <w:numPr>
          <w:ilvl w:val="0"/>
          <w:numId w:val="2"/>
        </w:numPr>
        <w:spacing w:after="40" w:before="40"/>
      </w:pPr>
      <w:r>
        <w:rPr>
          <w:rFonts w:ascii="Arial" w:cs="Arial" w:eastAsia="Arial" w:hAnsi="Arial"/>
          <w:sz w:val="20"/>
          <w:szCs w:val="20"/>
        </w:rPr>
        <w:t xml:space="preserve">Mistral API included steps and notes in all five test cases. Steps ranged from 4 to 8 actions and were specific enough to guide a tester. Notes provided regulatory context, edge case considerations, and calculation explanations.</w:t>
      </w:r>
    </w:p>
    <w:p>
      <w:pPr>
        <w:pStyle w:val="ListParagraph"/>
        <w:numPr>
          <w:ilvl w:val="0"/>
          <w:numId w:val="2"/>
        </w:numPr>
        <w:spacing w:after="40" w:before="40"/>
      </w:pPr>
      <w:r>
        <w:rPr>
          <w:rFonts w:ascii="Arial" w:cs="Arial" w:eastAsia="Arial" w:hAnsi="Arial"/>
          <w:sz w:val="20"/>
          <w:szCs w:val="20"/>
        </w:rPr>
        <w:t xml:space="preserve">Quantized Mistral included steps and notes in zero of five test cases, providing only the bare minimum required fields.</w:t>
      </w:r>
    </w:p>
    <w:p>
      <w:pPr>
        <w:spacing w:after="0" w:before="80"/>
      </w:pPr>
    </w:p>
    <w:p>
      <w:pPr>
        <w:spacing w:after="60" w:before="60"/>
      </w:pPr>
      <w:r>
        <w:rPr>
          <w:rFonts w:ascii="Arial" w:cs="Arial" w:eastAsia="Arial" w:hAnsi="Arial"/>
          <w:sz w:val="20"/>
          <w:szCs w:val="20"/>
        </w:rPr>
        <w:t xml:space="preserve">Input data quality also differed substantially: Mistral API used structured JSON with specific values, organism names, and thresholds, while quantized Mistral consistently used brief plain-text descriptions without testable specifics.</w:t>
      </w:r>
    </w:p>
    <w:p>
      <w:pPr>
        <w:spacing w:after="0" w:before="80"/>
      </w:pPr>
    </w:p>
    <w:p>
      <w:pPr>
        <w:pStyle w:val="Heading2"/>
        <w:spacing w:after="120" w:before="240"/>
      </w:pPr>
      <w:r>
        <w:rPr>
          <w:rFonts w:ascii="Arial" w:cs="Arial" w:eastAsia="Arial" w:hAnsi="Arial"/>
          <w:b/>
          <w:bCs/>
          <w:color w:val="1A3A5C"/>
          <w:sz w:val="26"/>
          <w:szCs w:val="26"/>
        </w:rPr>
        <w:t xml:space="preserve">5.4 Overall Assessment</w:t>
      </w:r>
    </w:p>
    <w:p>
      <w:pPr>
        <w:spacing w:after="60" w:before="60"/>
      </w:pPr>
      <w:r>
        <w:rPr>
          <w:rFonts w:ascii="Arial" w:cs="Arial" w:eastAsia="Arial" w:hAnsi="Arial"/>
          <w:sz w:val="20"/>
          <w:szCs w:val="20"/>
        </w:rPr>
        <w:t xml:space="preserve">Mistral API (mistral-large-latest) produced higher-quality test cases on correctness and completeness, and matched quantized Mistral on coverage. Its outputs are more detailed, more structured, and more directly executable as formal test cases. The depth of input data — with specific organisms, chemical compounds, numerical thresholds, and severity scales — reflects the larger model's stronger instruction-following capability and domain knowledge.</w:t>
      </w:r>
    </w:p>
    <w:p>
      <w:pPr>
        <w:spacing w:after="0" w:before="80"/>
      </w:pPr>
    </w:p>
    <w:p>
      <w:pPr>
        <w:spacing w:after="60" w:before="60"/>
      </w:pPr>
      <w:r>
        <w:rPr>
          <w:rFonts w:ascii="Arial" w:cs="Arial" w:eastAsia="Arial" w:hAnsi="Arial"/>
          <w:sz w:val="20"/>
          <w:szCs w:val="20"/>
        </w:rPr>
        <w:t xml:space="preserve">Quantized Mistral (7B Q4_K_M) met the baseline requirement of generating test cases for all five requirements and achieved high correctness on requirements with distinctive vocabulary. However, it failed to match the comprehensiveness of the larger model, particularly on REQ-CFR-002B (chemical hazards) where scope narrowing resulted in an incomplete test case. The absence of optional fields across all five cases also limits the practical utility of these test cases for testers who need clear step-by-step guidance.</w:t>
      </w:r>
    </w:p>
    <w:p>
      <w:pPr>
        <w:spacing w:after="0" w:before="80"/>
      </w:pPr>
    </w:p>
    <w:p>
      <w:pPr>
        <w:spacing w:after="60" w:before="60"/>
      </w:pPr>
      <w:r>
        <w:rPr>
          <w:rFonts w:ascii="Arial" w:cs="Arial" w:eastAsia="Arial" w:hAnsi="Arial"/>
          <w:sz w:val="20"/>
          <w:szCs w:val="20"/>
        </w:rPr>
        <w:t xml:space="preserve">This comparison is consistent with the expected capability gap between a large proprietary API model and a locally-run 4-bit quantized 7B model. The quantized model is a viable starting point for rapid prototyping where compute resources are limited, but the API model's output is substantially better suited for formal V&amp;V activities.</w:t>
      </w:r>
    </w:p>
    <w:p>
      <w:pPr>
        <w:spacing w:after="0" w:before="180"/>
      </w:pPr>
    </w:p>
    <w:p>
      <w:pPr>
        <w:pStyle w:val="Heading1"/>
        <w:spacing w:after="180" w:before="360"/>
      </w:pPr>
      <w:r>
        <w:rPr>
          <w:rFonts w:ascii="Arial" w:cs="Arial" w:eastAsia="Arial" w:hAnsi="Arial"/>
          <w:b/>
          <w:bCs/>
          <w:color w:val="2E4A6E"/>
          <w:sz w:val="32"/>
          <w:szCs w:val="32"/>
        </w:rPr>
        <w:t xml:space="preserve">6. Conclusion</w:t>
      </w:r>
    </w:p>
    <w:p>
      <w:pPr>
        <w:spacing w:after="60" w:before="60"/>
      </w:pPr>
      <w:r>
        <w:rPr>
          <w:rFonts w:ascii="Arial" w:cs="Arial" w:eastAsia="Arial" w:hAnsi="Arial"/>
          <w:sz w:val="20"/>
          <w:szCs w:val="20"/>
        </w:rPr>
        <w:t xml:space="preserve">This individual component demonstrated the use of two LLMs for automated test case generation against 21 CFR 117.130 requirements. The key findings are:</w:t>
      </w:r>
    </w:p>
    <w:p>
      <w:pPr>
        <w:pStyle w:val="ListParagraph"/>
        <w:numPr>
          <w:ilvl w:val="0"/>
          <w:numId w:val="2"/>
        </w:numPr>
        <w:spacing w:after="40" w:before="40"/>
      </w:pPr>
      <w:r>
        <w:rPr>
          <w:rFonts w:ascii="Arial" w:cs="Arial" w:eastAsia="Arial" w:hAnsi="Arial"/>
          <w:sz w:val="20"/>
          <w:szCs w:val="20"/>
        </w:rPr>
        <w:t xml:space="preserve">Coverage: Both models achieved 100% coverage across all five selected requirements — equal performance on this dimension.</w:t>
      </w:r>
    </w:p>
    <w:p>
      <w:pPr>
        <w:pStyle w:val="ListParagraph"/>
        <w:numPr>
          <w:ilvl w:val="0"/>
          <w:numId w:val="2"/>
        </w:numPr>
        <w:spacing w:after="40" w:before="40"/>
      </w:pPr>
      <w:r>
        <w:rPr>
          <w:rFonts w:ascii="Arial" w:cs="Arial" w:eastAsia="Arial" w:hAnsi="Arial"/>
          <w:sz w:val="20"/>
          <w:szCs w:val="20"/>
        </w:rPr>
        <w:t xml:space="preserve">Correctness: Mistral API outperformed on breadth — it captured full requirement scope (notably REQ-CFR-002B's seven chemical hazard categories). Quantized Mistral showed scope narrowing on complex compound requirements.</w:t>
      </w:r>
    </w:p>
    <w:p>
      <w:pPr>
        <w:pStyle w:val="ListParagraph"/>
        <w:numPr>
          <w:ilvl w:val="0"/>
          <w:numId w:val="2"/>
        </w:numPr>
        <w:spacing w:after="40" w:before="40"/>
      </w:pPr>
      <w:r>
        <w:rPr>
          <w:rFonts w:ascii="Arial" w:cs="Arial" w:eastAsia="Arial" w:hAnsi="Arial"/>
          <w:sz w:val="20"/>
          <w:szCs w:val="20"/>
        </w:rPr>
        <w:t xml:space="preserve">Completeness: Both models provided all required fields. Mistral API provided substantive steps and notes in all five cases; quantized Mistral provided none.</w:t>
      </w:r>
    </w:p>
    <w:p>
      <w:pPr>
        <w:pStyle w:val="ListParagraph"/>
        <w:numPr>
          <w:ilvl w:val="0"/>
          <w:numId w:val="2"/>
        </w:numPr>
        <w:spacing w:after="40" w:before="40"/>
      </w:pPr>
      <w:r>
        <w:rPr>
          <w:rFonts w:ascii="Arial" w:cs="Arial" w:eastAsia="Arial" w:hAnsi="Arial"/>
          <w:sz w:val="20"/>
          <w:szCs w:val="20"/>
        </w:rPr>
        <w:t xml:space="preserve">Practical utility: Mistral API outputs can be executed as-is in a formal V&amp;V pipeline. Quantized Mistral outputs require significant augmentation before formal use.</w:t>
      </w:r>
    </w:p>
    <w:p>
      <w:pPr>
        <w:spacing w:after="0" w:before="80"/>
      </w:pPr>
    </w:p>
    <w:p>
      <w:pPr>
        <w:spacing w:after="60" w:before="60"/>
      </w:pPr>
      <w:r>
        <w:rPr>
          <w:rFonts w:ascii="Arial" w:cs="Arial" w:eastAsia="Arial" w:hAnsi="Arial"/>
          <w:sz w:val="20"/>
          <w:szCs w:val="20"/>
        </w:rPr>
        <w:t xml:space="preserve">The results suggest that while smaller quantized models can serve as a low-cost first pass for generating test case skeletons, larger API models are preferable when test case completeness and correctness are required for regulatory compliance activities.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2026-04-20T22:11:47.669Z</dcterms:created>
  <dcterms:modified xsi:type="dcterms:W3CDTF">2026-04-20T22:11:47.670Z</dcterms:modified>
</cp:coreProperties>
</file>

<file path=docProps/custom.xml><?xml version="1.0" encoding="utf-8"?>
<Properties xmlns="http://schemas.openxmlformats.org/officeDocument/2006/custom-properties" xmlns:vt="http://schemas.openxmlformats.org/officeDocument/2006/docPropsVTypes"/>
</file>