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360"/>
        <w:jc w:val="center"/>
      </w:pPr>
      <w:r>
        <w:rPr>
          <w:rFonts w:ascii="Calibri" w:hAnsi="Calibri" w:eastAsia="Source Han Sans SC"/>
          <w:b/>
          <w:color w:val="9B782C"/>
          <w:sz w:val="22"/>
        </w:rPr>
        <w:t>上市公司研究报告</w:t>
      </w:r>
    </w:p>
    <w:p>
      <w:pPr>
        <w:spacing w:after="240"/>
        <w:jc w:val="center"/>
      </w:pPr>
      <w:r>
        <w:rPr>
          <w:rFonts w:ascii="Calibri" w:hAnsi="Calibri" w:eastAsia="Source Han Sans SC"/>
          <w:b/>
          <w:color w:val="203750"/>
          <w:sz w:val="56"/>
        </w:rPr>
        <w:t>牧原股份长期盈利能力</w:t>
        <w:br/>
        <w:t>与周期估值研究</w:t>
      </w:r>
    </w:p>
    <w:p>
      <w:pPr>
        <w:spacing w:after="560"/>
        <w:jc w:val="center"/>
      </w:pPr>
      <w:r>
        <w:rPr>
          <w:rFonts w:ascii="Calibri" w:hAnsi="Calibri" w:eastAsia="Source Han Sans SC"/>
          <w:color w:val="1F4D78"/>
          <w:sz w:val="28"/>
        </w:rPr>
        <w:t>基于生猪边际成本、产能周期与情景估值的分析</w:t>
      </w:r>
    </w:p>
    <w:p>
      <w:pPr>
        <w:spacing w:after="1840"/>
        <w:jc w:val="center"/>
      </w:pPr>
      <w:r>
        <w:rPr>
          <w:rFonts w:ascii="Calibri" w:hAnsi="Calibri" w:eastAsia="Source Han Sans SC"/>
          <w:color w:val="626B73"/>
          <w:sz w:val="21"/>
        </w:rPr>
        <w:t>经营利润模型  ·  猪价判断模型  ·  周期估值模型</w:t>
      </w:r>
    </w:p>
    <w:p>
      <w:pPr>
        <w:spacing w:after="160"/>
        <w:jc w:val="center"/>
      </w:pPr>
      <w:r>
        <w:rPr>
          <w:rFonts w:ascii="Calibri" w:hAnsi="Calibri" w:eastAsia="Source Han Sans SC"/>
          <w:b/>
          <w:color w:val="203750"/>
          <w:sz w:val="22"/>
        </w:rPr>
        <w:t>版本日期：2026 年 7 月 17 日</w:t>
      </w:r>
    </w:p>
    <w:p>
      <w:pPr>
        <w:spacing w:after="0"/>
        <w:jc w:val="center"/>
      </w:pPr>
      <w:r>
        <w:rPr>
          <w:rFonts w:ascii="Calibri" w:hAnsi="Calibri" w:eastAsia="Source Han Sans SC"/>
          <w:i/>
          <w:color w:val="7B838C"/>
          <w:sz w:val="19"/>
        </w:rPr>
        <w:t>依据公开资料与明确列示的模型假设整理</w:t>
      </w:r>
    </w:p>
    <w:p>
      <w:r>
        <w:br w:type="page"/>
      </w:r>
    </w:p>
    <w:p>
      <w:pPr>
        <w:pStyle w:val="Heading1"/>
        <w:pageBreakBefore w:val="0"/>
        <w:spacing w:before="0"/>
      </w:pPr>
      <w:r>
        <w:t>目录</w:t>
      </w:r>
    </w:p>
    <w:p>
      <w:pPr>
        <w:tabs>
          <w:tab w:pos="9072" w:val="right" w:leader="dot"/>
        </w:tabs>
        <w:spacing w:before="0" w:after="40" w:line="240" w:lineRule="auto"/>
      </w:pPr>
      <w:hyperlink w:anchor="sec_abstract">
        <w:r>
          <w:rPr>
            <w:rFonts w:ascii="Calibri" w:hAnsi="Calibri" w:eastAsia="Source Han Sans SC"/>
            <w:color w:val="2E74B5"/>
            <w:u w:val="single"/>
            <w:sz w:val="19"/>
          </w:rPr>
          <w:t>摘要</w:t>
        </w:r>
      </w:hyperlink>
      <w:r>
        <w:rPr>
          <w:rFonts w:ascii="Calibri" w:hAnsi="Calibri" w:eastAsia="Source Han Sans SC"/>
          <w:color w:val="626B73"/>
          <w:sz w:val="19"/>
        </w:rPr>
        <w:tab/>
        <w:t>3</w:t>
      </w:r>
    </w:p>
    <w:p>
      <w:pPr>
        <w:tabs>
          <w:tab w:pos="9072" w:val="right" w:leader="dot"/>
        </w:tabs>
        <w:spacing w:before="0" w:after="40" w:line="240" w:lineRule="auto"/>
      </w:pPr>
      <w:hyperlink w:anchor="sec_1">
        <w:r>
          <w:rPr>
            <w:rFonts w:ascii="Calibri" w:hAnsi="Calibri" w:eastAsia="Source Han Sans SC"/>
            <w:color w:val="2E74B5"/>
            <w:u w:val="single"/>
            <w:sz w:val="19"/>
          </w:rPr>
          <w:t>1  引言</w:t>
        </w:r>
      </w:hyperlink>
      <w:r>
        <w:rPr>
          <w:rFonts w:ascii="Calibri" w:hAnsi="Calibri" w:eastAsia="Source Han Sans SC"/>
          <w:color w:val="626B73"/>
          <w:sz w:val="19"/>
        </w:rPr>
        <w:tab/>
        <w:t>4</w:t>
      </w:r>
    </w:p>
    <w:p>
      <w:pPr>
        <w:tabs>
          <w:tab w:pos="9072" w:val="right" w:leader="dot"/>
        </w:tabs>
        <w:spacing w:before="0" w:after="40" w:line="240" w:lineRule="auto"/>
      </w:pPr>
      <w:hyperlink w:anchor="sec_2">
        <w:r>
          <w:rPr>
            <w:rFonts w:ascii="Calibri" w:hAnsi="Calibri" w:eastAsia="Source Han Sans SC"/>
            <w:color w:val="2E74B5"/>
            <w:u w:val="single"/>
            <w:sz w:val="19"/>
          </w:rPr>
          <w:t>2  数据来源、口径与研究假设</w:t>
        </w:r>
      </w:hyperlink>
      <w:r>
        <w:rPr>
          <w:rFonts w:ascii="Calibri" w:hAnsi="Calibri" w:eastAsia="Source Han Sans SC"/>
          <w:color w:val="626B73"/>
          <w:sz w:val="19"/>
        </w:rPr>
        <w:tab/>
        <w:t>6</w:t>
      </w:r>
    </w:p>
    <w:p>
      <w:pPr>
        <w:tabs>
          <w:tab w:pos="9072" w:val="right" w:leader="dot"/>
        </w:tabs>
        <w:spacing w:before="0" w:after="40" w:line="240" w:lineRule="auto"/>
      </w:pPr>
      <w:hyperlink w:anchor="sec_3">
        <w:r>
          <w:rPr>
            <w:rFonts w:ascii="Calibri" w:hAnsi="Calibri" w:eastAsia="Source Han Sans SC"/>
            <w:color w:val="2E74B5"/>
            <w:u w:val="single"/>
            <w:sz w:val="19"/>
          </w:rPr>
          <w:t>3  牧原股份盈利模型</w:t>
        </w:r>
      </w:hyperlink>
      <w:r>
        <w:rPr>
          <w:rFonts w:ascii="Calibri" w:hAnsi="Calibri" w:eastAsia="Source Han Sans SC"/>
          <w:color w:val="626B73"/>
          <w:sz w:val="19"/>
        </w:rPr>
        <w:tab/>
        <w:t>8</w:t>
      </w:r>
    </w:p>
    <w:p>
      <w:pPr>
        <w:tabs>
          <w:tab w:pos="9072" w:val="right" w:leader="dot"/>
        </w:tabs>
        <w:spacing w:before="0" w:after="40" w:line="240" w:lineRule="auto"/>
      </w:pPr>
      <w:hyperlink w:anchor="sec_4">
        <w:r>
          <w:rPr>
            <w:rFonts w:ascii="Calibri" w:hAnsi="Calibri" w:eastAsia="Source Han Sans SC"/>
            <w:color w:val="2E74B5"/>
            <w:u w:val="single"/>
            <w:sz w:val="19"/>
          </w:rPr>
          <w:t>4  2025 年利润回测</w:t>
        </w:r>
      </w:hyperlink>
      <w:r>
        <w:rPr>
          <w:rFonts w:ascii="Calibri" w:hAnsi="Calibri" w:eastAsia="Source Han Sans SC"/>
          <w:color w:val="626B73"/>
          <w:sz w:val="19"/>
        </w:rPr>
        <w:tab/>
        <w:t>11</w:t>
      </w:r>
    </w:p>
    <w:p>
      <w:pPr>
        <w:tabs>
          <w:tab w:pos="9072" w:val="right" w:leader="dot"/>
        </w:tabs>
        <w:spacing w:before="0" w:after="40" w:line="240" w:lineRule="auto"/>
      </w:pPr>
      <w:hyperlink w:anchor="sec_5">
        <w:r>
          <w:rPr>
            <w:rFonts w:ascii="Calibri" w:hAnsi="Calibri" w:eastAsia="Source Han Sans SC"/>
            <w:color w:val="2E74B5"/>
            <w:u w:val="single"/>
            <w:sz w:val="19"/>
          </w:rPr>
          <w:t>5  盈利敏感性分析</w:t>
        </w:r>
      </w:hyperlink>
      <w:r>
        <w:rPr>
          <w:rFonts w:ascii="Calibri" w:hAnsi="Calibri" w:eastAsia="Source Han Sans SC"/>
          <w:color w:val="626B73"/>
          <w:sz w:val="19"/>
        </w:rPr>
        <w:tab/>
        <w:t>13</w:t>
      </w:r>
    </w:p>
    <w:p>
      <w:pPr>
        <w:tabs>
          <w:tab w:pos="9072" w:val="right" w:leader="dot"/>
        </w:tabs>
        <w:spacing w:before="0" w:after="40" w:line="240" w:lineRule="auto"/>
      </w:pPr>
      <w:hyperlink w:anchor="sec_6">
        <w:r>
          <w:rPr>
            <w:rFonts w:ascii="Calibri" w:hAnsi="Calibri" w:eastAsia="Source Han Sans SC"/>
            <w:color w:val="2E74B5"/>
            <w:u w:val="single"/>
            <w:sz w:val="19"/>
          </w:rPr>
          <w:t>6  猪价波动与经营杠杆</w:t>
        </w:r>
      </w:hyperlink>
      <w:r>
        <w:rPr>
          <w:rFonts w:ascii="Calibri" w:hAnsi="Calibri" w:eastAsia="Source Han Sans SC"/>
          <w:color w:val="626B73"/>
          <w:sz w:val="19"/>
        </w:rPr>
        <w:tab/>
        <w:t>16</w:t>
      </w:r>
    </w:p>
    <w:p>
      <w:pPr>
        <w:tabs>
          <w:tab w:pos="9072" w:val="right" w:leader="dot"/>
        </w:tabs>
        <w:spacing w:before="0" w:after="40" w:line="240" w:lineRule="auto"/>
      </w:pPr>
      <w:hyperlink w:anchor="sec_7">
        <w:r>
          <w:rPr>
            <w:rFonts w:ascii="Calibri" w:hAnsi="Calibri" w:eastAsia="Source Han Sans SC"/>
            <w:color w:val="2E74B5"/>
            <w:u w:val="single"/>
            <w:sz w:val="19"/>
          </w:rPr>
          <w:t>7  猪价判断的三种方法</w:t>
        </w:r>
      </w:hyperlink>
      <w:r>
        <w:rPr>
          <w:rFonts w:ascii="Calibri" w:hAnsi="Calibri" w:eastAsia="Source Han Sans SC"/>
          <w:color w:val="626B73"/>
          <w:sz w:val="19"/>
        </w:rPr>
        <w:tab/>
        <w:t>17</w:t>
      </w:r>
    </w:p>
    <w:p>
      <w:pPr>
        <w:tabs>
          <w:tab w:pos="9072" w:val="right" w:leader="dot"/>
        </w:tabs>
        <w:spacing w:before="0" w:after="40" w:line="240" w:lineRule="auto"/>
      </w:pPr>
      <w:hyperlink w:anchor="sec_8">
        <w:r>
          <w:rPr>
            <w:rFonts w:ascii="Calibri" w:hAnsi="Calibri" w:eastAsia="Source Han Sans SC"/>
            <w:color w:val="2E74B5"/>
            <w:u w:val="single"/>
            <w:sz w:val="19"/>
          </w:rPr>
          <w:t>8  行业边际成本与长期合理猪价</w:t>
        </w:r>
      </w:hyperlink>
      <w:r>
        <w:rPr>
          <w:rFonts w:ascii="Calibri" w:hAnsi="Calibri" w:eastAsia="Source Han Sans SC"/>
          <w:color w:val="626B73"/>
          <w:sz w:val="19"/>
        </w:rPr>
        <w:tab/>
        <w:t>19</w:t>
      </w:r>
    </w:p>
    <w:p>
      <w:pPr>
        <w:tabs>
          <w:tab w:pos="9072" w:val="right" w:leader="dot"/>
        </w:tabs>
        <w:spacing w:before="0" w:after="40" w:line="240" w:lineRule="auto"/>
      </w:pPr>
      <w:hyperlink w:anchor="sec_9">
        <w:r>
          <w:rPr>
            <w:rFonts w:ascii="Calibri" w:hAnsi="Calibri" w:eastAsia="Source Han Sans SC"/>
            <w:color w:val="2E74B5"/>
            <w:u w:val="single"/>
            <w:sz w:val="19"/>
          </w:rPr>
          <w:t>9  历史猪周期分析</w:t>
        </w:r>
      </w:hyperlink>
      <w:r>
        <w:rPr>
          <w:rFonts w:ascii="Calibri" w:hAnsi="Calibri" w:eastAsia="Source Han Sans SC"/>
          <w:color w:val="626B73"/>
          <w:sz w:val="19"/>
        </w:rPr>
        <w:tab/>
        <w:t>22</w:t>
      </w:r>
    </w:p>
    <w:p>
      <w:pPr>
        <w:tabs>
          <w:tab w:pos="9072" w:val="right" w:leader="dot"/>
        </w:tabs>
        <w:spacing w:before="0" w:after="40" w:line="240" w:lineRule="auto"/>
      </w:pPr>
      <w:hyperlink w:anchor="sec_10">
        <w:r>
          <w:rPr>
            <w:rFonts w:ascii="Calibri" w:hAnsi="Calibri" w:eastAsia="Source Han Sans SC"/>
            <w:color w:val="2E74B5"/>
            <w:u w:val="single"/>
            <w:sz w:val="19"/>
          </w:rPr>
          <w:t>10  2027—2028 年猪价与利润展望</w:t>
        </w:r>
      </w:hyperlink>
      <w:r>
        <w:rPr>
          <w:rFonts w:ascii="Calibri" w:hAnsi="Calibri" w:eastAsia="Source Han Sans SC"/>
          <w:color w:val="626B73"/>
          <w:sz w:val="19"/>
        </w:rPr>
        <w:tab/>
        <w:t>24</w:t>
      </w:r>
    </w:p>
    <w:p>
      <w:pPr>
        <w:tabs>
          <w:tab w:pos="9072" w:val="right" w:leader="dot"/>
        </w:tabs>
        <w:spacing w:before="0" w:after="40" w:line="240" w:lineRule="auto"/>
      </w:pPr>
      <w:hyperlink w:anchor="sec_11">
        <w:r>
          <w:rPr>
            <w:rFonts w:ascii="Calibri" w:hAnsi="Calibri" w:eastAsia="Source Han Sans SC"/>
            <w:color w:val="2E74B5"/>
            <w:u w:val="single"/>
            <w:sz w:val="19"/>
          </w:rPr>
          <w:t>11  可比企业与市盈率分析</w:t>
        </w:r>
      </w:hyperlink>
      <w:r>
        <w:rPr>
          <w:rFonts w:ascii="Calibri" w:hAnsi="Calibri" w:eastAsia="Source Han Sans SC"/>
          <w:color w:val="626B73"/>
          <w:sz w:val="19"/>
        </w:rPr>
        <w:tab/>
        <w:t>26</w:t>
      </w:r>
    </w:p>
    <w:p>
      <w:pPr>
        <w:tabs>
          <w:tab w:pos="9072" w:val="right" w:leader="dot"/>
        </w:tabs>
        <w:spacing w:before="0" w:after="40" w:line="240" w:lineRule="auto"/>
      </w:pPr>
      <w:hyperlink w:anchor="sec_12">
        <w:r>
          <w:rPr>
            <w:rFonts w:ascii="Calibri" w:hAnsi="Calibri" w:eastAsia="Source Han Sans SC"/>
            <w:color w:val="2E74B5"/>
            <w:u w:val="single"/>
            <w:sz w:val="19"/>
          </w:rPr>
          <w:t>12  牧原股份情景估值</w:t>
        </w:r>
      </w:hyperlink>
      <w:r>
        <w:rPr>
          <w:rFonts w:ascii="Calibri" w:hAnsi="Calibri" w:eastAsia="Source Han Sans SC"/>
          <w:color w:val="626B73"/>
          <w:sz w:val="19"/>
        </w:rPr>
        <w:tab/>
        <w:t>29</w:t>
      </w:r>
    </w:p>
    <w:p>
      <w:pPr>
        <w:tabs>
          <w:tab w:pos="9072" w:val="right" w:leader="dot"/>
        </w:tabs>
        <w:spacing w:before="0" w:after="40" w:line="240" w:lineRule="auto"/>
      </w:pPr>
      <w:hyperlink w:anchor="sec_13">
        <w:r>
          <w:rPr>
            <w:rFonts w:ascii="Calibri" w:hAnsi="Calibri" w:eastAsia="Source Han Sans SC"/>
            <w:color w:val="2E74B5"/>
            <w:u w:val="single"/>
            <w:sz w:val="19"/>
          </w:rPr>
          <w:t>13  当前市场价格的隐含预期</w:t>
        </w:r>
      </w:hyperlink>
      <w:r>
        <w:rPr>
          <w:rFonts w:ascii="Calibri" w:hAnsi="Calibri" w:eastAsia="Source Han Sans SC"/>
          <w:color w:val="626B73"/>
          <w:sz w:val="19"/>
        </w:rPr>
        <w:tab/>
        <w:t>32</w:t>
      </w:r>
    </w:p>
    <w:p>
      <w:pPr>
        <w:tabs>
          <w:tab w:pos="9072" w:val="right" w:leader="dot"/>
        </w:tabs>
        <w:spacing w:before="0" w:after="40" w:line="240" w:lineRule="auto"/>
      </w:pPr>
      <w:hyperlink w:anchor="sec_14">
        <w:r>
          <w:rPr>
            <w:rFonts w:ascii="Calibri" w:hAnsi="Calibri" w:eastAsia="Source Han Sans SC"/>
            <w:color w:val="2E74B5"/>
            <w:u w:val="single"/>
            <w:sz w:val="19"/>
          </w:rPr>
          <w:t>14  风险分析</w:t>
        </w:r>
      </w:hyperlink>
      <w:r>
        <w:rPr>
          <w:rFonts w:ascii="Calibri" w:hAnsi="Calibri" w:eastAsia="Source Han Sans SC"/>
          <w:color w:val="626B73"/>
          <w:sz w:val="19"/>
        </w:rPr>
        <w:tab/>
        <w:t>33</w:t>
      </w:r>
    </w:p>
    <w:p>
      <w:pPr>
        <w:tabs>
          <w:tab w:pos="9072" w:val="right" w:leader="dot"/>
        </w:tabs>
        <w:spacing w:before="0" w:after="40" w:line="240" w:lineRule="auto"/>
      </w:pPr>
      <w:hyperlink w:anchor="sec_15">
        <w:r>
          <w:rPr>
            <w:rFonts w:ascii="Calibri" w:hAnsi="Calibri" w:eastAsia="Source Han Sans SC"/>
            <w:color w:val="2E74B5"/>
            <w:u w:val="single"/>
            <w:sz w:val="19"/>
          </w:rPr>
          <w:t>15  讨论</w:t>
        </w:r>
      </w:hyperlink>
      <w:r>
        <w:rPr>
          <w:rFonts w:ascii="Calibri" w:hAnsi="Calibri" w:eastAsia="Source Han Sans SC"/>
          <w:color w:val="626B73"/>
          <w:sz w:val="19"/>
        </w:rPr>
        <w:tab/>
        <w:t>35</w:t>
      </w:r>
    </w:p>
    <w:p>
      <w:pPr>
        <w:tabs>
          <w:tab w:pos="9072" w:val="right" w:leader="dot"/>
        </w:tabs>
        <w:spacing w:before="0" w:after="40" w:line="240" w:lineRule="auto"/>
      </w:pPr>
      <w:hyperlink w:anchor="sec_16">
        <w:r>
          <w:rPr>
            <w:rFonts w:ascii="Calibri" w:hAnsi="Calibri" w:eastAsia="Source Han Sans SC"/>
            <w:color w:val="2E74B5"/>
            <w:u w:val="single"/>
            <w:sz w:val="19"/>
          </w:rPr>
          <w:t>16  结论</w:t>
        </w:r>
      </w:hyperlink>
      <w:r>
        <w:rPr>
          <w:rFonts w:ascii="Calibri" w:hAnsi="Calibri" w:eastAsia="Source Han Sans SC"/>
          <w:color w:val="626B73"/>
          <w:sz w:val="19"/>
        </w:rPr>
        <w:tab/>
        <w:t>36</w:t>
      </w:r>
    </w:p>
    <w:p>
      <w:pPr>
        <w:tabs>
          <w:tab w:pos="9072" w:val="right" w:leader="dot"/>
        </w:tabs>
        <w:spacing w:before="0" w:after="40" w:line="240" w:lineRule="auto"/>
      </w:pPr>
      <w:hyperlink w:anchor="appendix_a">
        <w:r>
          <w:rPr>
            <w:rFonts w:ascii="Calibri" w:hAnsi="Calibri" w:eastAsia="Source Han Sans SC"/>
            <w:color w:val="2E74B5"/>
            <w:u w:val="single"/>
            <w:sz w:val="19"/>
          </w:rPr>
          <w:t>附录 A  关键计算公式</w:t>
        </w:r>
      </w:hyperlink>
      <w:r>
        <w:rPr>
          <w:rFonts w:ascii="Calibri" w:hAnsi="Calibri" w:eastAsia="Source Han Sans SC"/>
          <w:color w:val="626B73"/>
          <w:sz w:val="19"/>
        </w:rPr>
        <w:tab/>
        <w:t>38</w:t>
      </w:r>
    </w:p>
    <w:p>
      <w:pPr>
        <w:tabs>
          <w:tab w:pos="9072" w:val="right" w:leader="dot"/>
        </w:tabs>
        <w:spacing w:before="0" w:after="40" w:line="240" w:lineRule="auto"/>
      </w:pPr>
      <w:hyperlink w:anchor="appendix_b">
        <w:r>
          <w:rPr>
            <w:rFonts w:ascii="Calibri" w:hAnsi="Calibri" w:eastAsia="Source Han Sans SC"/>
            <w:color w:val="2E74B5"/>
            <w:u w:val="single"/>
            <w:sz w:val="19"/>
          </w:rPr>
          <w:t>附录 B  关键结论汇总</w:t>
        </w:r>
      </w:hyperlink>
      <w:r>
        <w:rPr>
          <w:rFonts w:ascii="Calibri" w:hAnsi="Calibri" w:eastAsia="Source Han Sans SC"/>
          <w:color w:val="626B73"/>
          <w:sz w:val="19"/>
        </w:rPr>
        <w:tab/>
        <w:t>39</w:t>
      </w:r>
    </w:p>
    <w:p>
      <w:pPr>
        <w:tabs>
          <w:tab w:pos="9072" w:val="right" w:leader="dot"/>
        </w:tabs>
        <w:spacing w:before="0" w:after="40" w:line="240" w:lineRule="auto"/>
      </w:pPr>
      <w:hyperlink w:anchor="references">
        <w:r>
          <w:rPr>
            <w:rFonts w:ascii="Calibri" w:hAnsi="Calibri" w:eastAsia="Source Han Sans SC"/>
            <w:color w:val="2E74B5"/>
            <w:u w:val="single"/>
            <w:sz w:val="19"/>
          </w:rPr>
          <w:t>参考文献与资料链接</w:t>
        </w:r>
      </w:hyperlink>
      <w:r>
        <w:rPr>
          <w:rFonts w:ascii="Calibri" w:hAnsi="Calibri" w:eastAsia="Source Han Sans SC"/>
          <w:color w:val="626B73"/>
          <w:sz w:val="19"/>
        </w:rPr>
        <w:tab/>
        <w:t>40</w:t>
      </w:r>
    </w:p>
    <w:p>
      <w:pPr>
        <w:jc w:val="left"/>
      </w:pPr>
      <w:r>
        <w:rPr>
          <w:rFonts w:ascii="Calibri" w:hAnsi="Calibri" w:eastAsia="Source Han Sans SC"/>
          <w:i/>
          <w:color w:val="7B838C"/>
          <w:sz w:val="18"/>
        </w:rPr>
        <w:t>目录页码已按当前版本校核；章节标题可点击跳转。</w:t>
      </w:r>
    </w:p>
    <w:p>
      <w:r>
        <w:br w:type="page"/>
      </w:r>
    </w:p>
    <w:p>
      <w:pPr>
        <w:pStyle w:val="Heading2"/>
      </w:pPr>
      <w:bookmarkStart w:id="508787" w:name="sec_abstract"/>
      <w:r>
        <w:rPr>
          <w:rFonts w:ascii="Calibri" w:hAnsi="Calibri" w:eastAsia="Source Han Sans SC"/>
          <w:b/>
          <w:color w:val="2E74B5"/>
          <w:sz w:val="26"/>
        </w:rPr>
        <w:t>摘要</w:t>
      </w:r>
      <w:bookmarkEnd w:id="508787"/>
    </w:p>
    <w:p>
      <w:r>
        <w:rPr>
          <w:rFonts w:ascii="Calibri" w:hAnsi="Calibri" w:eastAsia="Source Han Sans SC"/>
          <w:sz w:val="22"/>
        </w:rPr>
        <w:t>牧原食品股份有限公司是中国生猪养殖行业中出栏规模最大、单位成本较低且产业链一体化程度较高的企业之一。由于生猪价格具有显著周期性，牧原股份的利润并不主要取决于营业收入的稳定增长，而取决于生猪销售价格、单位完全成本、商品猪出栏量及出栏体重之间形成的单位价差。较小的猪价变化经过约百亿公斤级别的年销售重量放大后，可以引起公司利润数百亿元的变化。因此，对牧原股份进行估值，不能仅依据当期市盈率，也不能直接以单一年度利润线性外推，而应同时研究长期合理猪价、公司成本优势、供给周期位置以及利润所处的周期阶段。</w:t>
      </w:r>
    </w:p>
    <w:p>
      <w:r>
        <w:rPr>
          <w:rFonts w:ascii="Calibri" w:hAnsi="Calibri" w:eastAsia="Source Han Sans SC"/>
          <w:sz w:val="22"/>
        </w:rPr>
        <w:t>本文建立了一套由“经营利润模型—猪价判断模型—周期估值模型”构成的分析框架。首先，以商品猪销售均价、养殖完全成本、平均出栏体重和商品猪销量构建牧原养殖端简化利润模型，并使用公司 2025 年经营数据进行回测。结果显示，在采用合理体重区间和屠宰增量利润假设后，模型估算利润与公司实际归母净利润基本一致，说明该模型能够较好解释公司利润量级。其次，本文从能繁母猪和仔猪等供给先行指标、行业盈亏与产能反馈、边际生产者完全成本加正常利润三种路径分析猪价。其中，前两种方法用于判断中短期周期方向，边际成本定价法用于估算长期价格中枢。结合行业平均成本、省级养殖成本样本、牧原单位成本和全国猪肉需求规模，本文将行业边际完全成本暂估为 14.0—15.0 元/公斤，并将长期正常猪价中枢估计为 14.5—15.5 元/公斤。</w:t>
      </w:r>
    </w:p>
    <w:p>
      <w:r>
        <w:rPr>
          <w:rFonts w:ascii="Calibri" w:hAnsi="Calibri" w:eastAsia="Source Han Sans SC"/>
          <w:sz w:val="22"/>
        </w:rPr>
        <w:t>在出栏量 8000 万头、平均体重 125 公斤、完全成本 11.5 元/公斤和屠宰增量利润约 10 亿元的基准条件下，牧原在年均猪价 14 元、15 元、16 元和 18 元时的理论归母利润分别约为 260 亿元、360 亿元、460 亿元和 660 亿元。考虑周期利润越高、持续性越弱，合理市盈率应随猪价和利润上升而下降，本文认为牧原保守价值区间约为 45—55 元，标准价值区间约为 62—80 元，乐观价值区间约为 85—105 元；110—130 元以上需要较强猪周期与 A 股情绪溢价同时出现，更适合作为交易性高点而非稳定内在价值。</w:t>
      </w:r>
    </w:p>
    <w:p>
      <w:r>
        <w:rPr>
          <w:rFonts w:ascii="Calibri" w:hAnsi="Calibri" w:eastAsia="Source Han Sans SC"/>
          <w:b/>
          <w:sz w:val="22"/>
        </w:rPr>
        <w:t>关键词：</w:t>
      </w:r>
      <w:r>
        <w:rPr>
          <w:rFonts w:ascii="Calibri" w:hAnsi="Calibri" w:eastAsia="Source Han Sans SC"/>
          <w:sz w:val="22"/>
        </w:rPr>
        <w:t xml:space="preserve"> 牧原股份；生猪周期；边际成本；完全成本；能繁母猪；利润弹性；市盈率；情景估值</w:t>
      </w:r>
    </w:p>
    <w:p>
      <w:pPr>
        <w:spacing w:before="100" w:after="160" w:line="300" w:lineRule="auto"/>
        <w:ind w:left="173" w:right="115"/>
        <w:pBdr>
          <w:left w:val="single" w:sz="16" w:space="8" w:color="2E74B5"/>
        </w:pBdr>
        <w:shd w:fill="F4F6F9"/>
      </w:pPr>
      <w:r>
        <w:rPr>
          <w:rFonts w:ascii="Calibri" w:hAnsi="Calibri" w:eastAsia="Source Han Sans SC"/>
          <w:b/>
          <w:color w:val="203750"/>
          <w:sz w:val="21"/>
        </w:rPr>
        <w:t>标记说明：</w:t>
      </w:r>
      <w:r>
        <w:rPr>
          <w:rFonts w:ascii="Calibri" w:hAnsi="Calibri" w:eastAsia="Source Han Sans SC"/>
          <w:color w:val="203750"/>
          <w:sz w:val="21"/>
        </w:rPr>
        <w:t xml:space="preserve"> 外部事实数据标记为 </w:t>
      </w:r>
      <w:r>
        <w:rPr>
          <w:rFonts w:ascii="Menlo" w:hAnsi="Menlo" w:eastAsia="Source Han Sans SC"/>
          <w:color w:val="1F4D78"/>
          <w:sz w:val="20"/>
        </w:rPr>
        <w:t>[Sxx]</w:t>
      </w:r>
      <w:r>
        <w:rPr>
          <w:rFonts w:ascii="Calibri" w:hAnsi="Calibri" w:eastAsia="Source Han Sans SC"/>
          <w:color w:val="203750"/>
          <w:sz w:val="21"/>
        </w:rPr>
        <w:t xml:space="preserve">，模型假设标记为 </w:t>
      </w:r>
      <w:r>
        <w:rPr>
          <w:rFonts w:ascii="Menlo" w:hAnsi="Menlo" w:eastAsia="Source Han Sans SC"/>
          <w:color w:val="1F4D78"/>
          <w:sz w:val="20"/>
        </w:rPr>
        <w:t>[Axx]</w:t>
      </w:r>
      <w:r>
        <w:rPr>
          <w:rFonts w:ascii="Calibri" w:hAnsi="Calibri" w:eastAsia="Source Han Sans SC"/>
          <w:color w:val="203750"/>
          <w:sz w:val="21"/>
        </w:rPr>
        <w:t xml:space="preserve">，计算结果标记为 </w:t>
      </w:r>
      <w:r>
        <w:rPr>
          <w:rFonts w:ascii="Menlo" w:hAnsi="Menlo" w:eastAsia="Source Han Sans SC"/>
          <w:color w:val="1F4D78"/>
          <w:sz w:val="20"/>
        </w:rPr>
        <w:t>[Dxx]</w:t>
      </w:r>
      <w:r>
        <w:rPr>
          <w:rFonts w:ascii="Calibri" w:hAnsi="Calibri" w:eastAsia="Source Han Sans SC"/>
          <w:color w:val="203750"/>
          <w:sz w:val="21"/>
        </w:rPr>
        <w:t xml:space="preserve">，分析判断标记为 </w:t>
      </w:r>
      <w:r>
        <w:rPr>
          <w:rFonts w:ascii="Menlo" w:hAnsi="Menlo" w:eastAsia="Source Han Sans SC"/>
          <w:color w:val="1F4D78"/>
          <w:sz w:val="20"/>
        </w:rPr>
        <w:t>[Jxx]</w:t>
      </w:r>
      <w:r>
        <w:rPr>
          <w:rFonts w:ascii="Calibri" w:hAnsi="Calibri" w:eastAsia="Source Han Sans SC"/>
          <w:color w:val="203750"/>
          <w:sz w:val="21"/>
        </w:rPr>
        <w:t>。本文属于研究性估值框架，不构成投资建议。</w:t>
      </w:r>
    </w:p>
    <w:p>
      <w:pPr>
        <w:pStyle w:val="Heading1"/>
      </w:pPr>
      <w:bookmarkStart w:id="560220" w:name="sec_1"/>
      <w:r>
        <w:rPr>
          <w:rFonts w:ascii="Calibri" w:hAnsi="Calibri" w:eastAsia="Source Han Sans SC"/>
          <w:b/>
          <w:color w:val="2E74B5"/>
          <w:sz w:val="32"/>
        </w:rPr>
        <w:t>1 引言</w:t>
      </w:r>
      <w:bookmarkEnd w:id="560220"/>
    </w:p>
    <w:p>
      <w:pPr>
        <w:pStyle w:val="Heading2"/>
      </w:pPr>
      <w:r>
        <w:rPr>
          <w:rFonts w:ascii="Calibri" w:hAnsi="Calibri" w:eastAsia="Source Han Sans SC"/>
          <w:b/>
          <w:color w:val="2E74B5"/>
          <w:sz w:val="26"/>
        </w:rPr>
        <w:t>1.1 研究背景</w:t>
      </w:r>
    </w:p>
    <w:p>
      <w:r>
        <w:rPr>
          <w:rFonts w:ascii="Calibri" w:hAnsi="Calibri" w:eastAsia="Source Han Sans SC"/>
          <w:sz w:val="22"/>
        </w:rPr>
        <w:t>生猪养殖是典型的强周期行业。猪肉需求相对稳定，但供给受到能繁母猪存栏、仔猪补栏、疫病、饲料成本、养殖效率、压栏增重和二次育肥等因素共同影响。由于母猪配种、妊娠、仔猪保育和商品猪育肥之间存在较长生产时滞，当前的养殖决策通常需要数月甚至一年后才会反映为商品猪供给变化。这种供给滞后使行业容易出现“盈利—扩产—过剩—亏损—去产能—短缺—重新盈利”的周期性波动。</w:t>
      </w:r>
    </w:p>
    <w:p>
      <w:r>
        <w:rPr>
          <w:rFonts w:ascii="Calibri" w:hAnsi="Calibri" w:eastAsia="Source Han Sans SC"/>
          <w:sz w:val="22"/>
        </w:rPr>
        <w:t xml:space="preserve">牧原股份的特殊性在于，其生猪出栏规模巨大，同时完全成本低于行业平均水平。2025 年，公司销售商品猪 7798.1 万头，生猪养殖完全成本约为 12 元/公斤，归母净利润为 154.87 亿元 </w:t>
      </w:r>
      <w:r>
        <w:rPr>
          <w:rFonts w:ascii="Menlo" w:hAnsi="Menlo" w:eastAsia="Source Han Sans SC"/>
          <w:color w:val="1F4D78"/>
          <w:sz w:val="21"/>
        </w:rPr>
        <w:t>[S01]</w:t>
      </w:r>
      <w:r>
        <w:rPr>
          <w:rFonts w:ascii="Calibri" w:hAnsi="Calibri" w:eastAsia="Source Han Sans SC"/>
          <w:sz w:val="22"/>
        </w:rPr>
        <w:t xml:space="preserve">。在如此大的销售规模下，每公斤利润变化会被放大为显著的总利润变化。若公司全年销售重量接近 100 亿公斤，则猪价每变化 1 元/公斤，理论利润变化约为 100 亿元 </w:t>
      </w:r>
      <w:r>
        <w:rPr>
          <w:rFonts w:ascii="Menlo" w:hAnsi="Menlo" w:eastAsia="Source Han Sans SC"/>
          <w:color w:val="1F4D78"/>
          <w:sz w:val="21"/>
        </w:rPr>
        <w:t>[D03]</w:t>
      </w:r>
      <w:r>
        <w:rPr>
          <w:rFonts w:ascii="Calibri" w:hAnsi="Calibri" w:eastAsia="Source Han Sans SC"/>
          <w:sz w:val="22"/>
        </w:rPr>
        <w:t>。这使牧原同时具备成本龙头属性和高经营杠杆属性。</w:t>
      </w:r>
    </w:p>
    <w:p>
      <w:pPr>
        <w:pStyle w:val="Heading2"/>
      </w:pPr>
      <w:r>
        <w:rPr>
          <w:rFonts w:ascii="Calibri" w:hAnsi="Calibri" w:eastAsia="Source Han Sans SC"/>
          <w:b/>
          <w:color w:val="2E74B5"/>
          <w:sz w:val="26"/>
        </w:rPr>
        <w:t>1.2 研究问题</w:t>
      </w:r>
    </w:p>
    <w:p>
      <w:r>
        <w:rPr>
          <w:rFonts w:ascii="Calibri" w:hAnsi="Calibri" w:eastAsia="Source Han Sans SC"/>
          <w:sz w:val="22"/>
        </w:rPr>
        <w:t>本文试图回答以下问题：</w:t>
      </w:r>
    </w:p>
    <w:p>
      <w:pPr>
        <w:numPr>
          <w:ilvl w:val="0"/>
          <w:numId w:val="11"/>
        </w:numPr>
        <w:spacing w:after="80" w:line="290" w:lineRule="auto"/>
      </w:pPr>
      <w:r>
        <w:rPr>
          <w:rFonts w:ascii="Calibri" w:hAnsi="Calibri" w:eastAsia="Source Han Sans SC"/>
          <w:sz w:val="22"/>
        </w:rPr>
        <w:t>牧原的利润可以如何使用简单、透明且可验证的公式进行估算？</w:t>
      </w:r>
    </w:p>
    <w:p>
      <w:pPr>
        <w:numPr>
          <w:ilvl w:val="0"/>
          <w:numId w:val="11"/>
        </w:numPr>
        <w:spacing w:after="80" w:line="290" w:lineRule="auto"/>
      </w:pPr>
      <w:r>
        <w:rPr>
          <w:rFonts w:ascii="Calibri" w:hAnsi="Calibri" w:eastAsia="Source Han Sans SC"/>
          <w:sz w:val="22"/>
        </w:rPr>
        <w:t>猪价、成本、出栏量、出栏体重和屠宰业务分别对利润产生多大影响？</w:t>
      </w:r>
    </w:p>
    <w:p>
      <w:pPr>
        <w:numPr>
          <w:ilvl w:val="0"/>
          <w:numId w:val="11"/>
        </w:numPr>
        <w:spacing w:after="80" w:line="290" w:lineRule="auto"/>
      </w:pPr>
      <w:r>
        <w:rPr>
          <w:rFonts w:ascii="Calibri" w:hAnsi="Calibri" w:eastAsia="Source Han Sans SC"/>
          <w:sz w:val="22"/>
        </w:rPr>
        <w:t>长期合理猪价应该如何判断，为什么不能直接使用牧原成本或最高成本散户的成本？</w:t>
      </w:r>
    </w:p>
    <w:p>
      <w:pPr>
        <w:numPr>
          <w:ilvl w:val="0"/>
          <w:numId w:val="11"/>
        </w:numPr>
        <w:spacing w:after="80" w:line="290" w:lineRule="auto"/>
      </w:pPr>
      <w:r>
        <w:rPr>
          <w:rFonts w:ascii="Calibri" w:hAnsi="Calibri" w:eastAsia="Source Han Sans SC"/>
          <w:sz w:val="22"/>
        </w:rPr>
        <w:t>2027—2028 年生猪价格和牧原利润可能处于什么区间？</w:t>
      </w:r>
    </w:p>
    <w:p>
      <w:pPr>
        <w:numPr>
          <w:ilvl w:val="0"/>
          <w:numId w:val="11"/>
        </w:numPr>
        <w:spacing w:after="80" w:line="290" w:lineRule="auto"/>
      </w:pPr>
      <w:r>
        <w:rPr>
          <w:rFonts w:ascii="Calibri" w:hAnsi="Calibri" w:eastAsia="Source Han Sans SC"/>
          <w:sz w:val="22"/>
        </w:rPr>
        <w:t>在不同利润周期位置下，牧原应匹配何种市盈率？</w:t>
      </w:r>
    </w:p>
    <w:p>
      <w:pPr>
        <w:numPr>
          <w:ilvl w:val="0"/>
          <w:numId w:val="11"/>
        </w:numPr>
        <w:spacing w:after="80" w:line="290" w:lineRule="auto"/>
      </w:pPr>
      <w:r>
        <w:rPr>
          <w:rFonts w:ascii="Calibri" w:hAnsi="Calibri" w:eastAsia="Source Han Sans SC"/>
          <w:sz w:val="22"/>
        </w:rPr>
        <w:t>当前股价隐含了何种猪价和利润预期，其风险收益比是否具有吸引力？</w:t>
      </w:r>
    </w:p>
    <w:p>
      <w:pPr>
        <w:pStyle w:val="Heading2"/>
      </w:pPr>
      <w:r>
        <w:rPr>
          <w:rFonts w:ascii="Calibri" w:hAnsi="Calibri" w:eastAsia="Source Han Sans SC"/>
          <w:b/>
          <w:color w:val="2E74B5"/>
          <w:sz w:val="26"/>
        </w:rPr>
        <w:t>1.3 研究思路</w:t>
      </w:r>
    </w:p>
    <w:p>
      <w:r>
        <w:rPr>
          <w:rFonts w:ascii="Calibri" w:hAnsi="Calibri" w:eastAsia="Source Han Sans SC"/>
          <w:sz w:val="22"/>
        </w:rPr>
        <w:t>本文采用三层分析框架：</w:t>
      </w:r>
    </w:p>
    <w:p>
      <w:r>
        <w:rPr>
          <w:rFonts w:ascii="Calibri" w:hAnsi="Calibri" w:eastAsia="Source Han Sans SC"/>
          <w:sz w:val="22"/>
        </w:rPr>
        <w:t>第一层为经营利润模型，即通过生猪销售价格与单位完全成本之差，乘以销售重量，计算养殖端利润，并进一步加入屠宰肉食业务增量利润。</w:t>
      </w:r>
    </w:p>
    <w:p>
      <w:r>
        <w:rPr>
          <w:rFonts w:ascii="Calibri" w:hAnsi="Calibri" w:eastAsia="Source Han Sans SC"/>
          <w:sz w:val="22"/>
        </w:rPr>
        <w:t>第二层为猪价判断模型，分别从供给先行指标、行业盈亏反馈和边际生产者定价三个角度判断猪价。其中，供给指标主要用于判断未来 6—12 个月的供给变化；盈亏反馈用于解释周期形成机制；边际成本加正常利润用于估算长期价格中枢。</w:t>
      </w:r>
    </w:p>
    <w:p>
      <w:r>
        <w:rPr>
          <w:rFonts w:ascii="Calibri" w:hAnsi="Calibri" w:eastAsia="Source Han Sans SC"/>
          <w:sz w:val="22"/>
        </w:rPr>
        <w:t>第三层为估值模型，即将不同猪价情景对应的利润与不同周期位置下的合理市盈率结合，计算公司市值和每股价值。</w:t>
      </w:r>
    </w:p>
    <w:p>
      <w:pPr>
        <w:pStyle w:val="Heading1"/>
        <w:pageBreakBefore/>
      </w:pPr>
      <w:bookmarkStart w:id="613660" w:name="sec_2"/>
      <w:r>
        <w:rPr>
          <w:rFonts w:ascii="Calibri" w:hAnsi="Calibri" w:eastAsia="Source Han Sans SC"/>
          <w:b/>
          <w:color w:val="2E74B5"/>
          <w:sz w:val="32"/>
        </w:rPr>
        <w:t>2 数据来源、口径与研究假设</w:t>
      </w:r>
      <w:bookmarkEnd w:id="613660"/>
    </w:p>
    <w:p>
      <w:pPr>
        <w:pStyle w:val="Heading2"/>
      </w:pPr>
      <w:r>
        <w:rPr>
          <w:rFonts w:ascii="Calibri" w:hAnsi="Calibri" w:eastAsia="Source Han Sans SC"/>
          <w:b/>
          <w:color w:val="2E74B5"/>
          <w:sz w:val="26"/>
        </w:rPr>
        <w:t>2.1 数据来源</w:t>
      </w:r>
    </w:p>
    <w:p>
      <w:r>
        <w:rPr>
          <w:rFonts w:ascii="Calibri" w:hAnsi="Calibri" w:eastAsia="Source Han Sans SC"/>
          <w:sz w:val="22"/>
        </w:rPr>
        <w:t>本文主要使用以下类型资料：</w:t>
      </w:r>
    </w:p>
    <w:p>
      <w:pPr>
        <w:numPr>
          <w:ilvl w:val="0"/>
          <w:numId w:val="11"/>
        </w:numPr>
        <w:spacing w:after="80" w:line="290" w:lineRule="auto"/>
      </w:pPr>
      <w:r>
        <w:rPr>
          <w:rFonts w:ascii="Calibri" w:hAnsi="Calibri" w:eastAsia="Source Han Sans SC"/>
          <w:sz w:val="22"/>
        </w:rPr>
        <w:t>牧原股份年度报告、业绩预告和月度销售简报；</w:t>
      </w:r>
    </w:p>
    <w:p>
      <w:pPr>
        <w:numPr>
          <w:ilvl w:val="0"/>
          <w:numId w:val="11"/>
        </w:numPr>
        <w:spacing w:after="80" w:line="290" w:lineRule="auto"/>
      </w:pPr>
      <w:r>
        <w:rPr>
          <w:rFonts w:ascii="Calibri" w:hAnsi="Calibri" w:eastAsia="Source Han Sans SC"/>
          <w:sz w:val="22"/>
        </w:rPr>
        <w:t>国家统计局公布的全国生猪出栏、猪肉产量和存栏数据；</w:t>
      </w:r>
    </w:p>
    <w:p>
      <w:pPr>
        <w:numPr>
          <w:ilvl w:val="0"/>
          <w:numId w:val="11"/>
        </w:numPr>
        <w:spacing w:after="80" w:line="290" w:lineRule="auto"/>
      </w:pPr>
      <w:r>
        <w:rPr>
          <w:rFonts w:ascii="Calibri" w:hAnsi="Calibri" w:eastAsia="Source Han Sans SC"/>
          <w:sz w:val="22"/>
        </w:rPr>
        <w:t>农业农村部生猪产能调控政策与行业监测数据；</w:t>
      </w:r>
    </w:p>
    <w:p>
      <w:pPr>
        <w:numPr>
          <w:ilvl w:val="0"/>
          <w:numId w:val="11"/>
        </w:numPr>
        <w:spacing w:after="80" w:line="290" w:lineRule="auto"/>
      </w:pPr>
      <w:r>
        <w:rPr>
          <w:rFonts w:ascii="Calibri" w:hAnsi="Calibri" w:eastAsia="Source Han Sans SC"/>
          <w:sz w:val="22"/>
        </w:rPr>
        <w:t>地方畜牧部门公布的自繁自养和外购仔猪养殖成本；</w:t>
      </w:r>
    </w:p>
    <w:p>
      <w:pPr>
        <w:numPr>
          <w:ilvl w:val="0"/>
          <w:numId w:val="11"/>
        </w:numPr>
        <w:spacing w:after="80" w:line="290" w:lineRule="auto"/>
      </w:pPr>
      <w:r>
        <w:rPr>
          <w:rFonts w:ascii="Calibri" w:hAnsi="Calibri" w:eastAsia="Source Han Sans SC"/>
          <w:sz w:val="22"/>
        </w:rPr>
        <w:t>中国期货业协会等机构发布的历史猪周期资料；</w:t>
      </w:r>
    </w:p>
    <w:p>
      <w:pPr>
        <w:numPr>
          <w:ilvl w:val="0"/>
          <w:numId w:val="11"/>
        </w:numPr>
        <w:spacing w:after="80" w:line="290" w:lineRule="auto"/>
      </w:pPr>
      <w:r>
        <w:rPr>
          <w:rFonts w:ascii="Calibri" w:hAnsi="Calibri" w:eastAsia="Source Han Sans SC"/>
          <w:sz w:val="22"/>
        </w:rPr>
        <w:t>Smithfield、Seaboard、Tyson 等海外肉类企业的财务和行情资料；</w:t>
      </w:r>
    </w:p>
    <w:p>
      <w:pPr>
        <w:numPr>
          <w:ilvl w:val="0"/>
          <w:numId w:val="11"/>
        </w:numPr>
        <w:spacing w:after="80" w:line="290" w:lineRule="auto"/>
      </w:pPr>
      <w:r>
        <w:rPr>
          <w:rFonts w:ascii="Calibri" w:hAnsi="Calibri" w:eastAsia="Source Han Sans SC"/>
          <w:sz w:val="22"/>
        </w:rPr>
        <w:t>券商对温氏股份历史周期利润和估值的研究资料。</w:t>
      </w:r>
    </w:p>
    <w:p>
      <w:r>
        <w:rPr>
          <w:rFonts w:ascii="Calibri" w:hAnsi="Calibri" w:eastAsia="Source Han Sans SC"/>
          <w:sz w:val="22"/>
        </w:rPr>
        <w:t>所有主要资料均在文末提供可点击链接。</w:t>
      </w:r>
    </w:p>
    <w:p>
      <w:pPr>
        <w:pStyle w:val="Heading2"/>
      </w:pPr>
      <w:r>
        <w:rPr>
          <w:rFonts w:ascii="Calibri" w:hAnsi="Calibri" w:eastAsia="Source Han Sans SC"/>
          <w:b/>
          <w:color w:val="2E74B5"/>
          <w:sz w:val="26"/>
        </w:rPr>
        <w:t>2.2 核心口径</w:t>
      </w:r>
    </w:p>
    <w:p>
      <w:pPr>
        <w:pStyle w:val="Heading3"/>
      </w:pPr>
      <w:r>
        <w:rPr>
          <w:rFonts w:ascii="Calibri" w:hAnsi="Calibri" w:eastAsia="Source Han Sans SC"/>
          <w:b/>
          <w:color w:val="1F4D78"/>
          <w:sz w:val="24"/>
        </w:rPr>
        <w:t>2.2.1 商品猪销量与出栏量</w:t>
      </w:r>
    </w:p>
    <w:p>
      <w:r>
        <w:rPr>
          <w:rFonts w:ascii="Calibri" w:hAnsi="Calibri" w:eastAsia="Source Han Sans SC"/>
          <w:sz w:val="22"/>
        </w:rPr>
        <w:t>公司销售简报可能同时包含商品猪、仔猪和种猪。本文利润模型原则上应使用商品猪销售量，并根据数据可得性对仔猪和种猪差异作简化处理。正式财务预测时，应进一步拆分不同产品的销售价格和毛利。</w:t>
      </w:r>
    </w:p>
    <w:p>
      <w:pPr>
        <w:pStyle w:val="Heading3"/>
      </w:pPr>
      <w:r>
        <w:rPr>
          <w:rFonts w:ascii="Calibri" w:hAnsi="Calibri" w:eastAsia="Source Han Sans SC"/>
          <w:b/>
          <w:color w:val="1F4D78"/>
          <w:sz w:val="24"/>
        </w:rPr>
        <w:t>2.2.2 完全成本</w:t>
      </w:r>
    </w:p>
    <w:p>
      <w:r>
        <w:rPr>
          <w:rFonts w:ascii="Calibri" w:hAnsi="Calibri" w:eastAsia="Source Han Sans SC"/>
          <w:sz w:val="22"/>
        </w:rPr>
        <w:t>完全成本通常包括饲料、仔猪或母猪摊销、疫苗兽药、人工、水电、折旧、死亡损失、环保、管理和财务费用等。不同公司披露口径可能存在差异，因此比较行业成本时，应尽可能统一为“元/公斤商品猪完全成本”。</w:t>
      </w:r>
    </w:p>
    <w:p>
      <w:pPr>
        <w:pStyle w:val="Heading3"/>
      </w:pPr>
      <w:r>
        <w:rPr>
          <w:rFonts w:ascii="Calibri" w:hAnsi="Calibri" w:eastAsia="Source Han Sans SC"/>
          <w:b/>
          <w:color w:val="1F4D78"/>
          <w:sz w:val="24"/>
        </w:rPr>
        <w:t>2.2.3 现金成本</w:t>
      </w:r>
    </w:p>
    <w:p>
      <w:r>
        <w:rPr>
          <w:rFonts w:ascii="Calibri" w:hAnsi="Calibri" w:eastAsia="Source Han Sans SC"/>
          <w:sz w:val="22"/>
        </w:rPr>
        <w:t>现金成本不包含部分折旧及其他非现金项目。猪价低于完全成本时，养殖主体仍可能继续生产；只有当猪价接近或低于现金成本，现金流压力才可能迫使企业快速淘汰母猪和退出产能。因此，完全成本适合判断长期可持续价格，现金成本适合判断短期产能退出速度。</w:t>
      </w:r>
    </w:p>
    <w:p>
      <w:pPr>
        <w:pStyle w:val="Heading2"/>
      </w:pPr>
      <w:r>
        <w:rPr>
          <w:rFonts w:ascii="Calibri" w:hAnsi="Calibri" w:eastAsia="Source Han Sans SC"/>
          <w:b/>
          <w:color w:val="2E74B5"/>
          <w:sz w:val="26"/>
        </w:rPr>
        <w:t>2.3 基础模型假设</w:t>
      </w:r>
    </w:p>
    <w:p>
      <w:r>
        <w:rPr>
          <w:rFonts w:ascii="Calibri" w:hAnsi="Calibri" w:eastAsia="Source Han Sans SC"/>
          <w:sz w:val="22"/>
        </w:rPr>
        <w:t>本文在中长期情景分析中采用以下基准假设：</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1985"/>
        <w:gridCol w:w="3971"/>
        <w:gridCol w:w="3404"/>
      </w:tblGrid>
      <w:tr>
        <w:trPr>
          <w:cantSplit/>
          <w:tblHeader w:val="true"/>
        </w:trPr>
        <w:tc>
          <w:tcPr>
            <w:tcW w:type="dxa" w:w="1985"/>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编号</w:t>
            </w:r>
          </w:p>
        </w:tc>
        <w:tc>
          <w:tcPr>
            <w:tcW w:type="dxa" w:w="3971"/>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假设</w:t>
            </w:r>
          </w:p>
        </w:tc>
        <w:tc>
          <w:tcPr>
            <w:tcW w:type="dxa" w:w="3404"/>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数值</w:t>
            </w:r>
          </w:p>
        </w:tc>
      </w:tr>
      <w:tr>
        <w:trPr>
          <w:cantSplit/>
        </w:trPr>
        <w:tc>
          <w:tcPr>
            <w:tcW w:type="dxa" w:w="198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A01</w:t>
            </w:r>
          </w:p>
        </w:tc>
        <w:tc>
          <w:tcPr>
            <w:tcW w:type="dxa" w:w="397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2025 年平均销售体重区间</w:t>
            </w:r>
          </w:p>
        </w:tc>
        <w:tc>
          <w:tcPr>
            <w:tcW w:type="dxa" w:w="340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122—125 公斤/头</w:t>
            </w:r>
          </w:p>
        </w:tc>
      </w:tr>
      <w:tr>
        <w:trPr>
          <w:cantSplit/>
        </w:trPr>
        <w:tc>
          <w:tcPr>
            <w:tcW w:type="dxa" w:w="198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A02</w:t>
            </w:r>
          </w:p>
        </w:tc>
        <w:tc>
          <w:tcPr>
            <w:tcW w:type="dxa" w:w="397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屠宰肉食单位增量利润</w:t>
            </w:r>
          </w:p>
        </w:tc>
        <w:tc>
          <w:tcPr>
            <w:tcW w:type="dxa" w:w="340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0.3 元/公斤</w:t>
            </w:r>
          </w:p>
        </w:tc>
      </w:tr>
      <w:tr>
        <w:trPr>
          <w:cantSplit/>
        </w:trPr>
        <w:tc>
          <w:tcPr>
            <w:tcW w:type="dxa" w:w="198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A03</w:t>
            </w:r>
          </w:p>
        </w:tc>
        <w:tc>
          <w:tcPr>
            <w:tcW w:type="dxa" w:w="397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中长期商品猪出栏量</w:t>
            </w:r>
          </w:p>
        </w:tc>
        <w:tc>
          <w:tcPr>
            <w:tcW w:type="dxa" w:w="340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8000 万头</w:t>
            </w:r>
          </w:p>
        </w:tc>
      </w:tr>
      <w:tr>
        <w:trPr>
          <w:cantSplit/>
        </w:trPr>
        <w:tc>
          <w:tcPr>
            <w:tcW w:type="dxa" w:w="198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A04</w:t>
            </w:r>
          </w:p>
        </w:tc>
        <w:tc>
          <w:tcPr>
            <w:tcW w:type="dxa" w:w="397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中长期平均出栏体重</w:t>
            </w:r>
          </w:p>
        </w:tc>
        <w:tc>
          <w:tcPr>
            <w:tcW w:type="dxa" w:w="340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125 公斤/头</w:t>
            </w:r>
          </w:p>
        </w:tc>
      </w:tr>
      <w:tr>
        <w:trPr>
          <w:cantSplit/>
        </w:trPr>
        <w:tc>
          <w:tcPr>
            <w:tcW w:type="dxa" w:w="198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A05</w:t>
            </w:r>
          </w:p>
        </w:tc>
        <w:tc>
          <w:tcPr>
            <w:tcW w:type="dxa" w:w="397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中长期生猪养殖完全成本</w:t>
            </w:r>
          </w:p>
        </w:tc>
        <w:tc>
          <w:tcPr>
            <w:tcW w:type="dxa" w:w="340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11.5 元/公斤</w:t>
            </w:r>
          </w:p>
        </w:tc>
      </w:tr>
      <w:tr>
        <w:trPr>
          <w:cantSplit/>
        </w:trPr>
        <w:tc>
          <w:tcPr>
            <w:tcW w:type="dxa" w:w="198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A06</w:t>
            </w:r>
          </w:p>
        </w:tc>
        <w:tc>
          <w:tcPr>
            <w:tcW w:type="dxa" w:w="397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屠宰产品产出率</w:t>
            </w:r>
          </w:p>
        </w:tc>
        <w:tc>
          <w:tcPr>
            <w:tcW w:type="dxa" w:w="340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90%</w:t>
            </w:r>
          </w:p>
        </w:tc>
      </w:tr>
      <w:tr>
        <w:trPr>
          <w:cantSplit/>
        </w:trPr>
        <w:tc>
          <w:tcPr>
            <w:tcW w:type="dxa" w:w="198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A07</w:t>
            </w:r>
          </w:p>
        </w:tc>
        <w:tc>
          <w:tcPr>
            <w:tcW w:type="dxa" w:w="397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边际生产者正常利润</w:t>
            </w:r>
          </w:p>
        </w:tc>
        <w:tc>
          <w:tcPr>
            <w:tcW w:type="dxa" w:w="340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50—100 元/头</w:t>
            </w:r>
          </w:p>
        </w:tc>
      </w:tr>
    </w:tbl>
    <w:p>
      <w:pPr>
        <w:spacing w:before="0" w:after="20" w:line="48" w:lineRule="auto"/>
      </w:pPr>
    </w:p>
    <w:p>
      <w:r>
        <w:rPr>
          <w:rFonts w:ascii="Calibri" w:hAnsi="Calibri" w:eastAsia="Source Han Sans SC"/>
          <w:sz w:val="22"/>
        </w:rPr>
        <w:t>其中，A02、A04、A05、A06 和 A07 属于估值模型假设，并非公司已承诺数据。使用者应随公司披露、饲料价格和生产效率变化进行更新。</w:t>
      </w:r>
    </w:p>
    <w:p>
      <w:pPr>
        <w:pStyle w:val="Heading1"/>
        <w:pageBreakBefore/>
      </w:pPr>
      <w:bookmarkStart w:id="233621" w:name="sec_3"/>
      <w:r>
        <w:rPr>
          <w:rFonts w:ascii="Calibri" w:hAnsi="Calibri" w:eastAsia="Source Han Sans SC"/>
          <w:b/>
          <w:color w:val="2E74B5"/>
          <w:sz w:val="32"/>
        </w:rPr>
        <w:t>3 牧原股份盈利模型</w:t>
      </w:r>
      <w:bookmarkEnd w:id="233621"/>
    </w:p>
    <w:p>
      <w:pPr>
        <w:pStyle w:val="Heading2"/>
      </w:pPr>
      <w:r>
        <w:rPr>
          <w:rFonts w:ascii="Calibri" w:hAnsi="Calibri" w:eastAsia="Source Han Sans SC"/>
          <w:b/>
          <w:color w:val="2E74B5"/>
          <w:sz w:val="26"/>
        </w:rPr>
        <w:t>3.1 股价、市值、利润和市盈率的关系</w:t>
      </w:r>
    </w:p>
    <w:p>
      <w:r>
        <w:rPr>
          <w:rFonts w:ascii="Calibri" w:hAnsi="Calibri" w:eastAsia="Source Han Sans SC"/>
          <w:sz w:val="22"/>
        </w:rPr>
        <w:t>股价本身不能直接反映一家公司的贵或便宜。公司市值由股价和总股本共同决定：</w:t>
      </w:r>
    </w:p>
    <w:p>
      <w:pPr>
        <w:keepLines/>
        <w:spacing w:before="100" w:after="140"/>
        <w:jc w:val="center"/>
        <w:shd w:fill="F7F9FB"/>
      </w:pPr>
      <w:r>
        <w:rPr>
          <w:rFonts w:ascii="Cambria Math" w:hAnsi="Cambria Math" w:eastAsia="Source Han Sans SC"/>
          <w:color w:val="203750"/>
          <w:sz w:val="23"/>
        </w:rPr>
        <w:t>公司市值=股价×总股本</w:t>
      </w:r>
    </w:p>
    <w:p>
      <w:r>
        <w:rPr>
          <w:rFonts w:ascii="Calibri" w:hAnsi="Calibri" w:eastAsia="Source Han Sans SC"/>
          <w:sz w:val="22"/>
        </w:rPr>
        <w:t>市盈率定义为：</w:t>
      </w:r>
    </w:p>
    <w:p>
      <w:pPr>
        <w:keepLines/>
        <w:spacing w:before="100" w:after="140"/>
        <w:jc w:val="center"/>
        <w:shd w:fill="F7F9FB"/>
      </w:pPr>
      <w:r>
        <w:rPr>
          <w:rFonts w:ascii="Cambria Math" w:hAnsi="Cambria Math" w:eastAsia="Source Han Sans SC"/>
          <w:color w:val="203750"/>
          <w:sz w:val="23"/>
        </w:rPr>
        <w:t>PE=(公司市值) / (归母净利润)</w:t>
      </w:r>
    </w:p>
    <w:p>
      <w:r>
        <w:rPr>
          <w:rFonts w:ascii="Calibri" w:hAnsi="Calibri" w:eastAsia="Source Han Sans SC"/>
          <w:sz w:val="22"/>
        </w:rPr>
        <w:t>因此：</w:t>
      </w:r>
    </w:p>
    <w:p>
      <w:pPr>
        <w:keepLines/>
        <w:spacing w:before="100" w:after="140"/>
        <w:jc w:val="center"/>
        <w:shd w:fill="F7F9FB"/>
      </w:pPr>
      <w:r>
        <w:rPr>
          <w:rFonts w:ascii="Cambria Math" w:hAnsi="Cambria Math" w:eastAsia="Source Han Sans SC"/>
          <w:color w:val="203750"/>
          <w:sz w:val="23"/>
        </w:rPr>
        <w:t>公司市值=归母净利润× PE</w:t>
      </w:r>
    </w:p>
    <w:p>
      <w:r>
        <w:rPr>
          <w:rFonts w:ascii="Calibri" w:hAnsi="Calibri" w:eastAsia="Source Han Sans SC"/>
          <w:sz w:val="22"/>
        </w:rPr>
        <w:t>目标股价可表示为：</w:t>
      </w:r>
    </w:p>
    <w:p>
      <w:pPr>
        <w:keepLines/>
        <w:spacing w:before="100" w:after="140"/>
        <w:jc w:val="center"/>
        <w:shd w:fill="F7F9FB"/>
      </w:pPr>
      <w:r>
        <w:rPr>
          <w:rFonts w:ascii="Cambria Math" w:hAnsi="Cambria Math" w:eastAsia="Source Han Sans SC"/>
          <w:color w:val="203750"/>
          <w:sz w:val="23"/>
        </w:rPr>
        <w:t>目标股价= (归母净利润× PE) / (总股本)</w:t>
      </w:r>
    </w:p>
    <w:p>
      <w:r>
        <w:rPr>
          <w:rFonts w:ascii="Calibri" w:hAnsi="Calibri" w:eastAsia="Source Han Sans SC"/>
          <w:sz w:val="22"/>
        </w:rPr>
        <w:t xml:space="preserve">牧原总股本约为 57.73 亿股 </w:t>
      </w:r>
      <w:r>
        <w:rPr>
          <w:rFonts w:ascii="Menlo" w:hAnsi="Menlo" w:eastAsia="Source Han Sans SC"/>
          <w:color w:val="1F4D78"/>
          <w:sz w:val="21"/>
        </w:rPr>
        <w:t>[S03]</w:t>
      </w:r>
      <w:r>
        <w:rPr>
          <w:rFonts w:ascii="Calibri" w:hAnsi="Calibri" w:eastAsia="Source Han Sans SC"/>
          <w:sz w:val="22"/>
        </w:rPr>
        <w:t>。据此，市值与股价大致对应如下：</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3854"/>
        <w:gridCol w:w="5506"/>
      </w:tblGrid>
      <w:tr>
        <w:trPr>
          <w:cantSplit/>
          <w:tblHeader w:val="true"/>
        </w:trPr>
        <w:tc>
          <w:tcPr>
            <w:tcW w:type="dxa" w:w="3854"/>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市值</w:t>
            </w:r>
          </w:p>
        </w:tc>
        <w:tc>
          <w:tcPr>
            <w:tcW w:type="dxa" w:w="5506"/>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每股价值 </w:t>
            </w:r>
            <w:r>
              <w:rPr>
                <w:rFonts w:ascii="Menlo" w:hAnsi="Menlo" w:eastAsia="Source Han Sans SC"/>
                <w:b/>
                <w:color w:val="1F4D78"/>
                <w:sz w:val="18"/>
              </w:rPr>
              <w:t>[D01]</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2500 亿元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43.3 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3000 亿元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52.0 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3500 亿元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60.6 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4000 亿元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69.3 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5000 亿元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86.6 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6000 亿元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103.9 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7000 亿元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121.3 元</w:t>
            </w:r>
          </w:p>
        </w:tc>
      </w:tr>
    </w:tbl>
    <w:p>
      <w:pPr>
        <w:spacing w:before="0" w:after="20" w:line="48" w:lineRule="auto"/>
      </w:pPr>
    </w:p>
    <w:p>
      <w:r>
        <w:rPr>
          <w:rFonts w:ascii="Calibri" w:hAnsi="Calibri" w:eastAsia="Source Han Sans SC"/>
          <w:sz w:val="22"/>
        </w:rPr>
        <w:t>因此，任何目标股价判断都必须同时回答两个问题：第一，公司能够实现多少归母净利润；第二，市场愿意给予这部分利润多少倍市盈率。</w:t>
      </w:r>
    </w:p>
    <w:p>
      <w:pPr>
        <w:pStyle w:val="Heading2"/>
      </w:pPr>
      <w:r>
        <w:rPr>
          <w:rFonts w:ascii="Calibri" w:hAnsi="Calibri" w:eastAsia="Source Han Sans SC"/>
          <w:b/>
          <w:color w:val="2E74B5"/>
          <w:sz w:val="26"/>
        </w:rPr>
        <w:t>3.2 养殖端利润公式</w:t>
      </w:r>
    </w:p>
    <w:p>
      <w:r>
        <w:rPr>
          <w:rFonts w:ascii="Calibri" w:hAnsi="Calibri" w:eastAsia="Source Han Sans SC"/>
          <w:sz w:val="22"/>
        </w:rPr>
        <w:t>牧原养殖端的简化利润可表示为：</w:t>
      </w:r>
    </w:p>
    <w:p>
      <w:pPr>
        <w:keepLines/>
        <w:spacing w:before="100" w:after="140"/>
        <w:jc w:val="center"/>
        <w:shd w:fill="F7F9FB"/>
      </w:pPr>
      <w:r>
        <w:rPr>
          <w:rFonts w:ascii="Cambria Math" w:hAnsi="Cambria Math" w:eastAsia="Source Han Sans SC"/>
          <w:color w:val="203750"/>
          <w:sz w:val="23"/>
        </w:rPr>
        <w:t>Π_breeding = (P-C)× W× Q</w:t>
      </w:r>
    </w:p>
    <w:p>
      <w:r>
        <w:rPr>
          <w:rFonts w:ascii="Calibri" w:hAnsi="Calibri" w:eastAsia="Source Han Sans SC"/>
          <w:sz w:val="22"/>
        </w:rPr>
        <w:t>其中：</w:t>
      </w:r>
    </w:p>
    <w:p>
      <w:pPr>
        <w:numPr>
          <w:ilvl w:val="0"/>
          <w:numId w:val="10"/>
        </w:numPr>
        <w:spacing w:after="80" w:line="290" w:lineRule="auto"/>
      </w:pPr>
      <w:r>
        <w:rPr>
          <w:rFonts w:ascii="Calibri" w:hAnsi="Calibri" w:eastAsia="Source Han Sans SC"/>
          <w:sz w:val="22"/>
        </w:rPr>
        <w:t>P 为商品猪销售均价，单位为元/公斤；</w:t>
      </w:r>
    </w:p>
    <w:p>
      <w:pPr>
        <w:numPr>
          <w:ilvl w:val="0"/>
          <w:numId w:val="10"/>
        </w:numPr>
        <w:spacing w:after="80" w:line="290" w:lineRule="auto"/>
      </w:pPr>
      <w:r>
        <w:rPr>
          <w:rFonts w:ascii="Calibri" w:hAnsi="Calibri" w:eastAsia="Source Han Sans SC"/>
          <w:sz w:val="22"/>
        </w:rPr>
        <w:t>C 为生猪养殖完全成本，单位为元/公斤；</w:t>
      </w:r>
    </w:p>
    <w:p>
      <w:pPr>
        <w:numPr>
          <w:ilvl w:val="0"/>
          <w:numId w:val="10"/>
        </w:numPr>
        <w:spacing w:after="80" w:line="290" w:lineRule="auto"/>
      </w:pPr>
      <w:r>
        <w:rPr>
          <w:rFonts w:ascii="Calibri" w:hAnsi="Calibri" w:eastAsia="Source Han Sans SC"/>
          <w:sz w:val="22"/>
        </w:rPr>
        <w:t>W 为平均销售体重，单位为公斤/头；</w:t>
      </w:r>
    </w:p>
    <w:p>
      <w:pPr>
        <w:numPr>
          <w:ilvl w:val="0"/>
          <w:numId w:val="10"/>
        </w:numPr>
        <w:spacing w:after="80" w:line="290" w:lineRule="auto"/>
      </w:pPr>
      <w:r>
        <w:rPr>
          <w:rFonts w:ascii="Calibri" w:hAnsi="Calibri" w:eastAsia="Source Han Sans SC"/>
          <w:sz w:val="22"/>
        </w:rPr>
        <w:t>Q 为商品猪销量，单位为头。</w:t>
      </w:r>
    </w:p>
    <w:p>
      <w:r>
        <w:rPr>
          <w:rFonts w:ascii="Calibri" w:hAnsi="Calibri" w:eastAsia="Source Han Sans SC"/>
          <w:sz w:val="22"/>
        </w:rPr>
        <w:t>总利润进一步表示为：</w:t>
      </w:r>
    </w:p>
    <w:p>
      <w:pPr>
        <w:keepLines/>
        <w:spacing w:before="100" w:after="140"/>
        <w:jc w:val="center"/>
        <w:shd w:fill="F7F9FB"/>
      </w:pPr>
      <w:r>
        <w:rPr>
          <w:rFonts w:ascii="Cambria Math" w:hAnsi="Cambria Math" w:eastAsia="Source Han Sans SC"/>
          <w:color w:val="203750"/>
          <w:sz w:val="23"/>
        </w:rPr>
        <w:t>Π_total ≈ Π_breeding + Π_slaughter + Π_other</w:t>
      </w:r>
    </w:p>
    <w:p>
      <w:r>
        <w:rPr>
          <w:rFonts w:ascii="Calibri" w:hAnsi="Calibri" w:eastAsia="Source Han Sans SC"/>
          <w:sz w:val="22"/>
        </w:rPr>
        <w:t>其中，Π_slaughter 为屠宰肉食业务在内部生猪价值之外创造的增量利润，Π_other 包括政府补助、资产减值、投资收益、财务费用口径差异及少数股东损益等。</w:t>
      </w:r>
    </w:p>
    <w:p>
      <w:pPr>
        <w:pStyle w:val="Heading2"/>
      </w:pPr>
      <w:r>
        <w:rPr>
          <w:rFonts w:ascii="Calibri" w:hAnsi="Calibri" w:eastAsia="Source Han Sans SC"/>
          <w:b/>
          <w:color w:val="2E74B5"/>
          <w:sz w:val="26"/>
        </w:rPr>
        <w:t>3.3 屠宰业务增量利润公式</w:t>
      </w:r>
    </w:p>
    <w:p>
      <w:r>
        <w:rPr>
          <w:rFonts w:ascii="Calibri" w:hAnsi="Calibri" w:eastAsia="Source Han Sans SC"/>
          <w:sz w:val="22"/>
        </w:rPr>
        <w:t>屠宰业务不能将屠宰销售收入全部再次计入利润，因为内部生猪价值已经体现在养殖业务中。合理的简化方式是只计算加工和渠道带来的新增附加值：</w:t>
      </w:r>
    </w:p>
    <w:p>
      <w:pPr>
        <w:keepLines/>
        <w:spacing w:before="100" w:after="140"/>
        <w:jc w:val="center"/>
        <w:shd w:fill="F7F9FB"/>
      </w:pPr>
      <w:r>
        <w:rPr>
          <w:rFonts w:ascii="Cambria Math" w:hAnsi="Cambria Math" w:eastAsia="Source Han Sans SC"/>
          <w:color w:val="203750"/>
          <w:sz w:val="23"/>
        </w:rPr>
        <w:t>Π_slaughter = Q× r× W× y× m</w:t>
      </w:r>
    </w:p>
    <w:p>
      <w:r>
        <w:rPr>
          <w:rFonts w:ascii="Calibri" w:hAnsi="Calibri" w:eastAsia="Source Han Sans SC"/>
          <w:sz w:val="22"/>
        </w:rPr>
        <w:t>其中：</w:t>
      </w:r>
    </w:p>
    <w:p>
      <w:pPr>
        <w:numPr>
          <w:ilvl w:val="0"/>
          <w:numId w:val="10"/>
        </w:numPr>
        <w:spacing w:after="80" w:line="290" w:lineRule="auto"/>
      </w:pPr>
      <w:r>
        <w:rPr>
          <w:rFonts w:ascii="Calibri" w:hAnsi="Calibri" w:eastAsia="Source Han Sans SC"/>
          <w:sz w:val="22"/>
        </w:rPr>
        <w:t>r 为屠宰比例；</w:t>
      </w:r>
    </w:p>
    <w:p>
      <w:pPr>
        <w:numPr>
          <w:ilvl w:val="0"/>
          <w:numId w:val="10"/>
        </w:numPr>
        <w:spacing w:after="80" w:line="290" w:lineRule="auto"/>
      </w:pPr>
      <w:r>
        <w:rPr>
          <w:rFonts w:ascii="Calibri" w:hAnsi="Calibri" w:eastAsia="Source Han Sans SC"/>
          <w:sz w:val="22"/>
        </w:rPr>
        <w:t>y 为产品产出率；</w:t>
      </w:r>
    </w:p>
    <w:p>
      <w:pPr>
        <w:numPr>
          <w:ilvl w:val="0"/>
          <w:numId w:val="10"/>
        </w:numPr>
        <w:spacing w:after="80" w:line="290" w:lineRule="auto"/>
      </w:pPr>
      <w:r>
        <w:rPr>
          <w:rFonts w:ascii="Calibri" w:hAnsi="Calibri" w:eastAsia="Source Han Sans SC"/>
          <w:sz w:val="22"/>
        </w:rPr>
        <w:t>m 为每公斤猪肉产品新增利润。</w:t>
      </w:r>
    </w:p>
    <w:p>
      <w:pPr>
        <w:pStyle w:val="Heading1"/>
        <w:pageBreakBefore/>
      </w:pPr>
      <w:bookmarkStart w:id="876175" w:name="sec_4"/>
      <w:r>
        <w:rPr>
          <w:rFonts w:ascii="Calibri" w:hAnsi="Calibri" w:eastAsia="Source Han Sans SC"/>
          <w:b/>
          <w:color w:val="2E74B5"/>
          <w:sz w:val="32"/>
        </w:rPr>
        <w:t>4 2025 年利润回测</w:t>
      </w:r>
      <w:bookmarkEnd w:id="876175"/>
    </w:p>
    <w:p>
      <w:pPr>
        <w:pStyle w:val="Heading2"/>
      </w:pPr>
      <w:r>
        <w:rPr>
          <w:rFonts w:ascii="Calibri" w:hAnsi="Calibri" w:eastAsia="Source Han Sans SC"/>
          <w:b/>
          <w:color w:val="2E74B5"/>
          <w:sz w:val="26"/>
        </w:rPr>
        <w:t>4.1 2025 年经营数据</w:t>
      </w:r>
    </w:p>
    <w:p>
      <w:r>
        <w:rPr>
          <w:rFonts w:ascii="Calibri" w:hAnsi="Calibri" w:eastAsia="Source Han Sans SC"/>
          <w:sz w:val="22"/>
        </w:rPr>
        <w:t xml:space="preserve">牧原 2025 年披露的主要经营数据如下 </w:t>
      </w:r>
      <w:r>
        <w:rPr>
          <w:rFonts w:ascii="Menlo" w:hAnsi="Menlo" w:eastAsia="Source Han Sans SC"/>
          <w:color w:val="1F4D78"/>
          <w:sz w:val="21"/>
        </w:rPr>
        <w:t>[S01][S02]</w:t>
      </w:r>
      <w:r>
        <w:rPr>
          <w:rFonts w:ascii="Calibri" w:hAnsi="Calibri" w:eastAsia="Source Han Sans SC"/>
          <w:sz w:val="22"/>
        </w:rPr>
        <w:t>：</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4212"/>
        <w:gridCol w:w="5148"/>
      </w:tblGrid>
      <w:tr>
        <w:trPr>
          <w:cantSplit/>
          <w:tblHeader w:val="true"/>
        </w:trPr>
        <w:tc>
          <w:tcPr>
            <w:tcW w:type="dxa" w:w="4212"/>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项目</w:t>
            </w:r>
          </w:p>
        </w:tc>
        <w:tc>
          <w:tcPr>
            <w:tcW w:type="dxa" w:w="5148"/>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数值</w:t>
            </w:r>
          </w:p>
        </w:tc>
      </w:tr>
      <w:tr>
        <w:trPr>
          <w:cantSplit/>
        </w:trPr>
        <w:tc>
          <w:tcPr>
            <w:tcW w:type="dxa" w:w="421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商品猪销售量</w:t>
            </w:r>
          </w:p>
        </w:tc>
        <w:tc>
          <w:tcPr>
            <w:tcW w:type="dxa" w:w="514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7798.1 万头</w:t>
            </w:r>
          </w:p>
        </w:tc>
      </w:tr>
      <w:tr>
        <w:trPr>
          <w:cantSplit/>
        </w:trPr>
        <w:tc>
          <w:tcPr>
            <w:tcW w:type="dxa" w:w="421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商品猪全年销售均价</w:t>
            </w:r>
          </w:p>
        </w:tc>
        <w:tc>
          <w:tcPr>
            <w:tcW w:type="dxa" w:w="514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13.5 元/公斤</w:t>
            </w:r>
          </w:p>
        </w:tc>
      </w:tr>
      <w:tr>
        <w:trPr>
          <w:cantSplit/>
        </w:trPr>
        <w:tc>
          <w:tcPr>
            <w:tcW w:type="dxa" w:w="421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生猪养殖完全成本</w:t>
            </w:r>
          </w:p>
        </w:tc>
        <w:tc>
          <w:tcPr>
            <w:tcW w:type="dxa" w:w="514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12 元/公斤</w:t>
            </w:r>
          </w:p>
        </w:tc>
      </w:tr>
      <w:tr>
        <w:trPr>
          <w:cantSplit/>
        </w:trPr>
        <w:tc>
          <w:tcPr>
            <w:tcW w:type="dxa" w:w="421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屠宰生猪量</w:t>
            </w:r>
          </w:p>
        </w:tc>
        <w:tc>
          <w:tcPr>
            <w:tcW w:type="dxa" w:w="514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2866.3 万头</w:t>
            </w:r>
          </w:p>
        </w:tc>
      </w:tr>
      <w:tr>
        <w:trPr>
          <w:cantSplit/>
        </w:trPr>
        <w:tc>
          <w:tcPr>
            <w:tcW w:type="dxa" w:w="421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猪肉产品销量</w:t>
            </w:r>
          </w:p>
        </w:tc>
        <w:tc>
          <w:tcPr>
            <w:tcW w:type="dxa" w:w="5148"/>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323 万吨</w:t>
            </w:r>
          </w:p>
        </w:tc>
      </w:tr>
      <w:tr>
        <w:trPr>
          <w:cantSplit/>
        </w:trPr>
        <w:tc>
          <w:tcPr>
            <w:tcW w:type="dxa" w:w="421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屠宰产能利用率</w:t>
            </w:r>
          </w:p>
        </w:tc>
        <w:tc>
          <w:tcPr>
            <w:tcW w:type="dxa" w:w="514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98.8%</w:t>
            </w:r>
          </w:p>
        </w:tc>
      </w:tr>
      <w:tr>
        <w:trPr>
          <w:cantSplit/>
        </w:trPr>
        <w:tc>
          <w:tcPr>
            <w:tcW w:type="dxa" w:w="421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归母净利润</w:t>
            </w:r>
          </w:p>
        </w:tc>
        <w:tc>
          <w:tcPr>
            <w:tcW w:type="dxa" w:w="514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154.87 亿元</w:t>
            </w:r>
          </w:p>
        </w:tc>
      </w:tr>
      <w:tr>
        <w:trPr>
          <w:cantSplit/>
        </w:trPr>
        <w:tc>
          <w:tcPr>
            <w:tcW w:type="dxa" w:w="421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屠宰、肉食业务</w:t>
            </w:r>
          </w:p>
        </w:tc>
        <w:tc>
          <w:tcPr>
            <w:tcW w:type="dxa" w:w="5148"/>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首次实现年度盈利</w:t>
            </w:r>
          </w:p>
        </w:tc>
      </w:tr>
    </w:tbl>
    <w:p>
      <w:pPr>
        <w:spacing w:before="0" w:after="20" w:line="48" w:lineRule="auto"/>
      </w:pPr>
    </w:p>
    <w:p>
      <w:pPr>
        <w:pStyle w:val="Heading2"/>
      </w:pPr>
      <w:r>
        <w:rPr>
          <w:rFonts w:ascii="Calibri" w:hAnsi="Calibri" w:eastAsia="Source Han Sans SC"/>
          <w:b/>
          <w:color w:val="2E74B5"/>
          <w:sz w:val="26"/>
        </w:rPr>
        <w:t>4.2 养殖利润回测</w:t>
      </w:r>
    </w:p>
    <w:p>
      <w:r>
        <w:rPr>
          <w:rFonts w:ascii="Calibri" w:hAnsi="Calibri" w:eastAsia="Source Han Sans SC"/>
          <w:sz w:val="22"/>
        </w:rPr>
        <w:t xml:space="preserve">由于公司未在年度报告摘要中直接披露全年商品猪平均销售体重，本文使用 122—125 公斤/头作为估算区间 </w:t>
      </w:r>
      <w:r>
        <w:rPr>
          <w:rFonts w:ascii="Menlo" w:hAnsi="Menlo" w:eastAsia="Source Han Sans SC"/>
          <w:color w:val="1F4D78"/>
          <w:sz w:val="21"/>
        </w:rPr>
        <w:t>[A01]</w:t>
      </w:r>
      <w:r>
        <w:rPr>
          <w:rFonts w:ascii="Calibri" w:hAnsi="Calibri" w:eastAsia="Source Han Sans SC"/>
          <w:sz w:val="22"/>
        </w:rPr>
        <w:t>。</w:t>
      </w:r>
    </w:p>
    <w:p>
      <w:pPr>
        <w:keepLines/>
        <w:spacing w:before="100" w:after="140"/>
        <w:jc w:val="center"/>
        <w:shd w:fill="F7F9FB"/>
      </w:pPr>
      <w:r>
        <w:rPr>
          <w:rFonts w:ascii="Cambria Math" w:hAnsi="Cambria Math" w:eastAsia="Source Han Sans SC"/>
          <w:color w:val="203750"/>
          <w:sz w:val="23"/>
        </w:rPr>
        <w:t>Π_breeding = (13.5-12.0) ×(122—125) ×7798.1万</w:t>
      </w:r>
    </w:p>
    <w:p>
      <w:r>
        <w:rPr>
          <w:rFonts w:ascii="Calibri" w:hAnsi="Calibri" w:eastAsia="Source Han Sans SC"/>
          <w:sz w:val="22"/>
        </w:rPr>
        <w:t>得到：</w:t>
      </w:r>
    </w:p>
    <w:p>
      <w:pPr>
        <w:keepLines/>
        <w:spacing w:before="100" w:after="140"/>
        <w:jc w:val="center"/>
        <w:shd w:fill="F7F9FB"/>
      </w:pPr>
      <w:r>
        <w:rPr>
          <w:rFonts w:ascii="Cambria Math" w:hAnsi="Cambria Math" w:eastAsia="Source Han Sans SC"/>
          <w:color w:val="203750"/>
          <w:sz w:val="23"/>
        </w:rPr>
        <w:t>Π_breeding ≈142.7—146.2亿元</w:t>
      </w:r>
    </w:p>
    <w:p>
      <w:pPr>
        <w:pStyle w:val="Heading2"/>
      </w:pPr>
      <w:r>
        <w:rPr>
          <w:rFonts w:ascii="Calibri" w:hAnsi="Calibri" w:eastAsia="Source Han Sans SC"/>
          <w:b/>
          <w:color w:val="2E74B5"/>
          <w:sz w:val="26"/>
        </w:rPr>
        <w:t>4.3 屠宰利润回测</w:t>
      </w:r>
    </w:p>
    <w:p>
      <w:r>
        <w:rPr>
          <w:rFonts w:ascii="Calibri" w:hAnsi="Calibri" w:eastAsia="Source Han Sans SC"/>
          <w:sz w:val="22"/>
        </w:rPr>
        <w:t xml:space="preserve">按猪肉产品销量 323 万吨，即 32.3 亿公斤，以及单位增量利润 0.3 元/公斤 </w:t>
      </w:r>
      <w:r>
        <w:rPr>
          <w:rFonts w:ascii="Menlo" w:hAnsi="Menlo" w:eastAsia="Source Han Sans SC"/>
          <w:color w:val="1F4D78"/>
          <w:sz w:val="21"/>
        </w:rPr>
        <w:t>[A02]</w:t>
      </w:r>
      <w:r>
        <w:rPr>
          <w:rFonts w:ascii="Calibri" w:hAnsi="Calibri" w:eastAsia="Source Han Sans SC"/>
          <w:sz w:val="22"/>
        </w:rPr>
        <w:t>：</w:t>
      </w:r>
    </w:p>
    <w:p>
      <w:pPr>
        <w:keepLines/>
        <w:spacing w:before="100" w:after="140"/>
        <w:jc w:val="center"/>
        <w:shd w:fill="F7F9FB"/>
      </w:pPr>
      <w:r>
        <w:rPr>
          <w:rFonts w:ascii="Cambria Math" w:hAnsi="Cambria Math" w:eastAsia="Source Han Sans SC"/>
          <w:color w:val="203750"/>
          <w:sz w:val="23"/>
        </w:rPr>
        <w:t>Π_slaughter = 32.3亿公斤×0.3元/公斤 ≈9.69亿元</w:t>
      </w:r>
    </w:p>
    <w:p>
      <w:r>
        <w:rPr>
          <w:rFonts w:ascii="Calibri" w:hAnsi="Calibri" w:eastAsia="Source Han Sans SC"/>
          <w:sz w:val="22"/>
        </w:rPr>
        <w:t>总理论利润为：</w:t>
      </w:r>
    </w:p>
    <w:p>
      <w:pPr>
        <w:keepLines/>
        <w:spacing w:before="100" w:after="140"/>
        <w:jc w:val="center"/>
        <w:shd w:fill="F7F9FB"/>
      </w:pPr>
      <w:r>
        <w:rPr>
          <w:rFonts w:ascii="Cambria Math" w:hAnsi="Cambria Math" w:eastAsia="Source Han Sans SC"/>
          <w:color w:val="203750"/>
          <w:sz w:val="23"/>
        </w:rPr>
        <w:t>Π_total ≈152.4—155.9亿元</w:t>
      </w:r>
    </w:p>
    <w:p>
      <w:r>
        <w:rPr>
          <w:rFonts w:ascii="Calibri" w:hAnsi="Calibri" w:eastAsia="Source Han Sans SC"/>
          <w:sz w:val="22"/>
        </w:rPr>
        <w:t xml:space="preserve">公司实际归母净利润为 154.87 亿元，处于模型估算区间内 </w:t>
      </w:r>
      <w:r>
        <w:rPr>
          <w:rFonts w:ascii="Menlo" w:hAnsi="Menlo" w:eastAsia="Source Han Sans SC"/>
          <w:color w:val="1F4D78"/>
          <w:sz w:val="21"/>
        </w:rPr>
        <w:t>[D02]</w:t>
      </w:r>
      <w:r>
        <w:rPr>
          <w:rFonts w:ascii="Calibri" w:hAnsi="Calibri" w:eastAsia="Source Han Sans SC"/>
          <w:sz w:val="22"/>
        </w:rPr>
        <w:t>。</w:t>
      </w:r>
    </w:p>
    <w:p>
      <w:pPr>
        <w:pStyle w:val="Heading2"/>
      </w:pPr>
      <w:r>
        <w:rPr>
          <w:rFonts w:ascii="Calibri" w:hAnsi="Calibri" w:eastAsia="Source Han Sans SC"/>
          <w:b/>
          <w:color w:val="2E74B5"/>
          <w:sz w:val="26"/>
        </w:rPr>
        <w:t>4.4 回测结果的含义与局限</w:t>
      </w:r>
    </w:p>
    <w:p>
      <w:r>
        <w:rPr>
          <w:rFonts w:ascii="Calibri" w:hAnsi="Calibri" w:eastAsia="Source Han Sans SC"/>
          <w:sz w:val="22"/>
        </w:rPr>
        <w:t>该结果说明，“单位价差乘以销售重量，再加入屠宰增量利润”的模型能够较好解释牧原年度利润量级。因此，该模型适合用于猪价、成本和出栏量敏感性分析。</w:t>
      </w:r>
    </w:p>
    <w:p>
      <w:r>
        <w:rPr>
          <w:rFonts w:ascii="Calibri" w:hAnsi="Calibri" w:eastAsia="Source Han Sans SC"/>
          <w:sz w:val="22"/>
        </w:rPr>
        <w:t>但这并不意味着模型能够逐项还原财务报表。可能产生误差的因素包括：</w:t>
      </w:r>
    </w:p>
    <w:p>
      <w:pPr>
        <w:numPr>
          <w:ilvl w:val="0"/>
          <w:numId w:val="11"/>
        </w:numPr>
        <w:spacing w:after="80" w:line="290" w:lineRule="auto"/>
      </w:pPr>
      <w:r>
        <w:rPr>
          <w:rFonts w:ascii="Calibri" w:hAnsi="Calibri" w:eastAsia="Source Han Sans SC"/>
          <w:sz w:val="22"/>
        </w:rPr>
        <w:t>商品猪、仔猪和种猪产品结构不同；</w:t>
      </w:r>
    </w:p>
    <w:p>
      <w:pPr>
        <w:numPr>
          <w:ilvl w:val="0"/>
          <w:numId w:val="11"/>
        </w:numPr>
        <w:spacing w:after="80" w:line="290" w:lineRule="auto"/>
      </w:pPr>
      <w:r>
        <w:rPr>
          <w:rFonts w:ascii="Calibri" w:hAnsi="Calibri" w:eastAsia="Source Han Sans SC"/>
          <w:sz w:val="22"/>
        </w:rPr>
        <w:t>各月份销售体重和价格存在差异；</w:t>
      </w:r>
    </w:p>
    <w:p>
      <w:pPr>
        <w:numPr>
          <w:ilvl w:val="0"/>
          <w:numId w:val="11"/>
        </w:numPr>
        <w:spacing w:after="80" w:line="290" w:lineRule="auto"/>
      </w:pPr>
      <w:r>
        <w:rPr>
          <w:rFonts w:ascii="Calibri" w:hAnsi="Calibri" w:eastAsia="Source Han Sans SC"/>
          <w:sz w:val="22"/>
        </w:rPr>
        <w:t>屠宰产品包括白条、分割品、副产品等不同利润率产品；</w:t>
      </w:r>
    </w:p>
    <w:p>
      <w:pPr>
        <w:numPr>
          <w:ilvl w:val="0"/>
          <w:numId w:val="11"/>
        </w:numPr>
        <w:spacing w:after="80" w:line="290" w:lineRule="auto"/>
      </w:pPr>
      <w:r>
        <w:rPr>
          <w:rFonts w:ascii="Calibri" w:hAnsi="Calibri" w:eastAsia="Source Han Sans SC"/>
          <w:sz w:val="22"/>
        </w:rPr>
        <w:t>完全成本和财务报表成本口径并非完全一致；</w:t>
      </w:r>
    </w:p>
    <w:p>
      <w:pPr>
        <w:numPr>
          <w:ilvl w:val="0"/>
          <w:numId w:val="11"/>
        </w:numPr>
        <w:spacing w:after="80" w:line="290" w:lineRule="auto"/>
      </w:pPr>
      <w:r>
        <w:rPr>
          <w:rFonts w:ascii="Calibri" w:hAnsi="Calibri" w:eastAsia="Source Han Sans SC"/>
          <w:sz w:val="22"/>
        </w:rPr>
        <w:t>存在资产减值、补助、利息、税收和少数股东损益等项目；</w:t>
      </w:r>
    </w:p>
    <w:p>
      <w:pPr>
        <w:numPr>
          <w:ilvl w:val="0"/>
          <w:numId w:val="11"/>
        </w:numPr>
        <w:spacing w:after="80" w:line="290" w:lineRule="auto"/>
      </w:pPr>
      <w:r>
        <w:rPr>
          <w:rFonts w:ascii="Calibri" w:hAnsi="Calibri" w:eastAsia="Source Han Sans SC"/>
          <w:sz w:val="22"/>
        </w:rPr>
        <w:t>部分估算误差可能在 2025 年恰好相互抵消。</w:t>
      </w:r>
    </w:p>
    <w:p>
      <w:r>
        <w:rPr>
          <w:rFonts w:ascii="Calibri" w:hAnsi="Calibri" w:eastAsia="Source Han Sans SC"/>
          <w:sz w:val="22"/>
        </w:rPr>
        <w:t>因此，本文将该模型定义为“经营利润量级模型”，而不是完整的会计预测模型。</w:t>
      </w:r>
    </w:p>
    <w:p>
      <w:pPr>
        <w:pStyle w:val="Heading1"/>
        <w:pageBreakBefore/>
      </w:pPr>
      <w:bookmarkStart w:id="242180" w:name="sec_5"/>
      <w:r>
        <w:rPr>
          <w:rFonts w:ascii="Calibri" w:hAnsi="Calibri" w:eastAsia="Source Han Sans SC"/>
          <w:b/>
          <w:color w:val="2E74B5"/>
          <w:sz w:val="32"/>
        </w:rPr>
        <w:t>5 盈利敏感性分析</w:t>
      </w:r>
      <w:bookmarkEnd w:id="242180"/>
    </w:p>
    <w:p>
      <w:pPr>
        <w:pStyle w:val="Heading2"/>
      </w:pPr>
      <w:r>
        <w:rPr>
          <w:rFonts w:ascii="Calibri" w:hAnsi="Calibri" w:eastAsia="Source Han Sans SC"/>
          <w:b/>
          <w:color w:val="2E74B5"/>
          <w:sz w:val="26"/>
        </w:rPr>
        <w:t>5.1 猪价敏感性</w:t>
      </w:r>
    </w:p>
    <w:p>
      <w:r>
        <w:rPr>
          <w:rFonts w:ascii="Calibri" w:hAnsi="Calibri" w:eastAsia="Source Han Sans SC"/>
          <w:sz w:val="22"/>
        </w:rPr>
        <w:t>在出栏量 8000 万头、平均体重 125 公斤的条件下，公司全年销售重量约为：</w:t>
      </w:r>
    </w:p>
    <w:p>
      <w:pPr>
        <w:keepLines/>
        <w:spacing w:before="100" w:after="140"/>
        <w:jc w:val="center"/>
        <w:shd w:fill="F7F9FB"/>
      </w:pPr>
      <w:r>
        <w:rPr>
          <w:rFonts w:ascii="Cambria Math" w:hAnsi="Cambria Math" w:eastAsia="Source Han Sans SC"/>
          <w:color w:val="203750"/>
          <w:sz w:val="23"/>
        </w:rPr>
        <w:t>8000万头×125公斤/头=100亿公斤</w:t>
      </w:r>
    </w:p>
    <w:p>
      <w:r>
        <w:rPr>
          <w:rFonts w:ascii="Calibri" w:hAnsi="Calibri" w:eastAsia="Source Han Sans SC"/>
          <w:sz w:val="22"/>
        </w:rPr>
        <w:t>因此：</w:t>
      </w:r>
    </w:p>
    <w:p>
      <w:pPr>
        <w:keepLines/>
        <w:spacing w:before="100" w:after="140"/>
        <w:jc w:val="center"/>
        <w:shd w:fill="F7F9FB"/>
      </w:pPr>
      <w:r>
        <w:rPr>
          <w:rFonts w:ascii="Cambria Math" w:hAnsi="Cambria Math" w:eastAsia="Source Han Sans SC"/>
          <w:color w:val="203750"/>
          <w:sz w:val="23"/>
        </w:rPr>
        <w:t>猪价每变化1元/公斤 ⇒理论利润变化约100亿元</w:t>
      </w:r>
    </w:p>
    <w:p>
      <w:r>
        <w:rPr>
          <w:rFonts w:ascii="Calibri" w:hAnsi="Calibri" w:eastAsia="Source Han Sans SC"/>
          <w:sz w:val="22"/>
        </w:rPr>
        <w:t>这是牧原最重要的利润变量。</w:t>
      </w:r>
    </w:p>
    <w:p>
      <w:pPr>
        <w:pStyle w:val="Heading2"/>
      </w:pPr>
      <w:r>
        <w:rPr>
          <w:rFonts w:ascii="Calibri" w:hAnsi="Calibri" w:eastAsia="Source Han Sans SC"/>
          <w:b/>
          <w:color w:val="2E74B5"/>
          <w:sz w:val="26"/>
        </w:rPr>
        <w:t>5.2 成本敏感性</w:t>
      </w:r>
    </w:p>
    <w:p>
      <w:r>
        <w:rPr>
          <w:rFonts w:ascii="Calibri" w:hAnsi="Calibri" w:eastAsia="Source Han Sans SC"/>
          <w:sz w:val="22"/>
        </w:rPr>
        <w:t>同样在 100 亿公斤销售重量下：</w:t>
      </w:r>
    </w:p>
    <w:p>
      <w:pPr>
        <w:keepLines/>
        <w:spacing w:before="100" w:after="140"/>
        <w:jc w:val="center"/>
        <w:shd w:fill="F7F9FB"/>
      </w:pPr>
      <w:r>
        <w:rPr>
          <w:rFonts w:ascii="Cambria Math" w:hAnsi="Cambria Math" w:eastAsia="Source Han Sans SC"/>
          <w:color w:val="203750"/>
          <w:sz w:val="23"/>
        </w:rPr>
        <w:t>完全成本每下降0.1元/公斤 ⇒理论利润增加约10亿元</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4477"/>
        <w:gridCol w:w="4883"/>
      </w:tblGrid>
      <w:tr>
        <w:trPr>
          <w:cantSplit/>
          <w:tblHeader w:val="true"/>
        </w:trPr>
        <w:tc>
          <w:tcPr>
            <w:tcW w:type="dxa" w:w="4477"/>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成本变化</w:t>
            </w:r>
          </w:p>
        </w:tc>
        <w:tc>
          <w:tcPr>
            <w:tcW w:type="dxa" w:w="4883"/>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理论利润变化 </w:t>
            </w:r>
            <w:r>
              <w:rPr>
                <w:rFonts w:ascii="Menlo" w:hAnsi="Menlo" w:eastAsia="Source Han Sans SC"/>
                <w:b/>
                <w:color w:val="1F4D78"/>
                <w:sz w:val="18"/>
              </w:rPr>
              <w:t>[D04]</w:t>
            </w:r>
          </w:p>
        </w:tc>
      </w:tr>
      <w:tr>
        <w:trPr>
          <w:cantSplit/>
        </w:trPr>
        <w:tc>
          <w:tcPr>
            <w:tcW w:type="dxa" w:w="44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下降 0.1 元/公斤</w:t>
            </w:r>
          </w:p>
        </w:tc>
        <w:tc>
          <w:tcPr>
            <w:tcW w:type="dxa" w:w="4883"/>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增加约 10 亿元</w:t>
            </w:r>
          </w:p>
        </w:tc>
      </w:tr>
      <w:tr>
        <w:trPr>
          <w:cantSplit/>
        </w:trPr>
        <w:tc>
          <w:tcPr>
            <w:tcW w:type="dxa" w:w="44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下降 0.3 元/公斤</w:t>
            </w:r>
          </w:p>
        </w:tc>
        <w:tc>
          <w:tcPr>
            <w:tcW w:type="dxa" w:w="4883"/>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增加约 30 亿元</w:t>
            </w:r>
          </w:p>
        </w:tc>
      </w:tr>
      <w:tr>
        <w:trPr>
          <w:cantSplit/>
        </w:trPr>
        <w:tc>
          <w:tcPr>
            <w:tcW w:type="dxa" w:w="44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下降 0.5 元/公斤</w:t>
            </w:r>
          </w:p>
        </w:tc>
        <w:tc>
          <w:tcPr>
            <w:tcW w:type="dxa" w:w="4883"/>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增加约 50 亿元</w:t>
            </w:r>
          </w:p>
        </w:tc>
      </w:tr>
      <w:tr>
        <w:trPr>
          <w:cantSplit/>
        </w:trPr>
        <w:tc>
          <w:tcPr>
            <w:tcW w:type="dxa" w:w="44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下降 1.0 元/公斤</w:t>
            </w:r>
          </w:p>
        </w:tc>
        <w:tc>
          <w:tcPr>
            <w:tcW w:type="dxa" w:w="4883"/>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增加约 100 亿元</w:t>
            </w:r>
          </w:p>
        </w:tc>
      </w:tr>
    </w:tbl>
    <w:p>
      <w:pPr>
        <w:spacing w:before="0" w:after="20" w:line="48" w:lineRule="auto"/>
      </w:pPr>
    </w:p>
    <w:p>
      <w:r>
        <w:rPr>
          <w:rFonts w:ascii="Calibri" w:hAnsi="Calibri" w:eastAsia="Source Han Sans SC"/>
          <w:sz w:val="22"/>
        </w:rPr>
        <w:t>成本优势不仅影响单年利润，还决定公司在行业低谷中的生存能力、扩张能力和市场份额获取能力。</w:t>
      </w:r>
    </w:p>
    <w:p>
      <w:pPr>
        <w:pStyle w:val="Heading2"/>
      </w:pPr>
      <w:r>
        <w:rPr>
          <w:rFonts w:ascii="Calibri" w:hAnsi="Calibri" w:eastAsia="Source Han Sans SC"/>
          <w:b/>
          <w:color w:val="2E74B5"/>
          <w:sz w:val="26"/>
        </w:rPr>
        <w:t>5.3 出栏量敏感性</w:t>
      </w:r>
    </w:p>
    <w:p>
      <w:r>
        <w:rPr>
          <w:rFonts w:ascii="Calibri" w:hAnsi="Calibri" w:eastAsia="Source Han Sans SC"/>
          <w:sz w:val="22"/>
        </w:rPr>
        <w:t>新增出栏量带来的利润为：</w:t>
      </w:r>
    </w:p>
    <w:p>
      <w:pPr>
        <w:keepLines/>
        <w:spacing w:before="100" w:after="140"/>
        <w:jc w:val="center"/>
        <w:shd w:fill="F7F9FB"/>
      </w:pPr>
      <w:r>
        <w:rPr>
          <w:rFonts w:ascii="Cambria Math" w:hAnsi="Cambria Math" w:eastAsia="Source Han Sans SC"/>
          <w:color w:val="203750"/>
          <w:sz w:val="23"/>
        </w:rPr>
        <w:t>ΔΠ_Q = Δ Q× W×(P-C)</w:t>
      </w:r>
    </w:p>
    <w:p>
      <w:r>
        <w:rPr>
          <w:rFonts w:ascii="Calibri" w:hAnsi="Calibri" w:eastAsia="Source Han Sans SC"/>
          <w:sz w:val="22"/>
        </w:rPr>
        <w:t>假设新增 500 万头、平均体重 125 公斤：</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3854"/>
        <w:gridCol w:w="5506"/>
      </w:tblGrid>
      <w:tr>
        <w:trPr>
          <w:cantSplit/>
          <w:tblHeader w:val="true"/>
        </w:trPr>
        <w:tc>
          <w:tcPr>
            <w:tcW w:type="dxa" w:w="3854"/>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每公斤利润</w:t>
            </w:r>
          </w:p>
        </w:tc>
        <w:tc>
          <w:tcPr>
            <w:tcW w:type="dxa" w:w="5506"/>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新增利润 </w:t>
            </w:r>
            <w:r>
              <w:rPr>
                <w:rFonts w:ascii="Menlo" w:hAnsi="Menlo" w:eastAsia="Source Han Sans SC"/>
                <w:b/>
                <w:color w:val="1F4D78"/>
                <w:sz w:val="18"/>
              </w:rPr>
              <w:t>[D05]</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2.5 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15.6 亿元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3.5 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21.9 亿元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4.5 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28.1 亿元</w:t>
            </w:r>
          </w:p>
        </w:tc>
      </w:tr>
      <w:tr>
        <w:trPr>
          <w:cantSplit/>
        </w:trPr>
        <w:tc>
          <w:tcPr>
            <w:tcW w:type="dxa" w:w="3854"/>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6.5 元</w:t>
            </w:r>
          </w:p>
        </w:tc>
        <w:tc>
          <w:tcPr>
            <w:tcW w:type="dxa" w:w="5506"/>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40.6 亿元</w:t>
            </w:r>
          </w:p>
        </w:tc>
      </w:tr>
    </w:tbl>
    <w:p>
      <w:pPr>
        <w:spacing w:before="0" w:after="20" w:line="48" w:lineRule="auto"/>
      </w:pPr>
    </w:p>
    <w:p>
      <w:r>
        <w:rPr>
          <w:rFonts w:ascii="Calibri" w:hAnsi="Calibri" w:eastAsia="Source Han Sans SC"/>
          <w:sz w:val="22"/>
        </w:rPr>
        <w:t>需要注意的是，全行业同步扩产会增加供给并压低猪价，因此出栏量增长并非无条件利好。最有价值的增长是高成本产能退出后，牧原以更低成本承接其市场份额，而不是在行业供给过剩阶段主动增加总供给。</w:t>
      </w:r>
    </w:p>
    <w:p>
      <w:pPr>
        <w:pStyle w:val="Heading2"/>
      </w:pPr>
      <w:r>
        <w:rPr>
          <w:rFonts w:ascii="Calibri" w:hAnsi="Calibri" w:eastAsia="Source Han Sans SC"/>
          <w:b/>
          <w:color w:val="2E74B5"/>
          <w:sz w:val="26"/>
        </w:rPr>
        <w:t>5.4 出栏体重敏感性</w:t>
      </w:r>
    </w:p>
    <w:p>
      <w:r>
        <w:rPr>
          <w:rFonts w:ascii="Calibri" w:hAnsi="Calibri" w:eastAsia="Source Han Sans SC"/>
          <w:sz w:val="22"/>
        </w:rPr>
        <w:t>假设出栏量为 8000 万头、单位利润为 3.5 元/公斤：</w:t>
      </w:r>
    </w:p>
    <w:p>
      <w:pPr>
        <w:keepLines/>
        <w:spacing w:before="100" w:after="140"/>
        <w:jc w:val="center"/>
        <w:shd w:fill="F7F9FB"/>
      </w:pPr>
      <w:r>
        <w:rPr>
          <w:rFonts w:ascii="Cambria Math" w:hAnsi="Cambria Math" w:eastAsia="Source Han Sans SC"/>
          <w:color w:val="203750"/>
          <w:sz w:val="23"/>
        </w:rPr>
        <w:t>平均体重每提高1公斤 ⇒利润增加约2.8亿元</w:t>
      </w:r>
    </w:p>
    <w:p>
      <w:r>
        <w:rPr>
          <w:rFonts w:ascii="Calibri" w:hAnsi="Calibri" w:eastAsia="Source Han Sans SC"/>
          <w:sz w:val="22"/>
        </w:rPr>
        <w:t>但行业普遍压栏增重会提高短期猪肉供应，并可能压低猪价。因此，从单家公司角度增加体重有利润增量，从全行业角度则可能产生价格负反馈。</w:t>
      </w:r>
    </w:p>
    <w:p>
      <w:pPr>
        <w:pStyle w:val="Heading2"/>
      </w:pPr>
      <w:r>
        <w:rPr>
          <w:rFonts w:ascii="Calibri" w:hAnsi="Calibri" w:eastAsia="Source Han Sans SC"/>
          <w:b/>
          <w:color w:val="2E74B5"/>
          <w:sz w:val="26"/>
        </w:rPr>
        <w:t>5.5 屠宰业务敏感性</w:t>
      </w:r>
    </w:p>
    <w:p>
      <w:r>
        <w:rPr>
          <w:rFonts w:ascii="Calibri" w:hAnsi="Calibri" w:eastAsia="Source Han Sans SC"/>
          <w:sz w:val="22"/>
        </w:rPr>
        <w:t>2025 年屠宰量占商品猪销量比例约为：</w:t>
      </w:r>
    </w:p>
    <w:p>
      <w:pPr>
        <w:keepLines/>
        <w:spacing w:before="100" w:after="140"/>
        <w:jc w:val="center"/>
        <w:shd w:fill="F7F9FB"/>
      </w:pPr>
      <w:r>
        <w:rPr>
          <w:rFonts w:ascii="Cambria Math" w:hAnsi="Cambria Math" w:eastAsia="Source Han Sans SC"/>
          <w:color w:val="203750"/>
          <w:sz w:val="23"/>
        </w:rPr>
        <w:t>(2866.3) / (7798.1)≈36.8 %</w:t>
      </w:r>
    </w:p>
    <w:p>
      <w:r>
        <w:rPr>
          <w:rFonts w:ascii="Calibri" w:hAnsi="Calibri" w:eastAsia="Source Han Sans SC"/>
          <w:sz w:val="22"/>
        </w:rPr>
        <w:t>若采用 8000 万头出栏、36.8% 屠宰比例、125 公斤体重、90% 产品产出率和 0.3 元/公斤增量利润，则：</w:t>
      </w:r>
    </w:p>
    <w:p>
      <w:pPr>
        <w:keepLines/>
        <w:spacing w:before="100" w:after="140"/>
        <w:jc w:val="center"/>
        <w:shd w:fill="F7F9FB"/>
      </w:pPr>
      <w:r>
        <w:rPr>
          <w:rFonts w:ascii="Cambria Math" w:hAnsi="Cambria Math" w:eastAsia="Source Han Sans SC"/>
          <w:color w:val="203750"/>
          <w:sz w:val="23"/>
        </w:rPr>
        <w:t>Π_slaughter≈10亿元</w:t>
      </w:r>
    </w:p>
    <w:p>
      <w:r>
        <w:rPr>
          <w:rFonts w:ascii="Calibri" w:hAnsi="Calibri" w:eastAsia="Source Han Sans SC"/>
          <w:sz w:val="22"/>
        </w:rPr>
        <w:t xml:space="preserve">屠宰比例每增加 10 个百分点，理论利润增量约为 2.7 亿元 </w:t>
      </w:r>
      <w:r>
        <w:rPr>
          <w:rFonts w:ascii="Menlo" w:hAnsi="Menlo" w:eastAsia="Source Han Sans SC"/>
          <w:color w:val="1F4D78"/>
          <w:sz w:val="21"/>
        </w:rPr>
        <w:t>[D08]</w:t>
      </w:r>
      <w:r>
        <w:rPr>
          <w:rFonts w:ascii="Calibri" w:hAnsi="Calibri" w:eastAsia="Source Han Sans SC"/>
          <w:sz w:val="22"/>
        </w:rPr>
        <w:t>。因此，在当前单位增量利润假设下，屠宰业务尚不是公司估值的第一驱动因素，其主要价值包括提高产能利用率、平滑部分周期、掌握消费端数据以及发展分割品和品牌肉。</w:t>
      </w:r>
    </w:p>
    <w:p>
      <w:pPr>
        <w:pStyle w:val="Heading2"/>
      </w:pPr>
      <w:r>
        <w:rPr>
          <w:rFonts w:ascii="Calibri" w:hAnsi="Calibri" w:eastAsia="Source Han Sans SC"/>
          <w:b/>
          <w:color w:val="2E74B5"/>
          <w:sz w:val="26"/>
        </w:rPr>
        <w:t>5.6 需求的作用</w:t>
      </w:r>
    </w:p>
    <w:p>
      <w:r>
        <w:rPr>
          <w:rFonts w:ascii="Calibri" w:hAnsi="Calibri" w:eastAsia="Source Han Sans SC"/>
          <w:sz w:val="22"/>
        </w:rPr>
        <w:t>需求不会作为单独项目直接加入公司利润公式，而是通过市场均衡影响猪价。需求决定：</w:t>
      </w:r>
    </w:p>
    <w:p>
      <w:pPr>
        <w:numPr>
          <w:ilvl w:val="0"/>
          <w:numId w:val="11"/>
        </w:numPr>
        <w:spacing w:after="80" w:line="290" w:lineRule="auto"/>
      </w:pPr>
      <w:r>
        <w:rPr>
          <w:rFonts w:ascii="Calibri" w:hAnsi="Calibri" w:eastAsia="Source Han Sans SC"/>
          <w:sz w:val="22"/>
        </w:rPr>
        <w:t>全国需要维持多少商品猪产能；</w:t>
      </w:r>
    </w:p>
    <w:p>
      <w:pPr>
        <w:numPr>
          <w:ilvl w:val="0"/>
          <w:numId w:val="11"/>
        </w:numPr>
        <w:spacing w:after="80" w:line="290" w:lineRule="auto"/>
      </w:pPr>
      <w:r>
        <w:rPr>
          <w:rFonts w:ascii="Calibri" w:hAnsi="Calibri" w:eastAsia="Source Han Sans SC"/>
          <w:sz w:val="22"/>
        </w:rPr>
        <w:t>哪一部分高成本产能仍然是满足需求所必需的；</w:t>
      </w:r>
    </w:p>
    <w:p>
      <w:pPr>
        <w:numPr>
          <w:ilvl w:val="0"/>
          <w:numId w:val="11"/>
        </w:numPr>
        <w:spacing w:after="80" w:line="290" w:lineRule="auto"/>
      </w:pPr>
      <w:r>
        <w:rPr>
          <w:rFonts w:ascii="Calibri" w:hAnsi="Calibri" w:eastAsia="Source Han Sans SC"/>
          <w:sz w:val="22"/>
        </w:rPr>
        <w:t>猪价上行能够达到的高度及持续时间；</w:t>
      </w:r>
    </w:p>
    <w:p>
      <w:pPr>
        <w:numPr>
          <w:ilvl w:val="0"/>
          <w:numId w:val="11"/>
        </w:numPr>
        <w:spacing w:after="80" w:line="290" w:lineRule="auto"/>
      </w:pPr>
      <w:r>
        <w:rPr>
          <w:rFonts w:ascii="Calibri" w:hAnsi="Calibri" w:eastAsia="Source Han Sans SC"/>
          <w:sz w:val="22"/>
        </w:rPr>
        <w:t>屠宰和肉食业务的产能利用率；</w:t>
      </w:r>
    </w:p>
    <w:p>
      <w:pPr>
        <w:numPr>
          <w:ilvl w:val="0"/>
          <w:numId w:val="11"/>
        </w:numPr>
        <w:spacing w:after="80" w:line="290" w:lineRule="auto"/>
      </w:pPr>
      <w:r>
        <w:rPr>
          <w:rFonts w:ascii="Calibri" w:hAnsi="Calibri" w:eastAsia="Source Han Sans SC"/>
          <w:sz w:val="22"/>
        </w:rPr>
        <w:t>猪肉与牛羊禽肉之间的替代关系。</w:t>
      </w:r>
    </w:p>
    <w:p>
      <w:r>
        <w:rPr>
          <w:rFonts w:ascii="Calibri" w:hAnsi="Calibri" w:eastAsia="Source Han Sans SC"/>
          <w:sz w:val="22"/>
        </w:rPr>
        <w:t xml:space="preserve">2025 年全国生猪出栏 7.1973 亿头，猪肉产量 5938 万吨，猪肉约占猪牛羊禽肉总产量的 58.96% </w:t>
      </w:r>
      <w:r>
        <w:rPr>
          <w:rFonts w:ascii="Menlo" w:hAnsi="Menlo" w:eastAsia="Source Han Sans SC"/>
          <w:color w:val="1F4D78"/>
          <w:sz w:val="21"/>
        </w:rPr>
        <w:t>[S05]</w:t>
      </w:r>
      <w:r>
        <w:rPr>
          <w:rFonts w:ascii="Calibri" w:hAnsi="Calibri" w:eastAsia="Source Han Sans SC"/>
          <w:sz w:val="22"/>
        </w:rPr>
        <w:t>。该规模可作为当前长期需求分析的基础锚点，但人口、消费结构和替代肉类价格仍可能改变未来需求。</w:t>
      </w:r>
    </w:p>
    <w:p>
      <w:pPr>
        <w:pStyle w:val="Heading1"/>
        <w:pageBreakBefore/>
      </w:pPr>
      <w:bookmarkStart w:id="993347" w:name="sec_6"/>
      <w:r>
        <w:rPr>
          <w:rFonts w:ascii="Calibri" w:hAnsi="Calibri" w:eastAsia="Source Han Sans SC"/>
          <w:b/>
          <w:color w:val="2E74B5"/>
          <w:sz w:val="32"/>
        </w:rPr>
        <w:t>6 猪价波动与经营杠杆</w:t>
      </w:r>
      <w:bookmarkEnd w:id="993347"/>
    </w:p>
    <w:p>
      <w:r>
        <w:rPr>
          <w:rFonts w:ascii="Calibri" w:hAnsi="Calibri" w:eastAsia="Source Han Sans SC"/>
          <w:sz w:val="22"/>
        </w:rPr>
        <w:t>在完全成本为 11.5 元/公斤时，不同猪价对应的单位养殖利润如下：</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4368"/>
        <w:gridCol w:w="4992"/>
      </w:tblGrid>
      <w:tr>
        <w:trPr>
          <w:cantSplit/>
          <w:tblHeader w:val="true"/>
        </w:trPr>
        <w:tc>
          <w:tcPr>
            <w:tcW w:type="dxa" w:w="4368"/>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猪价</w:t>
            </w:r>
          </w:p>
        </w:tc>
        <w:tc>
          <w:tcPr>
            <w:tcW w:type="dxa" w:w="4992"/>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单位养殖利润</w:t>
            </w:r>
          </w:p>
        </w:tc>
      </w:tr>
      <w:tr>
        <w:trPr>
          <w:cantSplit/>
        </w:trPr>
        <w:tc>
          <w:tcPr>
            <w:tcW w:type="dxa" w:w="43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14 元/公斤</w:t>
            </w:r>
          </w:p>
        </w:tc>
        <w:tc>
          <w:tcPr>
            <w:tcW w:type="dxa" w:w="499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2.5 元/公斤</w:t>
            </w:r>
          </w:p>
        </w:tc>
      </w:tr>
      <w:tr>
        <w:trPr>
          <w:cantSplit/>
        </w:trPr>
        <w:tc>
          <w:tcPr>
            <w:tcW w:type="dxa" w:w="43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15 元/公斤</w:t>
            </w:r>
          </w:p>
        </w:tc>
        <w:tc>
          <w:tcPr>
            <w:tcW w:type="dxa" w:w="499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3.5 元/公斤</w:t>
            </w:r>
          </w:p>
        </w:tc>
      </w:tr>
      <w:tr>
        <w:trPr>
          <w:cantSplit/>
        </w:trPr>
        <w:tc>
          <w:tcPr>
            <w:tcW w:type="dxa" w:w="43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16 元/公斤</w:t>
            </w:r>
          </w:p>
        </w:tc>
        <w:tc>
          <w:tcPr>
            <w:tcW w:type="dxa" w:w="499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4.5 元/公斤</w:t>
            </w:r>
          </w:p>
        </w:tc>
      </w:tr>
      <w:tr>
        <w:trPr>
          <w:cantSplit/>
        </w:trPr>
        <w:tc>
          <w:tcPr>
            <w:tcW w:type="dxa" w:w="43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18 元/公斤</w:t>
            </w:r>
          </w:p>
        </w:tc>
        <w:tc>
          <w:tcPr>
            <w:tcW w:type="dxa" w:w="499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6.5 元/公斤</w:t>
            </w:r>
          </w:p>
        </w:tc>
      </w:tr>
    </w:tbl>
    <w:p>
      <w:pPr>
        <w:spacing w:before="0" w:after="20" w:line="48" w:lineRule="auto"/>
      </w:pPr>
    </w:p>
    <w:p>
      <w:r>
        <w:rPr>
          <w:rFonts w:ascii="Calibri" w:hAnsi="Calibri" w:eastAsia="Source Han Sans SC"/>
          <w:sz w:val="22"/>
        </w:rPr>
        <w:t xml:space="preserve">猪价从 14 元上涨至 15 元，涨幅仅约 7.1%，但单位养殖利润由 2.5 元提升至 3.5 元，增幅达到 40% </w:t>
      </w:r>
      <w:r>
        <w:rPr>
          <w:rFonts w:ascii="Menlo" w:hAnsi="Menlo" w:eastAsia="Source Han Sans SC"/>
          <w:color w:val="1F4D78"/>
          <w:sz w:val="21"/>
        </w:rPr>
        <w:t>[D09]</w:t>
      </w:r>
      <w:r>
        <w:rPr>
          <w:rFonts w:ascii="Calibri" w:hAnsi="Calibri" w:eastAsia="Source Han Sans SC"/>
          <w:sz w:val="22"/>
        </w:rPr>
        <w:t>。猪价由 14 元上涨至 18 元，在约 100 亿公斤销售重量下，可以使理论利润增加约 400 亿元。</w:t>
      </w:r>
    </w:p>
    <w:p>
      <w:r>
        <w:rPr>
          <w:rFonts w:ascii="Calibri" w:hAnsi="Calibri" w:eastAsia="Source Han Sans SC"/>
          <w:sz w:val="22"/>
        </w:rPr>
        <w:t>这表明牧原的核心特征是高经营杠杆。公司的固定资产、猪场、人员和母猪体系在一定范围内不会随猪价同比例变化，而产品价格的变化会直接作用于单位价差。因此，研究牧原不能只判断公司竞争力，还必须判断猪价所处周期、未来均价和高景气持续时间。</w:t>
      </w:r>
    </w:p>
    <w:p>
      <w:pPr>
        <w:pStyle w:val="Heading1"/>
        <w:pageBreakBefore/>
      </w:pPr>
      <w:bookmarkStart w:id="702258" w:name="sec_7"/>
      <w:r>
        <w:rPr>
          <w:rFonts w:ascii="Calibri" w:hAnsi="Calibri" w:eastAsia="Source Han Sans SC"/>
          <w:b/>
          <w:color w:val="2E74B5"/>
          <w:sz w:val="32"/>
        </w:rPr>
        <w:t>7 猪价判断的三种方法</w:t>
      </w:r>
      <w:bookmarkEnd w:id="702258"/>
    </w:p>
    <w:p>
      <w:pPr>
        <w:pStyle w:val="Heading2"/>
      </w:pPr>
      <w:r>
        <w:rPr>
          <w:rFonts w:ascii="Calibri" w:hAnsi="Calibri" w:eastAsia="Source Han Sans SC"/>
          <w:b/>
          <w:color w:val="2E74B5"/>
          <w:sz w:val="26"/>
        </w:rPr>
        <w:t>7.1 方法一：供给先行指标法</w:t>
      </w:r>
    </w:p>
    <w:p>
      <w:r>
        <w:rPr>
          <w:rFonts w:ascii="Calibri" w:hAnsi="Calibri" w:eastAsia="Source Han Sans SC"/>
          <w:sz w:val="22"/>
        </w:rPr>
        <w:t>生猪供给具有较长时滞。基本生产链条为：</w:t>
      </w:r>
    </w:p>
    <w:p>
      <w:pPr>
        <w:keepLines/>
        <w:spacing w:before="80" w:after="160" w:line="283" w:lineRule="auto"/>
        <w:ind w:left="288" w:right="288"/>
        <w:jc w:val="left"/>
        <w:shd w:fill="F2F4F7"/>
      </w:pPr>
      <w:r>
        <w:rPr>
          <w:rFonts w:ascii="Calibri" w:hAnsi="Calibri" w:eastAsia="Source Han Sans SC"/>
          <w:color w:val="203750"/>
          <w:sz w:val="19"/>
        </w:rPr>
        <w:t>能繁母猪 → 配种 → 妊娠 → 仔猪出生 → 保育 → 育肥 → 商品猪出栏</w:t>
      </w:r>
    </w:p>
    <w:p>
      <w:r>
        <w:rPr>
          <w:rFonts w:ascii="Calibri" w:hAnsi="Calibri" w:eastAsia="Source Han Sans SC"/>
          <w:sz w:val="22"/>
        </w:rPr>
        <w:t xml:space="preserve">行业资料显示，能繁母猪变化到商品猪出栏通常约需 10—12 个月，后备母猪补充到对应商品猪出栏约需 14—16 个月 </w:t>
      </w:r>
      <w:r>
        <w:rPr>
          <w:rFonts w:ascii="Menlo" w:hAnsi="Menlo" w:eastAsia="Source Han Sans SC"/>
          <w:color w:val="1F4D78"/>
          <w:sz w:val="21"/>
        </w:rPr>
        <w:t>[S09]</w:t>
      </w:r>
      <w:r>
        <w:rPr>
          <w:rFonts w:ascii="Calibri" w:hAnsi="Calibri" w:eastAsia="Source Han Sans SC"/>
          <w:sz w:val="22"/>
        </w:rPr>
        <w:t xml:space="preserve">。农业农村部 2026 年调控方案将供给调控概括为“长期调母猪、中期调仔猪、短期调肥猪” </w:t>
      </w:r>
      <w:r>
        <w:rPr>
          <w:rFonts w:ascii="Menlo" w:hAnsi="Menlo" w:eastAsia="Source Han Sans SC"/>
          <w:color w:val="1F4D78"/>
          <w:sz w:val="21"/>
        </w:rPr>
        <w:t>[S06]</w:t>
      </w:r>
      <w:r>
        <w:rPr>
          <w:rFonts w:ascii="Calibri" w:hAnsi="Calibri" w:eastAsia="Source Han Sans SC"/>
          <w:sz w:val="22"/>
        </w:rPr>
        <w:t>。</w:t>
      </w:r>
    </w:p>
    <w:p>
      <w:r>
        <w:rPr>
          <w:rFonts w:ascii="Calibri" w:hAnsi="Calibri" w:eastAsia="Source Han Sans SC"/>
          <w:sz w:val="22"/>
        </w:rPr>
        <w:t>长期指标包括能繁母猪存栏、后备母猪数量、母猪淘汰和 PSY；中期指标包括新生仔猪数量、仔猪价格和仔猪销售量；短期指标包括商品猪出栏、出栏体重、标肥价差、二次育肥、屠宰量和冻品库存。</w:t>
      </w:r>
    </w:p>
    <w:p>
      <w:r>
        <w:rPr>
          <w:rFonts w:ascii="Calibri" w:hAnsi="Calibri" w:eastAsia="Source Han Sans SC"/>
          <w:sz w:val="22"/>
        </w:rPr>
        <w:t xml:space="preserve">公开信息显示，自 2025 年 7 月以来，全国能繁母猪存栏连续下降；2026 年 3 月新生仔猪数量在 17 个月后首次同比下降 </w:t>
      </w:r>
      <w:r>
        <w:rPr>
          <w:rFonts w:ascii="Menlo" w:hAnsi="Menlo" w:eastAsia="Source Han Sans SC"/>
          <w:color w:val="1F4D78"/>
          <w:sz w:val="21"/>
        </w:rPr>
        <w:t>[S10]</w:t>
      </w:r>
      <w:r>
        <w:rPr>
          <w:rFonts w:ascii="Calibri" w:hAnsi="Calibri" w:eastAsia="Source Han Sans SC"/>
          <w:sz w:val="22"/>
        </w:rPr>
        <w:t xml:space="preserve">。牧原 2026 年 6 月末能繁母猪存栏为 311.3 万头，上半年累计销售商品猪 3861.5 万头 </w:t>
      </w:r>
      <w:r>
        <w:rPr>
          <w:rFonts w:ascii="Menlo" w:hAnsi="Menlo" w:eastAsia="Source Han Sans SC"/>
          <w:color w:val="1F4D78"/>
          <w:sz w:val="21"/>
        </w:rPr>
        <w:t>[S08]</w:t>
      </w:r>
      <w:r>
        <w:rPr>
          <w:rFonts w:ascii="Calibri" w:hAnsi="Calibri" w:eastAsia="Source Han Sans SC"/>
          <w:sz w:val="22"/>
        </w:rPr>
        <w:t xml:space="preserve">。据生产时滞推断，这些变化主要影响 2026 年下半年至 2027 年的商品猪供给 </w:t>
      </w:r>
      <w:r>
        <w:rPr>
          <w:rFonts w:ascii="Menlo" w:hAnsi="Menlo" w:eastAsia="Source Han Sans SC"/>
          <w:color w:val="1F4D78"/>
          <w:sz w:val="21"/>
        </w:rPr>
        <w:t>[J03]</w:t>
      </w:r>
      <w:r>
        <w:rPr>
          <w:rFonts w:ascii="Calibri" w:hAnsi="Calibri" w:eastAsia="Source Han Sans SC"/>
          <w:sz w:val="22"/>
        </w:rPr>
        <w:t>。</w:t>
      </w:r>
    </w:p>
    <w:p>
      <w:r>
        <w:rPr>
          <w:rFonts w:ascii="Calibri" w:hAnsi="Calibri" w:eastAsia="Source Han Sans SC"/>
          <w:sz w:val="22"/>
        </w:rPr>
        <w:t>供给先行指标法的优势是能够判断拐点和时间，但无法仅凭母猪下降幅度直接计算长期均价。母猪生产效率提高、成活率改善和出栏体重增加均可能部分抵消母猪数量下降。</w:t>
      </w:r>
    </w:p>
    <w:p>
      <w:pPr>
        <w:pStyle w:val="Heading2"/>
      </w:pPr>
      <w:r>
        <w:rPr>
          <w:rFonts w:ascii="Calibri" w:hAnsi="Calibri" w:eastAsia="Source Han Sans SC"/>
          <w:b/>
          <w:color w:val="2E74B5"/>
          <w:sz w:val="26"/>
        </w:rPr>
        <w:t>7.2 方法二：盈亏与产能反馈法</w:t>
      </w:r>
    </w:p>
    <w:p>
      <w:r>
        <w:rPr>
          <w:rFonts w:ascii="Calibri" w:hAnsi="Calibri" w:eastAsia="Source Han Sans SC"/>
          <w:sz w:val="22"/>
        </w:rPr>
        <w:t>猪周期可以表述为以下反馈链条：</w:t>
      </w:r>
    </w:p>
    <w:p>
      <w:pPr>
        <w:keepLines/>
        <w:spacing w:before="80" w:after="160" w:line="283" w:lineRule="auto"/>
        <w:ind w:left="288" w:right="288"/>
        <w:jc w:val="left"/>
        <w:shd w:fill="F2F4F7"/>
      </w:pPr>
      <w:r>
        <w:rPr>
          <w:rFonts w:ascii="Calibri" w:hAnsi="Calibri" w:eastAsia="Source Han Sans SC"/>
          <w:color w:val="203750"/>
          <w:sz w:val="19"/>
        </w:rPr>
        <w:t>猪价下降 → 行业利润下降或亏损 → 现金流和资产负债表承压 → 母猪淘汰、补栏减少和资本开支下降 → 未来商品猪供应减少 → 猪价上涨 → 行业盈利恢复 → 补栏与扩产增加 → 未来供应重新增长 → 猪价再次下降</w:t>
      </w:r>
    </w:p>
    <w:p>
      <w:r>
        <w:rPr>
          <w:rFonts w:ascii="Calibri" w:hAnsi="Calibri" w:eastAsia="Source Han Sans SC"/>
          <w:sz w:val="22"/>
        </w:rPr>
        <w:t>该方法的核心不是寻找某个固定价格底，而是观察低价是否已经持续到足以改变养殖主体的生产行为。若猪价低于完全成本但仍高于现金成本，企业可能继续生产并等待周期恢复；若猪价长期接近现金成本，融资能力较弱的主体会被迫退出。</w:t>
      </w:r>
    </w:p>
    <w:p>
      <w:r>
        <w:rPr>
          <w:rFonts w:ascii="Calibri" w:hAnsi="Calibri" w:eastAsia="Source Han Sans SC"/>
          <w:sz w:val="22"/>
        </w:rPr>
        <w:t xml:space="preserve">随着行业规模化率提升，产能退出可能比过去更慢。2025 年生猪养殖规模化率预计约为 73%，前十家企业出栏占比继续上升 </w:t>
      </w:r>
      <w:r>
        <w:rPr>
          <w:rFonts w:ascii="Menlo" w:hAnsi="Menlo" w:eastAsia="Source Han Sans SC"/>
          <w:color w:val="1F4D78"/>
          <w:sz w:val="21"/>
        </w:rPr>
        <w:t>[S01][S07]</w:t>
      </w:r>
      <w:r>
        <w:rPr>
          <w:rFonts w:ascii="Calibri" w:hAnsi="Calibri" w:eastAsia="Source Han Sans SC"/>
          <w:sz w:val="22"/>
        </w:rPr>
        <w:t>。规模企业具有融资能力强、成本低、母猪资产稳定和亏损承受期长等特征，因此不能简单沿用散户主导时期的去产能速度。</w:t>
      </w:r>
    </w:p>
    <w:p>
      <w:pPr>
        <w:pStyle w:val="Heading2"/>
      </w:pPr>
      <w:r>
        <w:rPr>
          <w:rFonts w:ascii="Calibri" w:hAnsi="Calibri" w:eastAsia="Source Han Sans SC"/>
          <w:b/>
          <w:color w:val="2E74B5"/>
          <w:sz w:val="26"/>
        </w:rPr>
        <w:t>7.3 方法三：边际成本加正常利润法</w:t>
      </w:r>
    </w:p>
    <w:p>
      <w:r>
        <w:rPr>
          <w:rFonts w:ascii="Calibri" w:hAnsi="Calibri" w:eastAsia="Source Han Sans SC"/>
          <w:sz w:val="22"/>
        </w:rPr>
        <w:t>长期猪价中枢应由满足全国需求所必需的边际生产者决定，而不是由成本最低企业或成本最高企业决定。</w:t>
      </w:r>
    </w:p>
    <w:p>
      <w:r>
        <w:rPr>
          <w:rFonts w:ascii="Calibri" w:hAnsi="Calibri" w:eastAsia="Source Han Sans SC"/>
          <w:sz w:val="22"/>
        </w:rPr>
        <w:t>若全国猪肉需求需要约 7 亿头生猪供应，而低成本头部企业只能提供其中一部分，则市场价格必须覆盖剩余必要产能的成本。反之，若某些最高成本散户并非满足需求所必需，其退出不会造成供给缺口，则其成本不能直接被视为猪价底。</w:t>
      </w:r>
    </w:p>
    <w:p>
      <w:r>
        <w:rPr>
          <w:rFonts w:ascii="Calibri" w:hAnsi="Calibri" w:eastAsia="Source Han Sans SC"/>
          <w:sz w:val="22"/>
        </w:rPr>
        <w:t>长期合理猪价可表示为：</w:t>
      </w:r>
    </w:p>
    <w:p>
      <w:pPr>
        <w:keepLines/>
        <w:spacing w:before="100" w:after="140"/>
        <w:jc w:val="center"/>
        <w:shd w:fill="F7F9FB"/>
      </w:pPr>
      <w:r>
        <w:rPr>
          <w:rFonts w:ascii="Cambria Math" w:hAnsi="Cambria Math" w:eastAsia="Source Han Sans SC"/>
          <w:color w:val="203750"/>
          <w:sz w:val="23"/>
        </w:rPr>
        <w:t>P^* ≈ C_marginal + R_normal</w:t>
      </w:r>
    </w:p>
    <w:p>
      <w:r>
        <w:rPr>
          <w:rFonts w:ascii="Calibri" w:hAnsi="Calibri" w:eastAsia="Source Han Sans SC"/>
          <w:sz w:val="22"/>
        </w:rPr>
        <w:t>其中：</w:t>
      </w:r>
    </w:p>
    <w:p>
      <w:pPr>
        <w:numPr>
          <w:ilvl w:val="0"/>
          <w:numId w:val="10"/>
        </w:numPr>
        <w:spacing w:after="80" w:line="290" w:lineRule="auto"/>
      </w:pPr>
      <w:r>
        <w:rPr>
          <w:rFonts w:ascii="Calibri" w:hAnsi="Calibri" w:eastAsia="Source Han Sans SC"/>
          <w:sz w:val="22"/>
        </w:rPr>
        <w:t>C_marginal 为满足正常需求所需最后一部分有效产能的完全成本；</w:t>
      </w:r>
    </w:p>
    <w:p>
      <w:pPr>
        <w:numPr>
          <w:ilvl w:val="0"/>
          <w:numId w:val="10"/>
        </w:numPr>
        <w:spacing w:after="80" w:line="290" w:lineRule="auto"/>
      </w:pPr>
      <w:r>
        <w:rPr>
          <w:rFonts w:ascii="Calibri" w:hAnsi="Calibri" w:eastAsia="Source Han Sans SC"/>
          <w:sz w:val="22"/>
        </w:rPr>
        <w:t>R_normal 为承担疫病、价格波动、资金占用、固定资产更新和环保投入所需要的正常利润。</w:t>
      </w:r>
    </w:p>
    <w:p>
      <w:r>
        <w:rPr>
          <w:rFonts w:ascii="Calibri" w:hAnsi="Calibri" w:eastAsia="Source Han Sans SC"/>
          <w:sz w:val="22"/>
        </w:rPr>
        <w:t>前两种方法主要回答猪价何时上涨或下跌，第三种方法回答长期均衡猪价大致位于何处。本文认为长期估值应以第三种方法为主，以前两种方法判断周期节奏。</w:t>
      </w:r>
    </w:p>
    <w:p>
      <w:pPr>
        <w:pStyle w:val="Heading1"/>
      </w:pPr>
      <w:bookmarkStart w:id="440016" w:name="sec_8"/>
      <w:r>
        <w:rPr>
          <w:rFonts w:ascii="Calibri" w:hAnsi="Calibri" w:eastAsia="Source Han Sans SC"/>
          <w:b/>
          <w:color w:val="2E74B5"/>
          <w:sz w:val="32"/>
        </w:rPr>
        <w:t>8 行业边际成本与长期合理猪价</w:t>
      </w:r>
      <w:bookmarkEnd w:id="440016"/>
    </w:p>
    <w:p>
      <w:pPr>
        <w:pStyle w:val="Heading2"/>
      </w:pPr>
      <w:r>
        <w:rPr>
          <w:rFonts w:ascii="Calibri" w:hAnsi="Calibri" w:eastAsia="Source Han Sans SC"/>
          <w:b/>
          <w:color w:val="2E74B5"/>
          <w:sz w:val="26"/>
        </w:rPr>
        <w:t>8.1 长期需求规模</w:t>
      </w:r>
    </w:p>
    <w:p>
      <w:r>
        <w:rPr>
          <w:rFonts w:ascii="Calibri" w:hAnsi="Calibri" w:eastAsia="Source Han Sans SC"/>
          <w:sz w:val="22"/>
        </w:rPr>
        <w:t xml:space="preserve">2025 年全国猪肉产量为 5938 万吨，生猪出栏为 7.1973 亿头 </w:t>
      </w:r>
      <w:r>
        <w:rPr>
          <w:rFonts w:ascii="Menlo" w:hAnsi="Menlo" w:eastAsia="Source Han Sans SC"/>
          <w:color w:val="1F4D78"/>
          <w:sz w:val="21"/>
        </w:rPr>
        <w:t>[S05]</w:t>
      </w:r>
      <w:r>
        <w:rPr>
          <w:rFonts w:ascii="Calibri" w:hAnsi="Calibri" w:eastAsia="Source Han Sans SC"/>
          <w:sz w:val="22"/>
        </w:rPr>
        <w:t xml:space="preserve">。在没有显著人口、消费偏好或替代肉类价格变化的情况下，可将约 7 亿头商品猪和约 5900 万吨猪肉视为当前需求规模锚点 </w:t>
      </w:r>
      <w:r>
        <w:rPr>
          <w:rFonts w:ascii="Menlo" w:hAnsi="Menlo" w:eastAsia="Source Han Sans SC"/>
          <w:color w:val="1F4D78"/>
          <w:sz w:val="21"/>
        </w:rPr>
        <w:t>[J04]</w:t>
      </w:r>
      <w:r>
        <w:rPr>
          <w:rFonts w:ascii="Calibri" w:hAnsi="Calibri" w:eastAsia="Source Han Sans SC"/>
          <w:sz w:val="22"/>
        </w:rPr>
        <w:t>。</w:t>
      </w:r>
    </w:p>
    <w:p>
      <w:r>
        <w:rPr>
          <w:rFonts w:ascii="Calibri" w:hAnsi="Calibri" w:eastAsia="Source Han Sans SC"/>
          <w:sz w:val="22"/>
        </w:rPr>
        <w:t>长期需求仍需考虑：</w:t>
      </w:r>
    </w:p>
    <w:p>
      <w:pPr>
        <w:numPr>
          <w:ilvl w:val="0"/>
          <w:numId w:val="10"/>
        </w:numPr>
        <w:spacing w:after="80" w:line="290" w:lineRule="auto"/>
      </w:pPr>
      <w:r>
        <w:rPr>
          <w:rFonts w:ascii="Calibri" w:hAnsi="Calibri" w:eastAsia="Source Han Sans SC"/>
          <w:sz w:val="22"/>
        </w:rPr>
        <w:t>人口总量和年龄结构；</w:t>
      </w:r>
    </w:p>
    <w:p>
      <w:pPr>
        <w:numPr>
          <w:ilvl w:val="0"/>
          <w:numId w:val="10"/>
        </w:numPr>
        <w:spacing w:after="80" w:line="290" w:lineRule="auto"/>
      </w:pPr>
      <w:r>
        <w:rPr>
          <w:rFonts w:ascii="Calibri" w:hAnsi="Calibri" w:eastAsia="Source Han Sans SC"/>
          <w:sz w:val="22"/>
        </w:rPr>
        <w:t>居民收入及餐饮消费；</w:t>
      </w:r>
    </w:p>
    <w:p>
      <w:pPr>
        <w:numPr>
          <w:ilvl w:val="0"/>
          <w:numId w:val="10"/>
        </w:numPr>
        <w:spacing w:after="80" w:line="290" w:lineRule="auto"/>
      </w:pPr>
      <w:r>
        <w:rPr>
          <w:rFonts w:ascii="Calibri" w:hAnsi="Calibri" w:eastAsia="Source Han Sans SC"/>
          <w:sz w:val="22"/>
        </w:rPr>
        <w:t>牛肉、禽肉和水产品替代；</w:t>
      </w:r>
    </w:p>
    <w:p>
      <w:pPr>
        <w:numPr>
          <w:ilvl w:val="0"/>
          <w:numId w:val="10"/>
        </w:numPr>
        <w:spacing w:after="80" w:line="290" w:lineRule="auto"/>
      </w:pPr>
      <w:r>
        <w:rPr>
          <w:rFonts w:ascii="Calibri" w:hAnsi="Calibri" w:eastAsia="Source Han Sans SC"/>
          <w:sz w:val="22"/>
        </w:rPr>
        <w:t>猪肉和牛肉进口；</w:t>
      </w:r>
    </w:p>
    <w:p>
      <w:pPr>
        <w:numPr>
          <w:ilvl w:val="0"/>
          <w:numId w:val="10"/>
        </w:numPr>
        <w:spacing w:after="80" w:line="290" w:lineRule="auto"/>
      </w:pPr>
      <w:r>
        <w:rPr>
          <w:rFonts w:ascii="Calibri" w:hAnsi="Calibri" w:eastAsia="Source Han Sans SC"/>
          <w:sz w:val="22"/>
        </w:rPr>
        <w:t>食品加工需求；</w:t>
      </w:r>
    </w:p>
    <w:p>
      <w:pPr>
        <w:numPr>
          <w:ilvl w:val="0"/>
          <w:numId w:val="10"/>
        </w:numPr>
        <w:spacing w:after="80" w:line="290" w:lineRule="auto"/>
      </w:pPr>
      <w:r>
        <w:rPr>
          <w:rFonts w:ascii="Calibri" w:hAnsi="Calibri" w:eastAsia="Source Han Sans SC"/>
          <w:sz w:val="22"/>
        </w:rPr>
        <w:t>冻品库存和储备政策。</w:t>
      </w:r>
    </w:p>
    <w:p>
      <w:pPr>
        <w:pStyle w:val="Heading2"/>
      </w:pPr>
      <w:r>
        <w:rPr>
          <w:rFonts w:ascii="Calibri" w:hAnsi="Calibri" w:eastAsia="Source Han Sans SC"/>
          <w:b/>
          <w:color w:val="2E74B5"/>
          <w:sz w:val="26"/>
        </w:rPr>
        <w:t>8.2 成本样本</w:t>
      </w:r>
    </w:p>
    <w:p>
      <w:r>
        <w:rPr>
          <w:rFonts w:ascii="Calibri" w:hAnsi="Calibri" w:eastAsia="Source Han Sans SC"/>
          <w:sz w:val="22"/>
        </w:rPr>
        <w:t>现有公开成本数据如下：</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4940"/>
        <w:gridCol w:w="2600"/>
        <w:gridCol w:w="1820"/>
      </w:tblGrid>
      <w:tr>
        <w:trPr>
          <w:cantSplit/>
          <w:tblHeader w:val="true"/>
        </w:trPr>
        <w:tc>
          <w:tcPr>
            <w:tcW w:type="dxa" w:w="4940"/>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成本样本</w:t>
            </w:r>
          </w:p>
        </w:tc>
        <w:tc>
          <w:tcPr>
            <w:tcW w:type="dxa" w:w="260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数值</w:t>
            </w:r>
          </w:p>
        </w:tc>
        <w:tc>
          <w:tcPr>
            <w:tcW w:type="dxa" w:w="182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资料</w:t>
            </w:r>
          </w:p>
        </w:tc>
      </w:tr>
      <w:tr>
        <w:trPr>
          <w:cantSplit/>
        </w:trPr>
        <w:tc>
          <w:tcPr>
            <w:tcW w:type="dxa" w:w="49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牧原 2025 年完全成本</w:t>
            </w:r>
          </w:p>
        </w:tc>
        <w:tc>
          <w:tcPr>
            <w:tcW w:type="dxa" w:w="26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12 元/公斤</w:t>
            </w:r>
          </w:p>
        </w:tc>
        <w:tc>
          <w:tcPr>
            <w:tcW w:type="dxa" w:w="1820"/>
            <w:vAlign w:val="center"/>
            <w:tcMar>
              <w:top w:w="80" w:type="dxa"/>
              <w:start w:w="120" w:type="dxa"/>
              <w:bottom w:w="80" w:type="dxa"/>
              <w:end w:w="120" w:type="dxa"/>
            </w:tcMar>
          </w:tcPr>
          <w:p>
            <w:pPr>
              <w:spacing w:before="0" w:after="50" w:line="269" w:lineRule="auto"/>
              <w:jc w:val="left"/>
            </w:pPr>
            <w:r>
              <w:rPr>
                <w:rFonts w:ascii="Menlo" w:hAnsi="Menlo" w:eastAsia="Source Han Sans SC"/>
                <w:color w:val="1F4D78"/>
                <w:sz w:val="18"/>
              </w:rPr>
              <w:t>[S01]</w:t>
            </w:r>
          </w:p>
        </w:tc>
      </w:tr>
      <w:tr>
        <w:trPr>
          <w:cantSplit/>
        </w:trPr>
        <w:tc>
          <w:tcPr>
            <w:tcW w:type="dxa" w:w="49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全国 2025 年平均养殖成本</w:t>
            </w:r>
          </w:p>
        </w:tc>
        <w:tc>
          <w:tcPr>
            <w:tcW w:type="dxa" w:w="26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14.1 元/公斤</w:t>
            </w:r>
          </w:p>
        </w:tc>
        <w:tc>
          <w:tcPr>
            <w:tcW w:type="dxa" w:w="1820"/>
            <w:vAlign w:val="center"/>
            <w:tcMar>
              <w:top w:w="80" w:type="dxa"/>
              <w:start w:w="120" w:type="dxa"/>
              <w:bottom w:w="80" w:type="dxa"/>
              <w:end w:w="120" w:type="dxa"/>
            </w:tcMar>
          </w:tcPr>
          <w:p>
            <w:pPr>
              <w:spacing w:before="0" w:after="50" w:line="269" w:lineRule="auto"/>
              <w:jc w:val="left"/>
            </w:pPr>
            <w:r>
              <w:rPr>
                <w:rFonts w:ascii="Menlo" w:hAnsi="Menlo" w:eastAsia="Source Han Sans SC"/>
                <w:color w:val="1F4D78"/>
                <w:sz w:val="18"/>
              </w:rPr>
              <w:t>[S07]</w:t>
            </w:r>
          </w:p>
        </w:tc>
      </w:tr>
      <w:tr>
        <w:trPr>
          <w:cantSplit/>
        </w:trPr>
        <w:tc>
          <w:tcPr>
            <w:tcW w:type="dxa" w:w="49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山东 2025 年二季度自繁自育盈亏线</w:t>
            </w:r>
          </w:p>
        </w:tc>
        <w:tc>
          <w:tcPr>
            <w:tcW w:type="dxa" w:w="26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14.12 元/公斤</w:t>
            </w:r>
          </w:p>
        </w:tc>
        <w:tc>
          <w:tcPr>
            <w:tcW w:type="dxa" w:w="1820"/>
            <w:vAlign w:val="center"/>
            <w:tcMar>
              <w:top w:w="80" w:type="dxa"/>
              <w:start w:w="120" w:type="dxa"/>
              <w:bottom w:w="80" w:type="dxa"/>
              <w:end w:w="120" w:type="dxa"/>
            </w:tcMar>
          </w:tcPr>
          <w:p>
            <w:pPr>
              <w:spacing w:before="0" w:after="50" w:line="269" w:lineRule="auto"/>
              <w:jc w:val="left"/>
            </w:pPr>
            <w:r>
              <w:rPr>
                <w:rFonts w:ascii="Menlo" w:hAnsi="Menlo" w:eastAsia="Source Han Sans SC"/>
                <w:color w:val="1F4D78"/>
                <w:sz w:val="18"/>
              </w:rPr>
              <w:t>[S11]</w:t>
            </w:r>
          </w:p>
        </w:tc>
      </w:tr>
      <w:tr>
        <w:trPr>
          <w:cantSplit/>
        </w:trPr>
        <w:tc>
          <w:tcPr>
            <w:tcW w:type="dxa" w:w="49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山东 2025 年二季度外购仔猪盈亏线</w:t>
            </w:r>
          </w:p>
        </w:tc>
        <w:tc>
          <w:tcPr>
            <w:tcW w:type="dxa" w:w="26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14.68 元/公斤</w:t>
            </w:r>
          </w:p>
        </w:tc>
        <w:tc>
          <w:tcPr>
            <w:tcW w:type="dxa" w:w="1820"/>
            <w:vAlign w:val="center"/>
            <w:tcMar>
              <w:top w:w="80" w:type="dxa"/>
              <w:start w:w="120" w:type="dxa"/>
              <w:bottom w:w="80" w:type="dxa"/>
              <w:end w:w="120" w:type="dxa"/>
            </w:tcMar>
          </w:tcPr>
          <w:p>
            <w:pPr>
              <w:spacing w:before="0" w:after="50" w:line="269" w:lineRule="auto"/>
              <w:jc w:val="left"/>
            </w:pPr>
            <w:r>
              <w:rPr>
                <w:rFonts w:ascii="Menlo" w:hAnsi="Menlo" w:eastAsia="Source Han Sans SC"/>
                <w:color w:val="1F4D78"/>
                <w:sz w:val="18"/>
              </w:rPr>
              <w:t>[S11]</w:t>
            </w:r>
          </w:p>
        </w:tc>
      </w:tr>
      <w:tr>
        <w:trPr>
          <w:cantSplit/>
        </w:trPr>
        <w:tc>
          <w:tcPr>
            <w:tcW w:type="dxa" w:w="49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山东 2025 年四季度自繁自育盈亏线</w:t>
            </w:r>
          </w:p>
        </w:tc>
        <w:tc>
          <w:tcPr>
            <w:tcW w:type="dxa" w:w="26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13.39 元/公斤</w:t>
            </w:r>
          </w:p>
        </w:tc>
        <w:tc>
          <w:tcPr>
            <w:tcW w:type="dxa" w:w="1820"/>
            <w:vAlign w:val="center"/>
            <w:tcMar>
              <w:top w:w="80" w:type="dxa"/>
              <w:start w:w="120" w:type="dxa"/>
              <w:bottom w:w="80" w:type="dxa"/>
              <w:end w:w="120" w:type="dxa"/>
            </w:tcMar>
          </w:tcPr>
          <w:p>
            <w:pPr>
              <w:spacing w:before="0" w:after="50" w:line="269" w:lineRule="auto"/>
              <w:jc w:val="left"/>
            </w:pPr>
            <w:r>
              <w:rPr>
                <w:rFonts w:ascii="Menlo" w:hAnsi="Menlo" w:eastAsia="Source Han Sans SC"/>
                <w:color w:val="1F4D78"/>
                <w:sz w:val="18"/>
              </w:rPr>
              <w:t>[S12]</w:t>
            </w:r>
          </w:p>
        </w:tc>
      </w:tr>
      <w:tr>
        <w:trPr>
          <w:cantSplit/>
        </w:trPr>
        <w:tc>
          <w:tcPr>
            <w:tcW w:type="dxa" w:w="49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山东 2025 年四季度外购仔猪盈亏线</w:t>
            </w:r>
          </w:p>
        </w:tc>
        <w:tc>
          <w:tcPr>
            <w:tcW w:type="dxa" w:w="26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13.95 元/公斤</w:t>
            </w:r>
          </w:p>
        </w:tc>
        <w:tc>
          <w:tcPr>
            <w:tcW w:type="dxa" w:w="1820"/>
            <w:vAlign w:val="center"/>
            <w:tcMar>
              <w:top w:w="80" w:type="dxa"/>
              <w:start w:w="120" w:type="dxa"/>
              <w:bottom w:w="80" w:type="dxa"/>
              <w:end w:w="120" w:type="dxa"/>
            </w:tcMar>
          </w:tcPr>
          <w:p>
            <w:pPr>
              <w:spacing w:before="0" w:after="50" w:line="269" w:lineRule="auto"/>
              <w:jc w:val="left"/>
            </w:pPr>
            <w:r>
              <w:rPr>
                <w:rFonts w:ascii="Menlo" w:hAnsi="Menlo" w:eastAsia="Source Han Sans SC"/>
                <w:color w:val="1F4D78"/>
                <w:sz w:val="18"/>
              </w:rPr>
              <w:t>[S12]</w:t>
            </w:r>
          </w:p>
        </w:tc>
      </w:tr>
    </w:tbl>
    <w:p>
      <w:pPr>
        <w:spacing w:before="0" w:after="20" w:line="48" w:lineRule="auto"/>
      </w:pPr>
    </w:p>
    <w:p>
      <w:r>
        <w:rPr>
          <w:rFonts w:ascii="Calibri" w:hAnsi="Calibri" w:eastAsia="Source Han Sans SC"/>
          <w:sz w:val="22"/>
        </w:rPr>
        <w:t>这些资料表明，牧原成本位于行业低位，普通规模养殖主体成本大致分布于 13.4—14.7 元/公斤。由于全国猪肉需求无法完全由最低成本企业满足，边际必要产能的完全成本应高于牧原成本。</w:t>
      </w:r>
    </w:p>
    <w:p>
      <w:pPr>
        <w:pStyle w:val="Heading2"/>
      </w:pPr>
      <w:r>
        <w:rPr>
          <w:rFonts w:ascii="Calibri" w:hAnsi="Calibri" w:eastAsia="Source Han Sans SC"/>
          <w:b/>
          <w:color w:val="2E74B5"/>
          <w:sz w:val="26"/>
        </w:rPr>
        <w:t>8.3 边际成本估计</w:t>
      </w:r>
    </w:p>
    <w:p>
      <w:r>
        <w:rPr>
          <w:rFonts w:ascii="Calibri" w:hAnsi="Calibri" w:eastAsia="Source Han Sans SC"/>
          <w:sz w:val="22"/>
        </w:rPr>
        <w:t>结合全国平均成本、省级样本、牧原低成本锚点和全国需求规模，本文将行业边际完全成本暂估为：</w:t>
      </w:r>
    </w:p>
    <w:p>
      <w:pPr>
        <w:keepLines/>
        <w:spacing w:before="100" w:after="140"/>
        <w:jc w:val="center"/>
        <w:shd w:fill="F7F9FB"/>
      </w:pPr>
      <w:r>
        <w:rPr>
          <w:rFonts w:ascii="Cambria Math" w:hAnsi="Cambria Math" w:eastAsia="Source Han Sans SC"/>
          <w:color w:val="203750"/>
          <w:sz w:val="23"/>
        </w:rPr>
        <w:t>C_marginal =14.0—15.0元/公斤</w:t>
      </w:r>
    </w:p>
    <w:p>
      <w:r>
        <w:rPr>
          <w:rFonts w:ascii="Calibri" w:hAnsi="Calibri" w:eastAsia="Source Han Sans SC"/>
          <w:sz w:val="22"/>
        </w:rPr>
        <w:t xml:space="preserve">该区间属于基于公开样本的分析推断，而非官方公布的统一边际成本 </w:t>
      </w:r>
      <w:r>
        <w:rPr>
          <w:rFonts w:ascii="Menlo" w:hAnsi="Menlo" w:eastAsia="Source Han Sans SC"/>
          <w:color w:val="1F4D78"/>
          <w:sz w:val="21"/>
        </w:rPr>
        <w:t>[J05]</w:t>
      </w:r>
      <w:r>
        <w:rPr>
          <w:rFonts w:ascii="Calibri" w:hAnsi="Calibri" w:eastAsia="Source Han Sans SC"/>
          <w:sz w:val="22"/>
        </w:rPr>
        <w:t>。</w:t>
      </w:r>
    </w:p>
    <w:p>
      <w:pPr>
        <w:pStyle w:val="Heading2"/>
      </w:pPr>
      <w:r>
        <w:rPr>
          <w:rFonts w:ascii="Calibri" w:hAnsi="Calibri" w:eastAsia="Source Han Sans SC"/>
          <w:b/>
          <w:color w:val="2E74B5"/>
          <w:sz w:val="26"/>
        </w:rPr>
        <w:t>8.4 正常利润估计</w:t>
      </w:r>
    </w:p>
    <w:p>
      <w:r>
        <w:rPr>
          <w:rFonts w:ascii="Calibri" w:hAnsi="Calibri" w:eastAsia="Source Han Sans SC"/>
          <w:sz w:val="22"/>
        </w:rPr>
        <w:t xml:space="preserve">本文采用 50—100 元/头作为边际生产者正常利润假设 </w:t>
      </w:r>
      <w:r>
        <w:rPr>
          <w:rFonts w:ascii="Menlo" w:hAnsi="Menlo" w:eastAsia="Source Han Sans SC"/>
          <w:color w:val="1F4D78"/>
          <w:sz w:val="21"/>
        </w:rPr>
        <w:t>[A07]</w:t>
      </w:r>
      <w:r>
        <w:rPr>
          <w:rFonts w:ascii="Calibri" w:hAnsi="Calibri" w:eastAsia="Source Han Sans SC"/>
          <w:sz w:val="22"/>
        </w:rPr>
        <w:t>。按 125 公斤/头计算：</w:t>
      </w:r>
    </w:p>
    <w:p>
      <w:pPr>
        <w:keepLines/>
        <w:spacing w:before="100" w:after="140"/>
        <w:jc w:val="center"/>
        <w:shd w:fill="F7F9FB"/>
      </w:pPr>
      <w:r>
        <w:rPr>
          <w:rFonts w:ascii="Cambria Math" w:hAnsi="Cambria Math" w:eastAsia="Source Han Sans SC"/>
          <w:color w:val="203750"/>
          <w:sz w:val="23"/>
        </w:rPr>
        <w:t>R_normal = 0.4—0.8元/公斤</w:t>
      </w:r>
    </w:p>
    <w:p>
      <w:r>
        <w:rPr>
          <w:rFonts w:ascii="Calibri" w:hAnsi="Calibri" w:eastAsia="Source Han Sans SC"/>
          <w:sz w:val="22"/>
        </w:rPr>
        <w:t>因此长期合理猪价理论区间为：</w:t>
      </w:r>
    </w:p>
    <w:p>
      <w:pPr>
        <w:keepLines/>
        <w:spacing w:before="100" w:after="140"/>
        <w:jc w:val="center"/>
        <w:shd w:fill="F7F9FB"/>
      </w:pPr>
      <w:r>
        <w:rPr>
          <w:rFonts w:ascii="Cambria Math" w:hAnsi="Cambria Math" w:eastAsia="Source Han Sans SC"/>
          <w:color w:val="203750"/>
          <w:sz w:val="23"/>
        </w:rPr>
        <w:t>P^* = 14.0—15.0 + 0.4—0.8 = 14.4—15.8元/公斤</w:t>
      </w:r>
    </w:p>
    <w:p>
      <w:r>
        <w:rPr>
          <w:rFonts w:ascii="Calibri" w:hAnsi="Calibri" w:eastAsia="Source Han Sans SC"/>
          <w:sz w:val="22"/>
        </w:rPr>
        <w:t xml:space="preserve">考虑生猪养殖效率仍在提升、母猪正常保有量由 3900 万头下调至 3750 万头 </w:t>
      </w:r>
      <w:r>
        <w:rPr>
          <w:rFonts w:ascii="Menlo" w:hAnsi="Menlo" w:eastAsia="Source Han Sans SC"/>
          <w:color w:val="1F4D78"/>
          <w:sz w:val="21"/>
        </w:rPr>
        <w:t>[S06]</w:t>
      </w:r>
      <w:r>
        <w:rPr>
          <w:rFonts w:ascii="Calibri" w:hAnsi="Calibri" w:eastAsia="Source Han Sans SC"/>
          <w:sz w:val="22"/>
        </w:rPr>
        <w:t>，长期中枢不宜机械使用区间上沿。本文将不同猪价情景划分为：</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3120"/>
        <w:gridCol w:w="6240"/>
      </w:tblGrid>
      <w:tr>
        <w:trPr>
          <w:cantSplit/>
          <w:tblHeader w:val="true"/>
        </w:trPr>
        <w:tc>
          <w:tcPr>
            <w:tcW w:type="dxa" w:w="3120"/>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情景</w:t>
            </w:r>
          </w:p>
        </w:tc>
        <w:tc>
          <w:tcPr>
            <w:tcW w:type="dxa" w:w="624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年均猪价 </w:t>
            </w:r>
            <w:r>
              <w:rPr>
                <w:rFonts w:ascii="Menlo" w:hAnsi="Menlo" w:eastAsia="Source Han Sans SC"/>
                <w:b/>
                <w:color w:val="1F4D78"/>
                <w:sz w:val="18"/>
              </w:rPr>
              <w:t>[J06]</w:t>
            </w:r>
          </w:p>
        </w:tc>
      </w:tr>
      <w:tr>
        <w:trPr>
          <w:cantSplit/>
        </w:trPr>
        <w:tc>
          <w:tcPr>
            <w:tcW w:type="dxa" w:w="312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低位正常化</w:t>
            </w:r>
          </w:p>
        </w:tc>
        <w:tc>
          <w:tcPr>
            <w:tcW w:type="dxa" w:w="624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13.5—14.0 元/公斤</w:t>
            </w:r>
          </w:p>
        </w:tc>
      </w:tr>
      <w:tr>
        <w:trPr>
          <w:cantSplit/>
        </w:trPr>
        <w:tc>
          <w:tcPr>
            <w:tcW w:type="dxa" w:w="312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长期核心中枢</w:t>
            </w:r>
          </w:p>
        </w:tc>
        <w:tc>
          <w:tcPr>
            <w:tcW w:type="dxa" w:w="624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14.5—15.5 元/公斤</w:t>
            </w:r>
          </w:p>
        </w:tc>
      </w:tr>
      <w:tr>
        <w:trPr>
          <w:cantSplit/>
        </w:trPr>
        <w:tc>
          <w:tcPr>
            <w:tcW w:type="dxa" w:w="312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周期偏强</w:t>
            </w:r>
          </w:p>
        </w:tc>
        <w:tc>
          <w:tcPr>
            <w:tcW w:type="dxa" w:w="624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16—17 元/公斤</w:t>
            </w:r>
          </w:p>
        </w:tc>
      </w:tr>
      <w:tr>
        <w:trPr>
          <w:cantSplit/>
        </w:trPr>
        <w:tc>
          <w:tcPr>
            <w:tcW w:type="dxa" w:w="312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周期高景气</w:t>
            </w:r>
          </w:p>
        </w:tc>
        <w:tc>
          <w:tcPr>
            <w:tcW w:type="dxa" w:w="62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18 元/公斤以上</w:t>
            </w:r>
          </w:p>
        </w:tc>
      </w:tr>
    </w:tbl>
    <w:p>
      <w:pPr>
        <w:spacing w:before="0" w:after="20" w:line="48" w:lineRule="auto"/>
      </w:pPr>
    </w:p>
    <w:p>
      <w:r>
        <w:rPr>
          <w:rFonts w:ascii="Calibri" w:hAnsi="Calibri" w:eastAsia="Source Han Sans SC"/>
          <w:sz w:val="22"/>
        </w:rPr>
        <w:t>18 元以上的猪价可以在供给明显短缺时出现，但不适合作为永久估值基础。</w:t>
      </w:r>
    </w:p>
    <w:p>
      <w:pPr>
        <w:pStyle w:val="Heading1"/>
        <w:pageBreakBefore/>
      </w:pPr>
      <w:bookmarkStart w:id="821145" w:name="sec_9"/>
      <w:r>
        <w:rPr>
          <w:rFonts w:ascii="Calibri" w:hAnsi="Calibri" w:eastAsia="Source Han Sans SC"/>
          <w:b/>
          <w:color w:val="2E74B5"/>
          <w:sz w:val="32"/>
        </w:rPr>
        <w:t>9 历史猪周期分析</w:t>
      </w:r>
      <w:bookmarkEnd w:id="821145"/>
    </w:p>
    <w:p>
      <w:pPr>
        <w:pStyle w:val="Heading2"/>
      </w:pPr>
      <w:r>
        <w:rPr>
          <w:rFonts w:ascii="Calibri" w:hAnsi="Calibri" w:eastAsia="Source Han Sans SC"/>
          <w:b/>
          <w:color w:val="2E74B5"/>
          <w:sz w:val="26"/>
        </w:rPr>
        <w:t>9.1 历史周期节点</w:t>
      </w:r>
    </w:p>
    <w:p>
      <w:r>
        <w:rPr>
          <w:rFonts w:ascii="Calibri" w:hAnsi="Calibri" w:eastAsia="Source Han Sans SC"/>
          <w:sz w:val="22"/>
        </w:rPr>
        <w:t xml:space="preserve">中国期货业协会网站所载行业资料对历史猪周期进行了整理 </w:t>
      </w:r>
      <w:r>
        <w:rPr>
          <w:rFonts w:ascii="Menlo" w:hAnsi="Menlo" w:eastAsia="Source Han Sans SC"/>
          <w:color w:val="1F4D78"/>
          <w:sz w:val="21"/>
        </w:rPr>
        <w:t>[S09]</w:t>
      </w:r>
      <w:r>
        <w:rPr>
          <w:rFonts w:ascii="Calibri" w:hAnsi="Calibri" w:eastAsia="Source Han Sans SC"/>
          <w:sz w:val="22"/>
        </w:rPr>
        <w:t>：</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202"/>
        <w:gridCol w:w="1468"/>
        <w:gridCol w:w="1468"/>
        <w:gridCol w:w="1652"/>
        <w:gridCol w:w="2570"/>
      </w:tblGrid>
      <w:tr>
        <w:trPr>
          <w:cantSplit/>
          <w:tblHeader w:val="true"/>
        </w:trPr>
        <w:tc>
          <w:tcPr>
            <w:tcW w:type="dxa" w:w="2202"/>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8"/>
              </w:rPr>
              <w:t>周期</w:t>
            </w:r>
          </w:p>
        </w:tc>
        <w:tc>
          <w:tcPr>
            <w:tcW w:type="dxa" w:w="1468"/>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8"/>
              </w:rPr>
              <w:t>价格低点</w:t>
            </w:r>
          </w:p>
        </w:tc>
        <w:tc>
          <w:tcPr>
            <w:tcW w:type="dxa" w:w="1468"/>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8"/>
              </w:rPr>
              <w:t>价格高点</w:t>
            </w:r>
          </w:p>
        </w:tc>
        <w:tc>
          <w:tcPr>
            <w:tcW w:type="dxa" w:w="1652"/>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8"/>
              </w:rPr>
              <w:t>后续低点</w:t>
            </w:r>
          </w:p>
        </w:tc>
        <w:tc>
          <w:tcPr>
            <w:tcW w:type="dxa" w:w="257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8"/>
              </w:rPr>
              <w:t>主要特征</w:t>
            </w:r>
          </w:p>
        </w:tc>
      </w:tr>
      <w:tr>
        <w:trPr>
          <w:cantSplit/>
        </w:trPr>
        <w:tc>
          <w:tcPr>
            <w:tcW w:type="dxa" w:w="220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2006—2009</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6.7 元</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17.4 元</w:t>
            </w:r>
          </w:p>
        </w:tc>
        <w:tc>
          <w:tcPr>
            <w:tcW w:type="dxa" w:w="165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8.9 元</w:t>
            </w:r>
          </w:p>
        </w:tc>
        <w:tc>
          <w:tcPr>
            <w:tcW w:type="dxa" w:w="257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蓝耳病等供给冲击</w:t>
            </w:r>
          </w:p>
        </w:tc>
      </w:tr>
      <w:tr>
        <w:trPr>
          <w:cantSplit/>
        </w:trPr>
        <w:tc>
          <w:tcPr>
            <w:tcW w:type="dxa" w:w="220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2009—2014</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9.5 元</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19.8 元</w:t>
            </w:r>
          </w:p>
        </w:tc>
        <w:tc>
          <w:tcPr>
            <w:tcW w:type="dxa" w:w="165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10.45 元</w:t>
            </w:r>
          </w:p>
        </w:tc>
        <w:tc>
          <w:tcPr>
            <w:tcW w:type="dxa" w:w="257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经典供需周期</w:t>
            </w:r>
          </w:p>
        </w:tc>
      </w:tr>
      <w:tr>
        <w:trPr>
          <w:cantSplit/>
        </w:trPr>
        <w:tc>
          <w:tcPr>
            <w:tcW w:type="dxa" w:w="220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2014—2018</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10.5 元</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21 元</w:t>
            </w:r>
          </w:p>
        </w:tc>
        <w:tc>
          <w:tcPr>
            <w:tcW w:type="dxa" w:w="165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10 元</w:t>
            </w:r>
          </w:p>
        </w:tc>
        <w:tc>
          <w:tcPr>
            <w:tcW w:type="dxa" w:w="257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环保约束与散户退出</w:t>
            </w:r>
          </w:p>
        </w:tc>
      </w:tr>
      <w:tr>
        <w:trPr>
          <w:cantSplit/>
        </w:trPr>
        <w:tc>
          <w:tcPr>
            <w:tcW w:type="dxa" w:w="220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2018—2022</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10 元</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40 元</w:t>
            </w:r>
          </w:p>
        </w:tc>
        <w:tc>
          <w:tcPr>
            <w:tcW w:type="dxa" w:w="165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10 元</w:t>
            </w:r>
          </w:p>
        </w:tc>
        <w:tc>
          <w:tcPr>
            <w:tcW w:type="dxa" w:w="257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非洲猪瘟造成极端供给收缩</w:t>
            </w:r>
          </w:p>
        </w:tc>
      </w:tr>
      <w:tr>
        <w:trPr>
          <w:cantSplit/>
        </w:trPr>
        <w:tc>
          <w:tcPr>
            <w:tcW w:type="dxa" w:w="2202"/>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2022—2023 阶段</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12.4 元</w:t>
            </w:r>
          </w:p>
        </w:tc>
        <w:tc>
          <w:tcPr>
            <w:tcW w:type="dxa" w:w="1468"/>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28.3 元</w:t>
            </w:r>
          </w:p>
        </w:tc>
        <w:tc>
          <w:tcPr>
            <w:tcW w:type="dxa" w:w="1652"/>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13.95 元</w:t>
            </w:r>
          </w:p>
        </w:tc>
        <w:tc>
          <w:tcPr>
            <w:tcW w:type="dxa" w:w="257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压栏和二育推动快速上涨后回落</w:t>
            </w:r>
          </w:p>
        </w:tc>
      </w:tr>
    </w:tbl>
    <w:p>
      <w:pPr>
        <w:spacing w:before="0" w:after="20" w:line="48" w:lineRule="auto"/>
      </w:pPr>
    </w:p>
    <w:p>
      <w:pPr>
        <w:pStyle w:val="Heading2"/>
      </w:pPr>
      <w:r>
        <w:rPr>
          <w:rFonts w:ascii="Calibri" w:hAnsi="Calibri" w:eastAsia="Source Han Sans SC"/>
          <w:b/>
          <w:color w:val="2E74B5"/>
          <w:sz w:val="26"/>
        </w:rPr>
        <w:t>9.2 历史经验</w:t>
      </w:r>
    </w:p>
    <w:p>
      <w:r>
        <w:rPr>
          <w:rFonts w:ascii="Calibri" w:hAnsi="Calibri" w:eastAsia="Source Han Sans SC"/>
          <w:sz w:val="22"/>
        </w:rPr>
        <w:t>第一，猪价可以在一段时间内低于行业完全成本。企业可能通过融资、消耗现金、延迟淘汰母猪和压缩资本开支继续经营，因此“行业亏损”并不等于“猪价立即反转”。</w:t>
      </w:r>
    </w:p>
    <w:p>
      <w:r>
        <w:rPr>
          <w:rFonts w:ascii="Calibri" w:hAnsi="Calibri" w:eastAsia="Source Han Sans SC"/>
          <w:sz w:val="22"/>
        </w:rPr>
        <w:t>第二，当产能退出造成真实供给缺口后，猪价可以显著高于完全成本。此时价格由短缺程度和需求刚性决定，而不只是成本加固定利润。</w:t>
      </w:r>
    </w:p>
    <w:p>
      <w:r>
        <w:rPr>
          <w:rFonts w:ascii="Calibri" w:hAnsi="Calibri" w:eastAsia="Source Han Sans SC"/>
          <w:sz w:val="22"/>
        </w:rPr>
        <w:t xml:space="preserve">第三，极端高猪价通常不可持续。2019—2020 年约 40 元/公斤的价格与非洲猪瘟导致的极端供给损失有关 </w:t>
      </w:r>
      <w:r>
        <w:rPr>
          <w:rFonts w:ascii="Menlo" w:hAnsi="Menlo" w:eastAsia="Source Han Sans SC"/>
          <w:color w:val="1F4D78"/>
          <w:sz w:val="21"/>
        </w:rPr>
        <w:t>[S09]</w:t>
      </w:r>
      <w:r>
        <w:rPr>
          <w:rFonts w:ascii="Calibri" w:hAnsi="Calibri" w:eastAsia="Source Han Sans SC"/>
          <w:sz w:val="22"/>
        </w:rPr>
        <w:t>，不应被直接资本化为长期利润。</w:t>
      </w:r>
    </w:p>
    <w:p>
      <w:r>
        <w:rPr>
          <w:rFonts w:ascii="Calibri" w:hAnsi="Calibri" w:eastAsia="Source Han Sans SC"/>
          <w:sz w:val="22"/>
        </w:rPr>
        <w:t>第四，行业结构正在变化。随着规模企业占比提高、生产效率提升和融资能力增强，未来猪周期可能表现为产能去化更慢、低价持续更久，但头部成本优势更加突出。</w:t>
      </w:r>
    </w:p>
    <w:p>
      <w:pPr>
        <w:pStyle w:val="Heading2"/>
      </w:pPr>
      <w:r>
        <w:rPr>
          <w:rFonts w:ascii="Calibri" w:hAnsi="Calibri" w:eastAsia="Source Han Sans SC"/>
          <w:b/>
          <w:color w:val="2E74B5"/>
          <w:sz w:val="26"/>
        </w:rPr>
        <w:t>9.3 历史图表建议</w:t>
      </w:r>
    </w:p>
    <w:p>
      <w:r>
        <w:rPr>
          <w:rFonts w:ascii="Calibri" w:hAnsi="Calibri" w:eastAsia="Source Han Sans SC"/>
          <w:sz w:val="22"/>
        </w:rPr>
        <w:t>为完整检验上述结论，正式展示时应绘制：</w:t>
      </w:r>
    </w:p>
    <w:p>
      <w:pPr>
        <w:numPr>
          <w:ilvl w:val="0"/>
          <w:numId w:val="11"/>
        </w:numPr>
        <w:spacing w:after="80" w:line="290" w:lineRule="auto"/>
      </w:pPr>
      <w:r>
        <w:rPr>
          <w:rFonts w:ascii="Calibri" w:hAnsi="Calibri" w:eastAsia="Source Han Sans SC"/>
          <w:sz w:val="22"/>
        </w:rPr>
        <w:t>2009—2026 年全国生猪月度价格折线图；</w:t>
      </w:r>
    </w:p>
    <w:p>
      <w:pPr>
        <w:numPr>
          <w:ilvl w:val="0"/>
          <w:numId w:val="11"/>
        </w:numPr>
        <w:spacing w:after="80" w:line="290" w:lineRule="auto"/>
      </w:pPr>
      <w:r>
        <w:rPr>
          <w:rFonts w:ascii="Calibri" w:hAnsi="Calibri" w:eastAsia="Source Han Sans SC"/>
          <w:sz w:val="22"/>
        </w:rPr>
        <w:t>2014—2026 年全国猪价、行业完全成本和牧原完全成本对比图；</w:t>
      </w:r>
    </w:p>
    <w:p>
      <w:pPr>
        <w:numPr>
          <w:ilvl w:val="0"/>
          <w:numId w:val="11"/>
        </w:numPr>
        <w:spacing w:after="80" w:line="290" w:lineRule="auto"/>
      </w:pPr>
      <w:r>
        <w:rPr>
          <w:rFonts w:ascii="Calibri" w:hAnsi="Calibri" w:eastAsia="Source Han Sans SC"/>
          <w:sz w:val="22"/>
        </w:rPr>
        <w:t>能繁母猪存栏同比变化与约 10 个月后猪价变化对比图；</w:t>
      </w:r>
    </w:p>
    <w:p>
      <w:pPr>
        <w:numPr>
          <w:ilvl w:val="0"/>
          <w:numId w:val="11"/>
        </w:numPr>
        <w:spacing w:after="80" w:line="290" w:lineRule="auto"/>
      </w:pPr>
      <w:r>
        <w:rPr>
          <w:rFonts w:ascii="Calibri" w:hAnsi="Calibri" w:eastAsia="Source Han Sans SC"/>
          <w:sz w:val="22"/>
        </w:rPr>
        <w:t>行业平均出栏体重、二次育肥与短期猪价变化图。</w:t>
      </w:r>
    </w:p>
    <w:p>
      <w:r>
        <w:rPr>
          <w:rFonts w:ascii="Calibri" w:hAnsi="Calibri" w:eastAsia="Source Han Sans SC"/>
          <w:sz w:val="22"/>
        </w:rPr>
        <w:t>图表数据应尽量从农业农村部、国家发改委、Wind 或同口径数据库导出，避免将活猪价格、外三元报价和上市公司销售均价直接拼接。</w:t>
      </w:r>
    </w:p>
    <w:p>
      <w:pPr>
        <w:pStyle w:val="Heading1"/>
        <w:pageBreakBefore/>
      </w:pPr>
      <w:bookmarkStart w:id="452057" w:name="sec_10"/>
      <w:r>
        <w:rPr>
          <w:rFonts w:ascii="Calibri" w:hAnsi="Calibri" w:eastAsia="Source Han Sans SC"/>
          <w:b/>
          <w:color w:val="2E74B5"/>
          <w:sz w:val="32"/>
        </w:rPr>
        <w:t>10 2027—2028 年猪价与利润展望</w:t>
      </w:r>
      <w:bookmarkEnd w:id="452057"/>
    </w:p>
    <w:p>
      <w:pPr>
        <w:pStyle w:val="Heading2"/>
      </w:pPr>
      <w:r>
        <w:rPr>
          <w:rFonts w:ascii="Calibri" w:hAnsi="Calibri" w:eastAsia="Source Han Sans SC"/>
          <w:b/>
          <w:color w:val="2E74B5"/>
          <w:sz w:val="26"/>
        </w:rPr>
        <w:t>10.1 当前供给条件</w:t>
      </w:r>
    </w:p>
    <w:p>
      <w:r>
        <w:rPr>
          <w:rFonts w:ascii="Calibri" w:hAnsi="Calibri" w:eastAsia="Source Han Sans SC"/>
          <w:sz w:val="22"/>
        </w:rPr>
        <w:t>截至 2026 年上半年，公开资料显示：</w:t>
      </w:r>
    </w:p>
    <w:p>
      <w:pPr>
        <w:numPr>
          <w:ilvl w:val="0"/>
          <w:numId w:val="10"/>
        </w:numPr>
        <w:spacing w:after="80" w:line="290" w:lineRule="auto"/>
      </w:pPr>
      <w:r>
        <w:rPr>
          <w:rFonts w:ascii="Calibri" w:hAnsi="Calibri" w:eastAsia="Source Han Sans SC"/>
          <w:sz w:val="22"/>
        </w:rPr>
        <w:t>全国能繁母猪存栏已连续下降；</w:t>
      </w:r>
    </w:p>
    <w:p>
      <w:pPr>
        <w:numPr>
          <w:ilvl w:val="0"/>
          <w:numId w:val="10"/>
        </w:numPr>
        <w:spacing w:after="80" w:line="290" w:lineRule="auto"/>
      </w:pPr>
      <w:r>
        <w:rPr>
          <w:rFonts w:ascii="Calibri" w:hAnsi="Calibri" w:eastAsia="Source Han Sans SC"/>
          <w:sz w:val="22"/>
        </w:rPr>
        <w:t xml:space="preserve">2026 年 3 月新生仔猪数量在 17 个月后首次同比下降 </w:t>
      </w:r>
      <w:r>
        <w:rPr>
          <w:rFonts w:ascii="Menlo" w:hAnsi="Menlo" w:eastAsia="Source Han Sans SC"/>
          <w:color w:val="1F4D78"/>
          <w:sz w:val="21"/>
        </w:rPr>
        <w:t>[S10]</w:t>
      </w:r>
      <w:r>
        <w:rPr>
          <w:rFonts w:ascii="Calibri" w:hAnsi="Calibri" w:eastAsia="Source Han Sans SC"/>
          <w:sz w:val="22"/>
        </w:rPr>
        <w:t>；</w:t>
      </w:r>
    </w:p>
    <w:p>
      <w:pPr>
        <w:numPr>
          <w:ilvl w:val="0"/>
          <w:numId w:val="10"/>
        </w:numPr>
        <w:spacing w:after="80" w:line="290" w:lineRule="auto"/>
      </w:pPr>
      <w:r>
        <w:rPr>
          <w:rFonts w:ascii="Calibri" w:hAnsi="Calibri" w:eastAsia="Source Han Sans SC"/>
          <w:sz w:val="22"/>
        </w:rPr>
        <w:t xml:space="preserve">2026 年 4 月末全国能繁母猪约 3898 万头，仍高于 3750 万头正常保有量 </w:t>
      </w:r>
      <w:r>
        <w:rPr>
          <w:rFonts w:ascii="Menlo" w:hAnsi="Menlo" w:eastAsia="Source Han Sans SC"/>
          <w:color w:val="1F4D78"/>
          <w:sz w:val="21"/>
        </w:rPr>
        <w:t>[S13]</w:t>
      </w:r>
      <w:r>
        <w:rPr>
          <w:rFonts w:ascii="Calibri" w:hAnsi="Calibri" w:eastAsia="Source Han Sans SC"/>
          <w:sz w:val="22"/>
        </w:rPr>
        <w:t>；</w:t>
      </w:r>
    </w:p>
    <w:p>
      <w:pPr>
        <w:numPr>
          <w:ilvl w:val="0"/>
          <w:numId w:val="10"/>
        </w:numPr>
        <w:spacing w:after="80" w:line="290" w:lineRule="auto"/>
      </w:pPr>
      <w:r>
        <w:rPr>
          <w:rFonts w:ascii="Calibri" w:hAnsi="Calibri" w:eastAsia="Source Han Sans SC"/>
          <w:sz w:val="22"/>
        </w:rPr>
        <w:t xml:space="preserve">牧原 2026 年上半年销售商品猪 3861.5 万头，6 月末能繁母猪 311.3 万头 </w:t>
      </w:r>
      <w:r>
        <w:rPr>
          <w:rFonts w:ascii="Menlo" w:hAnsi="Menlo" w:eastAsia="Source Han Sans SC"/>
          <w:color w:val="1F4D78"/>
          <w:sz w:val="21"/>
        </w:rPr>
        <w:t>[S08]</w:t>
      </w:r>
      <w:r>
        <w:rPr>
          <w:rFonts w:ascii="Calibri" w:hAnsi="Calibri" w:eastAsia="Source Han Sans SC"/>
          <w:sz w:val="22"/>
        </w:rPr>
        <w:t>；</w:t>
      </w:r>
    </w:p>
    <w:p>
      <w:pPr>
        <w:numPr>
          <w:ilvl w:val="0"/>
          <w:numId w:val="10"/>
        </w:numPr>
        <w:spacing w:after="80" w:line="290" w:lineRule="auto"/>
      </w:pPr>
      <w:r>
        <w:rPr>
          <w:rFonts w:ascii="Calibri" w:hAnsi="Calibri" w:eastAsia="Source Han Sans SC"/>
          <w:sz w:val="22"/>
        </w:rPr>
        <w:t xml:space="preserve">政策继续要求严控新增产能和淘汰低产母猪 </w:t>
      </w:r>
      <w:r>
        <w:rPr>
          <w:rFonts w:ascii="Menlo" w:hAnsi="Menlo" w:eastAsia="Source Han Sans SC"/>
          <w:color w:val="1F4D78"/>
          <w:sz w:val="21"/>
        </w:rPr>
        <w:t>[S06]</w:t>
      </w:r>
      <w:r>
        <w:rPr>
          <w:rFonts w:ascii="Calibri" w:hAnsi="Calibri" w:eastAsia="Source Han Sans SC"/>
          <w:sz w:val="22"/>
        </w:rPr>
        <w:t>。</w:t>
      </w:r>
    </w:p>
    <w:p>
      <w:r>
        <w:rPr>
          <w:rFonts w:ascii="Calibri" w:hAnsi="Calibri" w:eastAsia="Source Han Sans SC"/>
          <w:sz w:val="22"/>
        </w:rPr>
        <w:t xml:space="preserve">这些信号表明，未来供给压力正在边际缓解，但当前去化幅度仍不足以确认必然出现极端短缺。基准判断应是 2027 年行业恢复正常盈利，而不是直接假设重演非洲猪瘟周期 </w:t>
      </w:r>
      <w:r>
        <w:rPr>
          <w:rFonts w:ascii="Menlo" w:hAnsi="Menlo" w:eastAsia="Source Han Sans SC"/>
          <w:color w:val="1F4D78"/>
          <w:sz w:val="21"/>
        </w:rPr>
        <w:t>[J07]</w:t>
      </w:r>
      <w:r>
        <w:rPr>
          <w:rFonts w:ascii="Calibri" w:hAnsi="Calibri" w:eastAsia="Source Han Sans SC"/>
          <w:sz w:val="22"/>
        </w:rPr>
        <w:t>。</w:t>
      </w:r>
    </w:p>
    <w:p>
      <w:pPr>
        <w:pStyle w:val="Heading2"/>
      </w:pPr>
      <w:r>
        <w:rPr>
          <w:rFonts w:ascii="Calibri" w:hAnsi="Calibri" w:eastAsia="Source Han Sans SC"/>
          <w:b/>
          <w:color w:val="2E74B5"/>
          <w:sz w:val="26"/>
        </w:rPr>
        <w:t>10.2 2027 年利润情景</w:t>
      </w:r>
    </w:p>
    <w:p>
      <w:r>
        <w:rPr>
          <w:rFonts w:ascii="Calibri" w:hAnsi="Calibri" w:eastAsia="Source Han Sans SC"/>
          <w:sz w:val="22"/>
        </w:rPr>
        <w:t>采用以下基础假设：</w:t>
      </w:r>
    </w:p>
    <w:p>
      <w:pPr>
        <w:numPr>
          <w:ilvl w:val="0"/>
          <w:numId w:val="10"/>
        </w:numPr>
        <w:spacing w:after="80" w:line="290" w:lineRule="auto"/>
      </w:pPr>
      <w:r>
        <w:rPr>
          <w:rFonts w:ascii="Calibri" w:hAnsi="Calibri" w:eastAsia="Source Han Sans SC"/>
          <w:sz w:val="22"/>
        </w:rPr>
        <w:t xml:space="preserve">商品猪出栏量 8000 万头 </w:t>
      </w:r>
      <w:r>
        <w:rPr>
          <w:rFonts w:ascii="Menlo" w:hAnsi="Menlo" w:eastAsia="Source Han Sans SC"/>
          <w:color w:val="1F4D78"/>
          <w:sz w:val="21"/>
        </w:rPr>
        <w:t>[A03]</w:t>
      </w:r>
      <w:r>
        <w:rPr>
          <w:rFonts w:ascii="Calibri" w:hAnsi="Calibri" w:eastAsia="Source Han Sans SC"/>
          <w:sz w:val="22"/>
        </w:rPr>
        <w:t>；</w:t>
      </w:r>
    </w:p>
    <w:p>
      <w:pPr>
        <w:numPr>
          <w:ilvl w:val="0"/>
          <w:numId w:val="10"/>
        </w:numPr>
        <w:spacing w:after="80" w:line="290" w:lineRule="auto"/>
      </w:pPr>
      <w:r>
        <w:rPr>
          <w:rFonts w:ascii="Calibri" w:hAnsi="Calibri" w:eastAsia="Source Han Sans SC"/>
          <w:sz w:val="22"/>
        </w:rPr>
        <w:t xml:space="preserve">平均体重 125 公斤 </w:t>
      </w:r>
      <w:r>
        <w:rPr>
          <w:rFonts w:ascii="Menlo" w:hAnsi="Menlo" w:eastAsia="Source Han Sans SC"/>
          <w:color w:val="1F4D78"/>
          <w:sz w:val="21"/>
        </w:rPr>
        <w:t>[A04]</w:t>
      </w:r>
      <w:r>
        <w:rPr>
          <w:rFonts w:ascii="Calibri" w:hAnsi="Calibri" w:eastAsia="Source Han Sans SC"/>
          <w:sz w:val="22"/>
        </w:rPr>
        <w:t>；</w:t>
      </w:r>
    </w:p>
    <w:p>
      <w:pPr>
        <w:numPr>
          <w:ilvl w:val="0"/>
          <w:numId w:val="10"/>
        </w:numPr>
        <w:spacing w:after="80" w:line="290" w:lineRule="auto"/>
      </w:pPr>
      <w:r>
        <w:rPr>
          <w:rFonts w:ascii="Calibri" w:hAnsi="Calibri" w:eastAsia="Source Han Sans SC"/>
          <w:sz w:val="22"/>
        </w:rPr>
        <w:t xml:space="preserve">完全成本 11.5 元/公斤 </w:t>
      </w:r>
      <w:r>
        <w:rPr>
          <w:rFonts w:ascii="Menlo" w:hAnsi="Menlo" w:eastAsia="Source Han Sans SC"/>
          <w:color w:val="1F4D78"/>
          <w:sz w:val="21"/>
        </w:rPr>
        <w:t>[A05]</w:t>
      </w:r>
      <w:r>
        <w:rPr>
          <w:rFonts w:ascii="Calibri" w:hAnsi="Calibri" w:eastAsia="Source Han Sans SC"/>
          <w:sz w:val="22"/>
        </w:rPr>
        <w:t>；</w:t>
      </w:r>
    </w:p>
    <w:p>
      <w:pPr>
        <w:numPr>
          <w:ilvl w:val="0"/>
          <w:numId w:val="10"/>
        </w:numPr>
        <w:spacing w:after="80" w:line="290" w:lineRule="auto"/>
      </w:pPr>
      <w:r>
        <w:rPr>
          <w:rFonts w:ascii="Calibri" w:hAnsi="Calibri" w:eastAsia="Source Han Sans SC"/>
          <w:sz w:val="22"/>
        </w:rPr>
        <w:t xml:space="preserve">屠宰增量利润约 10 亿元 </w:t>
      </w:r>
      <w:r>
        <w:rPr>
          <w:rFonts w:ascii="Menlo" w:hAnsi="Menlo" w:eastAsia="Source Han Sans SC"/>
          <w:color w:val="1F4D78"/>
          <w:sz w:val="21"/>
        </w:rPr>
        <w:t>[D07]</w:t>
      </w:r>
      <w:r>
        <w:rPr>
          <w:rFonts w:ascii="Calibri" w:hAnsi="Calibri" w:eastAsia="Source Han Sans SC"/>
          <w:sz w:val="22"/>
        </w:rPr>
        <w:t>。</w:t>
      </w:r>
    </w:p>
    <w:p>
      <w:r>
        <w:rPr>
          <w:rFonts w:ascii="Calibri" w:hAnsi="Calibri" w:eastAsia="Source Han Sans SC"/>
          <w:sz w:val="22"/>
        </w:rPr>
        <w:t>利润公式为：</w:t>
      </w:r>
    </w:p>
    <w:p>
      <w:pPr>
        <w:keepLines/>
        <w:spacing w:before="100" w:after="140"/>
        <w:jc w:val="center"/>
        <w:shd w:fill="F7F9FB"/>
      </w:pPr>
      <w:r>
        <w:rPr>
          <w:rFonts w:ascii="Cambria Math" w:hAnsi="Cambria Math" w:eastAsia="Source Han Sans SC"/>
          <w:color w:val="203750"/>
          <w:sz w:val="23"/>
        </w:rPr>
        <w:t>Π = (P-11.5)×100亿公斤+10亿元</w:t>
      </w:r>
    </w:p>
    <w:p>
      <w:r>
        <w:rPr>
          <w:rFonts w:ascii="Calibri" w:hAnsi="Calibri" w:eastAsia="Source Han Sans SC"/>
          <w:sz w:val="22"/>
        </w:rPr>
        <w:t>得到：</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340"/>
        <w:gridCol w:w="3009"/>
        <w:gridCol w:w="4011"/>
      </w:tblGrid>
      <w:tr>
        <w:trPr>
          <w:cantSplit/>
          <w:tblHeader w:val="true"/>
        </w:trPr>
        <w:tc>
          <w:tcPr>
            <w:tcW w:type="dxa" w:w="2340"/>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情景</w:t>
            </w:r>
          </w:p>
        </w:tc>
        <w:tc>
          <w:tcPr>
            <w:tcW w:type="dxa" w:w="3009"/>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年均猪价</w:t>
            </w:r>
          </w:p>
        </w:tc>
        <w:tc>
          <w:tcPr>
            <w:tcW w:type="dxa" w:w="4011"/>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理论归母利润 </w:t>
            </w:r>
            <w:r>
              <w:rPr>
                <w:rFonts w:ascii="Menlo" w:hAnsi="Menlo" w:eastAsia="Source Han Sans SC"/>
                <w:b/>
                <w:color w:val="1F4D78"/>
                <w:sz w:val="18"/>
              </w:rPr>
              <w:t>[D11]</w:t>
            </w:r>
          </w:p>
        </w:tc>
      </w:tr>
      <w:tr>
        <w:trPr>
          <w:cantSplit/>
        </w:trPr>
        <w:tc>
          <w:tcPr>
            <w:tcW w:type="dxa" w:w="23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悲观</w:t>
            </w:r>
          </w:p>
        </w:tc>
        <w:tc>
          <w:tcPr>
            <w:tcW w:type="dxa" w:w="300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13.5 元/公斤</w:t>
            </w:r>
          </w:p>
        </w:tc>
        <w:tc>
          <w:tcPr>
            <w:tcW w:type="dxa" w:w="40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210 亿元</w:t>
            </w:r>
          </w:p>
        </w:tc>
      </w:tr>
      <w:tr>
        <w:trPr>
          <w:cantSplit/>
        </w:trPr>
        <w:tc>
          <w:tcPr>
            <w:tcW w:type="dxa" w:w="23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保守</w:t>
            </w:r>
          </w:p>
        </w:tc>
        <w:tc>
          <w:tcPr>
            <w:tcW w:type="dxa" w:w="300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14.0 元/公斤</w:t>
            </w:r>
          </w:p>
        </w:tc>
        <w:tc>
          <w:tcPr>
            <w:tcW w:type="dxa" w:w="40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260 亿元</w:t>
            </w:r>
          </w:p>
        </w:tc>
      </w:tr>
      <w:tr>
        <w:trPr>
          <w:cantSplit/>
        </w:trPr>
        <w:tc>
          <w:tcPr>
            <w:tcW w:type="dxa" w:w="23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中性</w:t>
            </w:r>
          </w:p>
        </w:tc>
        <w:tc>
          <w:tcPr>
            <w:tcW w:type="dxa" w:w="300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15.0 元/公斤</w:t>
            </w:r>
          </w:p>
        </w:tc>
        <w:tc>
          <w:tcPr>
            <w:tcW w:type="dxa" w:w="40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360 亿元</w:t>
            </w:r>
          </w:p>
        </w:tc>
      </w:tr>
      <w:tr>
        <w:trPr>
          <w:cantSplit/>
        </w:trPr>
        <w:tc>
          <w:tcPr>
            <w:tcW w:type="dxa" w:w="23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中性偏乐观</w:t>
            </w:r>
          </w:p>
        </w:tc>
        <w:tc>
          <w:tcPr>
            <w:tcW w:type="dxa" w:w="300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16.0 元/公斤</w:t>
            </w:r>
          </w:p>
        </w:tc>
        <w:tc>
          <w:tcPr>
            <w:tcW w:type="dxa" w:w="40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460 亿元</w:t>
            </w:r>
          </w:p>
        </w:tc>
      </w:tr>
      <w:tr>
        <w:trPr>
          <w:cantSplit/>
        </w:trPr>
        <w:tc>
          <w:tcPr>
            <w:tcW w:type="dxa" w:w="23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周期强势</w:t>
            </w:r>
          </w:p>
        </w:tc>
        <w:tc>
          <w:tcPr>
            <w:tcW w:type="dxa" w:w="300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17.0 元/公斤</w:t>
            </w:r>
          </w:p>
        </w:tc>
        <w:tc>
          <w:tcPr>
            <w:tcW w:type="dxa" w:w="40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560 亿元</w:t>
            </w:r>
          </w:p>
        </w:tc>
      </w:tr>
      <w:tr>
        <w:trPr>
          <w:cantSplit/>
        </w:trPr>
        <w:tc>
          <w:tcPr>
            <w:tcW w:type="dxa" w:w="234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高景气</w:t>
            </w:r>
          </w:p>
        </w:tc>
        <w:tc>
          <w:tcPr>
            <w:tcW w:type="dxa" w:w="300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18.0 元/公斤</w:t>
            </w:r>
          </w:p>
        </w:tc>
        <w:tc>
          <w:tcPr>
            <w:tcW w:type="dxa" w:w="40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660 亿元</w:t>
            </w:r>
          </w:p>
        </w:tc>
      </w:tr>
    </w:tbl>
    <w:p>
      <w:pPr>
        <w:spacing w:before="0" w:after="20" w:line="48" w:lineRule="auto"/>
      </w:pPr>
    </w:p>
    <w:p>
      <w:pPr>
        <w:pStyle w:val="Heading2"/>
      </w:pPr>
      <w:r>
        <w:rPr>
          <w:rFonts w:ascii="Calibri" w:hAnsi="Calibri" w:eastAsia="Source Han Sans SC"/>
          <w:b/>
          <w:color w:val="2E74B5"/>
          <w:sz w:val="26"/>
        </w:rPr>
        <w:t>10.3 2028 年两种路径</w:t>
      </w:r>
    </w:p>
    <w:p>
      <w:r>
        <w:rPr>
          <w:rFonts w:ascii="Calibri" w:hAnsi="Calibri" w:eastAsia="Source Han Sans SC"/>
          <w:sz w:val="22"/>
        </w:rPr>
        <w:t>2028 年猪价取决于 2027 年盈利恢复后是否重新刺激产能扩张。</w:t>
      </w:r>
    </w:p>
    <w:p>
      <w:pPr>
        <w:pStyle w:val="Heading3"/>
      </w:pPr>
      <w:r>
        <w:rPr>
          <w:rFonts w:ascii="Calibri" w:hAnsi="Calibri" w:eastAsia="Source Han Sans SC"/>
          <w:b/>
          <w:color w:val="1F4D78"/>
          <w:sz w:val="24"/>
        </w:rPr>
        <w:t>路径一：盈利恢复后快速扩产</w:t>
      </w:r>
    </w:p>
    <w:p>
      <w:r>
        <w:rPr>
          <w:rFonts w:ascii="Calibri" w:hAnsi="Calibri" w:eastAsia="Source Han Sans SC"/>
          <w:sz w:val="22"/>
        </w:rPr>
        <w:t>若能繁母猪、仔猪补栏和头部企业资本开支明显增长，2028 年商品猪供应可能恢复，猪价回落至 14—15.5 元/公斤。</w:t>
      </w:r>
    </w:p>
    <w:p>
      <w:pPr>
        <w:pStyle w:val="Heading3"/>
      </w:pPr>
      <w:r>
        <w:rPr>
          <w:rFonts w:ascii="Calibri" w:hAnsi="Calibri" w:eastAsia="Source Han Sans SC"/>
          <w:b/>
          <w:color w:val="1F4D78"/>
          <w:sz w:val="24"/>
        </w:rPr>
        <w:t>路径二：政策约束与行业纪律较强</w:t>
      </w:r>
    </w:p>
    <w:p>
      <w:r>
        <w:rPr>
          <w:rFonts w:ascii="Calibri" w:hAnsi="Calibri" w:eastAsia="Source Han Sans SC"/>
          <w:sz w:val="22"/>
        </w:rPr>
        <w:t>若正常母猪目标保持较低水平，企业控制资本开支，高成本产能退出后未被快速填补，则猪价可能在 14.5—16 元/公斤维持较长时间。</w:t>
      </w:r>
    </w:p>
    <w:p>
      <w:r>
        <w:rPr>
          <w:rFonts w:ascii="Calibri" w:hAnsi="Calibri" w:eastAsia="Source Han Sans SC"/>
          <w:sz w:val="22"/>
        </w:rPr>
        <w:t xml:space="preserve">因此，本文将 14.5—15.5 元作为跨周期估值中枢，将 16—18 元作为阶段性上行情景 </w:t>
      </w:r>
      <w:r>
        <w:rPr>
          <w:rFonts w:ascii="Menlo" w:hAnsi="Menlo" w:eastAsia="Source Han Sans SC"/>
          <w:color w:val="1F4D78"/>
          <w:sz w:val="21"/>
        </w:rPr>
        <w:t>[J08]</w:t>
      </w:r>
      <w:r>
        <w:rPr>
          <w:rFonts w:ascii="Calibri" w:hAnsi="Calibri" w:eastAsia="Source Han Sans SC"/>
          <w:sz w:val="22"/>
        </w:rPr>
        <w:t>。</w:t>
      </w:r>
    </w:p>
    <w:p>
      <w:pPr>
        <w:pStyle w:val="Heading1"/>
        <w:pageBreakBefore/>
      </w:pPr>
      <w:bookmarkStart w:id="870261" w:name="sec_11"/>
      <w:r>
        <w:rPr>
          <w:rFonts w:ascii="Calibri" w:hAnsi="Calibri" w:eastAsia="Source Han Sans SC"/>
          <w:b/>
          <w:color w:val="2E74B5"/>
          <w:sz w:val="32"/>
        </w:rPr>
        <w:t>11 可比企业与市盈率分析</w:t>
      </w:r>
      <w:bookmarkEnd w:id="870261"/>
    </w:p>
    <w:p>
      <w:pPr>
        <w:pStyle w:val="Heading2"/>
      </w:pPr>
      <w:r>
        <w:rPr>
          <w:rFonts w:ascii="Calibri" w:hAnsi="Calibri" w:eastAsia="Source Han Sans SC"/>
          <w:b/>
          <w:color w:val="2E74B5"/>
          <w:sz w:val="26"/>
        </w:rPr>
        <w:t>11.1 海外可比企业的局限</w:t>
      </w:r>
    </w:p>
    <w:p>
      <w:r>
        <w:rPr>
          <w:rFonts w:ascii="Calibri" w:hAnsi="Calibri" w:eastAsia="Source Han Sans SC"/>
          <w:sz w:val="22"/>
        </w:rPr>
        <w:t>海外市场缺少与牧原完全同构的纯生猪养殖上市公司。Smithfield 同时经营生猪养殖、屠宰、鲜肉和包装肉；Seaboard 同时经营粮食、航运和能源；Tyson 与 JBS 覆盖牛肉、鸡肉、猪肉和品牌食品。养牛企业也往往同时涉及屠宰和肉类加工。</w:t>
      </w:r>
    </w:p>
    <w:p>
      <w:r>
        <w:rPr>
          <w:rFonts w:ascii="Calibri" w:hAnsi="Calibri" w:eastAsia="Source Han Sans SC"/>
          <w:sz w:val="22"/>
        </w:rPr>
        <w:t>因此，海外企业只能用于提供估值区间和周期规律，不能机械套用其市盈率。</w:t>
      </w:r>
    </w:p>
    <w:p>
      <w:pPr>
        <w:pStyle w:val="Heading2"/>
      </w:pPr>
      <w:r>
        <w:rPr>
          <w:rFonts w:ascii="Calibri" w:hAnsi="Calibri" w:eastAsia="Source Han Sans SC"/>
          <w:b/>
          <w:color w:val="2E74B5"/>
          <w:sz w:val="26"/>
        </w:rPr>
        <w:t>11.2 海外估值观察</w:t>
      </w:r>
    </w:p>
    <w:p>
      <w:r>
        <w:rPr>
          <w:rFonts w:ascii="Calibri" w:hAnsi="Calibri" w:eastAsia="Source Han Sans SC"/>
          <w:sz w:val="22"/>
        </w:rPr>
        <w:t xml:space="preserve">截至 2026 年 7 月 17 日附近行情截面 </w:t>
      </w:r>
      <w:r>
        <w:rPr>
          <w:rFonts w:ascii="Menlo" w:hAnsi="Menlo" w:eastAsia="Source Han Sans SC"/>
          <w:color w:val="1F4D78"/>
          <w:sz w:val="21"/>
        </w:rPr>
        <w:t>[S14][S15][S16]</w:t>
      </w:r>
      <w:r>
        <w:rPr>
          <w:rFonts w:ascii="Calibri" w:hAnsi="Calibri" w:eastAsia="Source Han Sans SC"/>
          <w:sz w:val="22"/>
        </w:rPr>
        <w:t>：</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377"/>
        <w:gridCol w:w="2080"/>
        <w:gridCol w:w="2377"/>
        <w:gridCol w:w="2526"/>
      </w:tblGrid>
      <w:tr>
        <w:trPr>
          <w:cantSplit/>
          <w:tblHeader w:val="true"/>
        </w:trPr>
        <w:tc>
          <w:tcPr>
            <w:tcW w:type="dxa" w:w="2377"/>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8"/>
              </w:rPr>
              <w:t>公司</w:t>
            </w:r>
          </w:p>
        </w:tc>
        <w:tc>
          <w:tcPr>
            <w:tcW w:type="dxa" w:w="208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8"/>
              </w:rPr>
              <w:t>主要业务</w:t>
            </w:r>
          </w:p>
        </w:tc>
        <w:tc>
          <w:tcPr>
            <w:tcW w:type="dxa" w:w="2377"/>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8"/>
              </w:rPr>
              <w:t>观察 PE</w:t>
            </w:r>
          </w:p>
        </w:tc>
        <w:tc>
          <w:tcPr>
            <w:tcW w:type="dxa" w:w="2526"/>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8"/>
              </w:rPr>
              <w:t>评价</w:t>
            </w:r>
          </w:p>
        </w:tc>
      </w:tr>
      <w:tr>
        <w:trPr>
          <w:cantSplit/>
        </w:trPr>
        <w:tc>
          <w:tcPr>
            <w:tcW w:type="dxa" w:w="23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Smithfield Foods</w:t>
            </w:r>
          </w:p>
        </w:tc>
        <w:tc>
          <w:tcPr>
            <w:tcW w:type="dxa" w:w="208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生猪养殖、屠宰、鲜肉、包装肉</w:t>
            </w:r>
          </w:p>
        </w:tc>
        <w:tc>
          <w:tcPr>
            <w:tcW w:type="dxa" w:w="2377"/>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10 倍</w:t>
            </w:r>
          </w:p>
        </w:tc>
        <w:tc>
          <w:tcPr>
            <w:tcW w:type="dxa" w:w="2526"/>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与牧原最接近，但食品业务更稳定</w:t>
            </w:r>
          </w:p>
        </w:tc>
      </w:tr>
      <w:tr>
        <w:trPr>
          <w:cantSplit/>
        </w:trPr>
        <w:tc>
          <w:tcPr>
            <w:tcW w:type="dxa" w:w="23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Seaboard</w:t>
            </w:r>
          </w:p>
        </w:tc>
        <w:tc>
          <w:tcPr>
            <w:tcW w:type="dxa" w:w="208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猪肉、粮食、航运、能源</w:t>
            </w:r>
          </w:p>
        </w:tc>
        <w:tc>
          <w:tcPr>
            <w:tcW w:type="dxa" w:w="2377"/>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8"/>
              </w:rPr>
              <w:t>约 7.6 倍</w:t>
            </w:r>
          </w:p>
        </w:tc>
        <w:tc>
          <w:tcPr>
            <w:tcW w:type="dxa" w:w="2526"/>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多元化且流动性较低</w:t>
            </w:r>
          </w:p>
        </w:tc>
      </w:tr>
      <w:tr>
        <w:trPr>
          <w:cantSplit/>
        </w:trPr>
        <w:tc>
          <w:tcPr>
            <w:tcW w:type="dxa" w:w="23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Tyson Foods</w:t>
            </w:r>
          </w:p>
        </w:tc>
        <w:tc>
          <w:tcPr>
            <w:tcW w:type="dxa" w:w="208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牛肉、鸡肉、猪肉、品牌食品</w:t>
            </w:r>
          </w:p>
        </w:tc>
        <w:tc>
          <w:tcPr>
            <w:tcW w:type="dxa" w:w="23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GAAP PE 约 45.5 倍</w:t>
            </w:r>
          </w:p>
        </w:tc>
        <w:tc>
          <w:tcPr>
            <w:tcW w:type="dxa" w:w="2526"/>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当期利润异常低导致静态 PE 失真</w:t>
            </w:r>
          </w:p>
        </w:tc>
      </w:tr>
      <w:tr>
        <w:trPr>
          <w:cantSplit/>
        </w:trPr>
        <w:tc>
          <w:tcPr>
            <w:tcW w:type="dxa" w:w="23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JBS</w:t>
            </w:r>
          </w:p>
        </w:tc>
        <w:tc>
          <w:tcPr>
            <w:tcW w:type="dxa" w:w="2080"/>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全球综合肉类加工</w:t>
            </w:r>
          </w:p>
        </w:tc>
        <w:tc>
          <w:tcPr>
            <w:tcW w:type="dxa" w:w="2377"/>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不作为核心 PE 锚</w:t>
            </w:r>
          </w:p>
        </w:tc>
        <w:tc>
          <w:tcPr>
            <w:tcW w:type="dxa" w:w="2526"/>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8"/>
              </w:rPr>
              <w:t>业务和会计口径差异较大</w:t>
            </w:r>
          </w:p>
        </w:tc>
      </w:tr>
    </w:tbl>
    <w:p>
      <w:pPr>
        <w:spacing w:before="0" w:after="20" w:line="48" w:lineRule="auto"/>
      </w:pPr>
    </w:p>
    <w:p>
      <w:r>
        <w:rPr>
          <w:rFonts w:ascii="Calibri" w:hAnsi="Calibri" w:eastAsia="Source Han Sans SC"/>
          <w:sz w:val="22"/>
        </w:rPr>
        <w:t xml:space="preserve">Smithfield 2025 财年包装肉业务贡献了主要经营利润 </w:t>
      </w:r>
      <w:r>
        <w:rPr>
          <w:rFonts w:ascii="Menlo" w:hAnsi="Menlo" w:eastAsia="Source Han Sans SC"/>
          <w:color w:val="1F4D78"/>
          <w:sz w:val="21"/>
        </w:rPr>
        <w:t>[S17]</w:t>
      </w:r>
      <w:r>
        <w:rPr>
          <w:rFonts w:ascii="Calibri" w:hAnsi="Calibri" w:eastAsia="Source Han Sans SC"/>
          <w:sz w:val="22"/>
        </w:rPr>
        <w:t xml:space="preserve">，说明食品加工和品牌业务能够降低利润波动并获得较高估值稳定性。综合海外样本，本文认为相近企业的有效估值区间大致为 8—14 倍；当周期利润处于高位时应靠近区间下沿，稳定食品利润占比较高时可以靠近上沿 </w:t>
      </w:r>
      <w:r>
        <w:rPr>
          <w:rFonts w:ascii="Menlo" w:hAnsi="Menlo" w:eastAsia="Source Han Sans SC"/>
          <w:color w:val="1F4D78"/>
          <w:sz w:val="21"/>
        </w:rPr>
        <w:t>[J09]</w:t>
      </w:r>
      <w:r>
        <w:rPr>
          <w:rFonts w:ascii="Calibri" w:hAnsi="Calibri" w:eastAsia="Source Han Sans SC"/>
          <w:sz w:val="22"/>
        </w:rPr>
        <w:t>。</w:t>
      </w:r>
    </w:p>
    <w:p>
      <w:pPr>
        <w:pStyle w:val="Heading2"/>
      </w:pPr>
      <w:r>
        <w:rPr>
          <w:rFonts w:ascii="Calibri" w:hAnsi="Calibri" w:eastAsia="Source Han Sans SC"/>
          <w:b/>
          <w:color w:val="2E74B5"/>
          <w:sz w:val="26"/>
        </w:rPr>
        <w:t>11.3 温氏股份历史估值的启示</w:t>
      </w:r>
    </w:p>
    <w:p>
      <w:r>
        <w:rPr>
          <w:rFonts w:ascii="Calibri" w:hAnsi="Calibri" w:eastAsia="Source Han Sans SC"/>
          <w:sz w:val="22"/>
        </w:rPr>
        <w:t>猪周期企业的市盈率必须区分静态 PE、TTM PE 和前瞻 PE。周期上行初期，上一年度利润较低，静态 PE 看起来很高；利润高点进入报表后，TTM PE 会迅速下降。因此，不能直接比较不同时间和不同口径的 PE。</w:t>
      </w:r>
    </w:p>
    <w:p>
      <w:r>
        <w:rPr>
          <w:rFonts w:ascii="Calibri" w:hAnsi="Calibri" w:eastAsia="Source Han Sans SC"/>
          <w:sz w:val="22"/>
        </w:rPr>
        <w:t>历史券商报告显示：</w:t>
      </w:r>
    </w:p>
    <w:p>
      <w:pPr>
        <w:numPr>
          <w:ilvl w:val="0"/>
          <w:numId w:val="10"/>
        </w:numPr>
        <w:spacing w:after="80" w:line="290" w:lineRule="auto"/>
      </w:pPr>
      <w:r>
        <w:rPr>
          <w:rFonts w:ascii="Calibri" w:hAnsi="Calibri" w:eastAsia="Source Han Sans SC"/>
          <w:sz w:val="22"/>
        </w:rPr>
        <w:t xml:space="preserve">2019 年市场曾按温氏 2020 年预期利润给予约 13 倍 PE </w:t>
      </w:r>
      <w:r>
        <w:rPr>
          <w:rFonts w:ascii="Menlo" w:hAnsi="Menlo" w:eastAsia="Source Han Sans SC"/>
          <w:color w:val="1F4D78"/>
          <w:sz w:val="21"/>
        </w:rPr>
        <w:t>[S18]</w:t>
      </w:r>
      <w:r>
        <w:rPr>
          <w:rFonts w:ascii="Calibri" w:hAnsi="Calibri" w:eastAsia="Source Han Sans SC"/>
          <w:sz w:val="22"/>
        </w:rPr>
        <w:t>；</w:t>
      </w:r>
    </w:p>
    <w:p>
      <w:pPr>
        <w:numPr>
          <w:ilvl w:val="0"/>
          <w:numId w:val="10"/>
        </w:numPr>
        <w:spacing w:after="80" w:line="290" w:lineRule="auto"/>
      </w:pPr>
      <w:r>
        <w:rPr>
          <w:rFonts w:ascii="Calibri" w:hAnsi="Calibri" w:eastAsia="Source Han Sans SC"/>
          <w:sz w:val="22"/>
        </w:rPr>
        <w:t xml:space="preserve">2024 年券商对温氏 2025 年较高利润预测对应的估值约为 8 倍 PE </w:t>
      </w:r>
      <w:r>
        <w:rPr>
          <w:rFonts w:ascii="Menlo" w:hAnsi="Menlo" w:eastAsia="Source Han Sans SC"/>
          <w:color w:val="1F4D78"/>
          <w:sz w:val="21"/>
        </w:rPr>
        <w:t>[S19]</w:t>
      </w:r>
      <w:r>
        <w:rPr>
          <w:rFonts w:ascii="Calibri" w:hAnsi="Calibri" w:eastAsia="Source Han Sans SC"/>
          <w:sz w:val="22"/>
        </w:rPr>
        <w:t>。</w:t>
      </w:r>
    </w:p>
    <w:p>
      <w:r>
        <w:rPr>
          <w:rFonts w:ascii="Calibri" w:hAnsi="Calibri" w:eastAsia="Source Han Sans SC"/>
          <w:sz w:val="22"/>
        </w:rPr>
        <w:t>这反映出周期企业通常遵循“低利润高 PE、高利润低 PE”的规律。市场在周期启动时交易未来利润，在利润高点落地后反而担忧下一轮下行。</w:t>
      </w:r>
    </w:p>
    <w:p>
      <w:pPr>
        <w:pStyle w:val="Heading2"/>
      </w:pPr>
      <w:r>
        <w:rPr>
          <w:rFonts w:ascii="Calibri" w:hAnsi="Calibri" w:eastAsia="Source Han Sans SC"/>
          <w:b/>
          <w:color w:val="2E74B5"/>
          <w:sz w:val="26"/>
        </w:rPr>
        <w:t>11.4 牧原合理 PE 框架</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4529"/>
        <w:gridCol w:w="4831"/>
      </w:tblGrid>
      <w:tr>
        <w:trPr>
          <w:cantSplit/>
          <w:tblHeader w:val="true"/>
        </w:trPr>
        <w:tc>
          <w:tcPr>
            <w:tcW w:type="dxa" w:w="4529"/>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利润状态</w:t>
            </w:r>
          </w:p>
        </w:tc>
        <w:tc>
          <w:tcPr>
            <w:tcW w:type="dxa" w:w="4831"/>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合理 PE</w:t>
            </w:r>
          </w:p>
        </w:tc>
      </w:tr>
      <w:tr>
        <w:trPr>
          <w:cantSplit/>
        </w:trPr>
        <w:tc>
          <w:tcPr>
            <w:tcW w:type="dxa" w:w="4529"/>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周期上行初期，利润尚未进入报表</w:t>
            </w:r>
          </w:p>
        </w:tc>
        <w:tc>
          <w:tcPr>
            <w:tcW w:type="dxa" w:w="483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前瞻 PE 约 10—15 倍</w:t>
            </w:r>
          </w:p>
        </w:tc>
      </w:tr>
      <w:tr>
        <w:trPr>
          <w:cantSplit/>
        </w:trPr>
        <w:tc>
          <w:tcPr>
            <w:tcW w:type="dxa" w:w="4529"/>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正常化且可持续利润</w:t>
            </w:r>
          </w:p>
        </w:tc>
        <w:tc>
          <w:tcPr>
            <w:tcW w:type="dxa" w:w="483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10—12 倍</w:t>
            </w:r>
          </w:p>
        </w:tc>
      </w:tr>
      <w:tr>
        <w:trPr>
          <w:cantSplit/>
        </w:trPr>
        <w:tc>
          <w:tcPr>
            <w:tcW w:type="dxa" w:w="4529"/>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猪价偏高、利润持续性下降</w:t>
            </w:r>
          </w:p>
        </w:tc>
        <w:tc>
          <w:tcPr>
            <w:tcW w:type="dxa" w:w="483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9—11 倍</w:t>
            </w:r>
          </w:p>
        </w:tc>
      </w:tr>
      <w:tr>
        <w:trPr>
          <w:cantSplit/>
        </w:trPr>
        <w:tc>
          <w:tcPr>
            <w:tcW w:type="dxa" w:w="4529"/>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周期顶部利润已经落地</w:t>
            </w:r>
          </w:p>
        </w:tc>
        <w:tc>
          <w:tcPr>
            <w:tcW w:type="dxa" w:w="483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7—9 倍</w:t>
            </w:r>
          </w:p>
        </w:tc>
      </w:tr>
      <w:tr>
        <w:trPr>
          <w:cantSplit/>
        </w:trPr>
        <w:tc>
          <w:tcPr>
            <w:tcW w:type="dxa" w:w="4529"/>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食品化程度和利润稳定性显著提升</w:t>
            </w:r>
          </w:p>
        </w:tc>
        <w:tc>
          <w:tcPr>
            <w:tcW w:type="dxa" w:w="483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跨周期利润可讨论 12—15 倍</w:t>
            </w:r>
          </w:p>
        </w:tc>
      </w:tr>
    </w:tbl>
    <w:p>
      <w:pPr>
        <w:spacing w:before="0" w:after="20" w:line="48" w:lineRule="auto"/>
      </w:pPr>
    </w:p>
    <w:p>
      <w:r>
        <w:rPr>
          <w:rFonts w:ascii="Calibri" w:hAnsi="Calibri" w:eastAsia="Source Han Sans SC"/>
          <w:sz w:val="22"/>
        </w:rPr>
        <w:t>估值中最重要的原则是：</w:t>
      </w:r>
    </w:p>
    <w:p>
      <w:pPr>
        <w:spacing w:before="100" w:after="160" w:line="300" w:lineRule="auto"/>
        <w:ind w:left="173" w:right="115"/>
        <w:pBdr>
          <w:left w:val="single" w:sz="16" w:space="8" w:color="2E74B5"/>
        </w:pBdr>
        <w:shd w:fill="F4F6F9"/>
      </w:pPr>
      <w:r>
        <w:rPr>
          <w:rFonts w:ascii="Calibri" w:hAnsi="Calibri" w:eastAsia="Source Han Sans SC"/>
          <w:color w:val="203750"/>
          <w:sz w:val="21"/>
        </w:rPr>
        <w:t>猪价假设越高，利润越接近周期顶部，使用的 PE 应越低。</w:t>
      </w:r>
    </w:p>
    <w:p>
      <w:r>
        <w:rPr>
          <w:rFonts w:ascii="Calibri" w:hAnsi="Calibri" w:eastAsia="Source Han Sans SC"/>
          <w:sz w:val="22"/>
        </w:rPr>
        <w:t>若同时采用 18 元高猪价、660 亿元峰值利润和 12—15 倍高 PE，会形成多重乐观叠加，明显高估稳定内在价值。</w:t>
      </w:r>
    </w:p>
    <w:p>
      <w:pPr>
        <w:pStyle w:val="Heading1"/>
        <w:pageBreakBefore/>
      </w:pPr>
      <w:bookmarkStart w:id="845872" w:name="sec_12"/>
      <w:r>
        <w:rPr>
          <w:rFonts w:ascii="Calibri" w:hAnsi="Calibri" w:eastAsia="Source Han Sans SC"/>
          <w:b/>
          <w:color w:val="2E74B5"/>
          <w:sz w:val="32"/>
        </w:rPr>
        <w:t>12 牧原股份情景估值</w:t>
      </w:r>
      <w:bookmarkEnd w:id="845872"/>
    </w:p>
    <w:p>
      <w:pPr>
        <w:pStyle w:val="Heading2"/>
      </w:pPr>
      <w:r>
        <w:rPr>
          <w:rFonts w:ascii="Calibri" w:hAnsi="Calibri" w:eastAsia="Source Han Sans SC"/>
          <w:b/>
          <w:color w:val="2E74B5"/>
          <w:sz w:val="26"/>
        </w:rPr>
        <w:t>12.1 基础参数</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4095"/>
        <w:gridCol w:w="5265"/>
      </w:tblGrid>
      <w:tr>
        <w:trPr>
          <w:cantSplit/>
          <w:tblHeader w:val="true"/>
        </w:trPr>
        <w:tc>
          <w:tcPr>
            <w:tcW w:type="dxa" w:w="4095"/>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参数</w:t>
            </w:r>
          </w:p>
        </w:tc>
        <w:tc>
          <w:tcPr>
            <w:tcW w:type="dxa" w:w="5265"/>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数值</w:t>
            </w:r>
          </w:p>
        </w:tc>
      </w:tr>
      <w:tr>
        <w:trPr>
          <w:cantSplit/>
        </w:trPr>
        <w:tc>
          <w:tcPr>
            <w:tcW w:type="dxa" w:w="409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商品猪出栏量</w:t>
            </w:r>
          </w:p>
        </w:tc>
        <w:tc>
          <w:tcPr>
            <w:tcW w:type="dxa" w:w="5265"/>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8000 万头</w:t>
            </w:r>
          </w:p>
        </w:tc>
      </w:tr>
      <w:tr>
        <w:trPr>
          <w:cantSplit/>
        </w:trPr>
        <w:tc>
          <w:tcPr>
            <w:tcW w:type="dxa" w:w="409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平均体重</w:t>
            </w:r>
          </w:p>
        </w:tc>
        <w:tc>
          <w:tcPr>
            <w:tcW w:type="dxa" w:w="5265"/>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125 公斤</w:t>
            </w:r>
          </w:p>
        </w:tc>
      </w:tr>
      <w:tr>
        <w:trPr>
          <w:cantSplit/>
        </w:trPr>
        <w:tc>
          <w:tcPr>
            <w:tcW w:type="dxa" w:w="409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全年销售重量</w:t>
            </w:r>
          </w:p>
        </w:tc>
        <w:tc>
          <w:tcPr>
            <w:tcW w:type="dxa" w:w="5265"/>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100 亿公斤</w:t>
            </w:r>
          </w:p>
        </w:tc>
      </w:tr>
      <w:tr>
        <w:trPr>
          <w:cantSplit/>
        </w:trPr>
        <w:tc>
          <w:tcPr>
            <w:tcW w:type="dxa" w:w="409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完全成本</w:t>
            </w:r>
          </w:p>
        </w:tc>
        <w:tc>
          <w:tcPr>
            <w:tcW w:type="dxa" w:w="5265"/>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11.5 元/公斤</w:t>
            </w:r>
          </w:p>
        </w:tc>
      </w:tr>
      <w:tr>
        <w:trPr>
          <w:cantSplit/>
        </w:trPr>
        <w:tc>
          <w:tcPr>
            <w:tcW w:type="dxa" w:w="409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屠宰增量利润</w:t>
            </w:r>
          </w:p>
        </w:tc>
        <w:tc>
          <w:tcPr>
            <w:tcW w:type="dxa" w:w="5265"/>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10 亿元</w:t>
            </w:r>
          </w:p>
        </w:tc>
      </w:tr>
      <w:tr>
        <w:trPr>
          <w:cantSplit/>
        </w:trPr>
        <w:tc>
          <w:tcPr>
            <w:tcW w:type="dxa" w:w="409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总股本</w:t>
            </w:r>
          </w:p>
        </w:tc>
        <w:tc>
          <w:tcPr>
            <w:tcW w:type="dxa" w:w="5265"/>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57.73 亿股</w:t>
            </w:r>
          </w:p>
        </w:tc>
      </w:tr>
    </w:tbl>
    <w:p>
      <w:pPr>
        <w:spacing w:before="0" w:after="20" w:line="48" w:lineRule="auto"/>
      </w:pPr>
    </w:p>
    <w:p>
      <w:pPr>
        <w:pStyle w:val="Heading2"/>
      </w:pPr>
      <w:r>
        <w:rPr>
          <w:rFonts w:ascii="Calibri" w:hAnsi="Calibri" w:eastAsia="Source Han Sans SC"/>
          <w:b/>
          <w:color w:val="2E74B5"/>
          <w:sz w:val="26"/>
        </w:rPr>
        <w:t>12.2 保守情景</w:t>
      </w:r>
    </w:p>
    <w:p>
      <w:r>
        <w:rPr>
          <w:rFonts w:ascii="Calibri" w:hAnsi="Calibri" w:eastAsia="Source Han Sans SC"/>
          <w:sz w:val="22"/>
        </w:rPr>
        <w:t>年均猪价为 14 元/公斤时：</w:t>
      </w:r>
    </w:p>
    <w:p>
      <w:pPr>
        <w:keepLines/>
        <w:spacing w:before="100" w:after="140"/>
        <w:jc w:val="center"/>
        <w:shd w:fill="F7F9FB"/>
      </w:pPr>
      <w:r>
        <w:rPr>
          <w:rFonts w:ascii="Cambria Math" w:hAnsi="Cambria Math" w:eastAsia="Source Han Sans SC"/>
          <w:color w:val="203750"/>
          <w:sz w:val="23"/>
        </w:rPr>
        <w:t>归母净利润≈260亿元</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730"/>
        <w:gridCol w:w="2730"/>
        <w:gridCol w:w="3900"/>
      </w:tblGrid>
      <w:tr>
        <w:trPr>
          <w:cantSplit/>
          <w:tblHeader w:val="true"/>
        </w:trPr>
        <w:tc>
          <w:tcPr>
            <w:tcW w:type="dxa" w:w="2730"/>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PE</w:t>
            </w:r>
          </w:p>
        </w:tc>
        <w:tc>
          <w:tcPr>
            <w:tcW w:type="dxa" w:w="273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市值</w:t>
            </w:r>
          </w:p>
        </w:tc>
        <w:tc>
          <w:tcPr>
            <w:tcW w:type="dxa" w:w="390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每股价值 </w:t>
            </w:r>
            <w:r>
              <w:rPr>
                <w:rFonts w:ascii="Menlo" w:hAnsi="Menlo" w:eastAsia="Source Han Sans SC"/>
                <w:b/>
                <w:color w:val="1F4D78"/>
                <w:sz w:val="18"/>
              </w:rPr>
              <w:t>[D12]</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10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2600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45.0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11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2860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49.5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12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3120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54.0 元</w:t>
            </w:r>
          </w:p>
        </w:tc>
      </w:tr>
    </w:tbl>
    <w:p>
      <w:pPr>
        <w:spacing w:before="0" w:after="20" w:line="48" w:lineRule="auto"/>
      </w:pPr>
    </w:p>
    <w:p>
      <w:pPr>
        <w:pStyle w:val="Heading2"/>
      </w:pPr>
      <w:r>
        <w:rPr>
          <w:rFonts w:ascii="Calibri" w:hAnsi="Calibri" w:eastAsia="Source Han Sans SC"/>
          <w:b/>
          <w:color w:val="2E74B5"/>
          <w:sz w:val="26"/>
        </w:rPr>
        <w:t>12.3 中性情景</w:t>
      </w:r>
    </w:p>
    <w:p>
      <w:r>
        <w:rPr>
          <w:rFonts w:ascii="Calibri" w:hAnsi="Calibri" w:eastAsia="Source Han Sans SC"/>
          <w:sz w:val="22"/>
        </w:rPr>
        <w:t>年均猪价为 15 元/公斤时：</w:t>
      </w:r>
    </w:p>
    <w:p>
      <w:pPr>
        <w:keepLines/>
        <w:spacing w:before="100" w:after="140"/>
        <w:jc w:val="center"/>
        <w:shd w:fill="F7F9FB"/>
      </w:pPr>
      <w:r>
        <w:rPr>
          <w:rFonts w:ascii="Cambria Math" w:hAnsi="Cambria Math" w:eastAsia="Source Han Sans SC"/>
          <w:color w:val="203750"/>
          <w:sz w:val="23"/>
        </w:rPr>
        <w:t>归母净利润≈360亿元</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730"/>
        <w:gridCol w:w="2730"/>
        <w:gridCol w:w="3900"/>
      </w:tblGrid>
      <w:tr>
        <w:trPr>
          <w:cantSplit/>
          <w:tblHeader w:val="true"/>
        </w:trPr>
        <w:tc>
          <w:tcPr>
            <w:tcW w:type="dxa" w:w="2730"/>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PE</w:t>
            </w:r>
          </w:p>
        </w:tc>
        <w:tc>
          <w:tcPr>
            <w:tcW w:type="dxa" w:w="273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市值</w:t>
            </w:r>
          </w:p>
        </w:tc>
        <w:tc>
          <w:tcPr>
            <w:tcW w:type="dxa" w:w="390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每股价值 </w:t>
            </w:r>
            <w:r>
              <w:rPr>
                <w:rFonts w:ascii="Menlo" w:hAnsi="Menlo" w:eastAsia="Source Han Sans SC"/>
                <w:b/>
                <w:color w:val="1F4D78"/>
                <w:sz w:val="18"/>
              </w:rPr>
              <w:t>[D13]</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10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3600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62.4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11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3960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68.6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12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4320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74.8 元</w:t>
            </w:r>
          </w:p>
        </w:tc>
      </w:tr>
    </w:tbl>
    <w:p>
      <w:pPr>
        <w:spacing w:before="0" w:after="20" w:line="48" w:lineRule="auto"/>
      </w:pPr>
    </w:p>
    <w:p>
      <w:pPr>
        <w:pStyle w:val="Heading2"/>
      </w:pPr>
      <w:r>
        <w:rPr>
          <w:rFonts w:ascii="Calibri" w:hAnsi="Calibri" w:eastAsia="Source Han Sans SC"/>
          <w:b/>
          <w:color w:val="2E74B5"/>
          <w:sz w:val="26"/>
        </w:rPr>
        <w:t>12.4 中性偏乐观情景</w:t>
      </w:r>
    </w:p>
    <w:p>
      <w:r>
        <w:rPr>
          <w:rFonts w:ascii="Calibri" w:hAnsi="Calibri" w:eastAsia="Source Han Sans SC"/>
          <w:sz w:val="22"/>
        </w:rPr>
        <w:t>年均猪价为 16 元/公斤时：</w:t>
      </w:r>
    </w:p>
    <w:p>
      <w:pPr>
        <w:keepLines/>
        <w:spacing w:before="100" w:after="140"/>
        <w:jc w:val="center"/>
        <w:shd w:fill="F7F9FB"/>
      </w:pPr>
      <w:r>
        <w:rPr>
          <w:rFonts w:ascii="Cambria Math" w:hAnsi="Cambria Math" w:eastAsia="Source Han Sans SC"/>
          <w:color w:val="203750"/>
          <w:sz w:val="23"/>
        </w:rPr>
        <w:t>归母净利润≈460亿元</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730"/>
        <w:gridCol w:w="2730"/>
        <w:gridCol w:w="3900"/>
      </w:tblGrid>
      <w:tr>
        <w:trPr>
          <w:cantSplit/>
          <w:tblHeader w:val="true"/>
        </w:trPr>
        <w:tc>
          <w:tcPr>
            <w:tcW w:type="dxa" w:w="2730"/>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PE</w:t>
            </w:r>
          </w:p>
        </w:tc>
        <w:tc>
          <w:tcPr>
            <w:tcW w:type="dxa" w:w="273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市值</w:t>
            </w:r>
          </w:p>
        </w:tc>
        <w:tc>
          <w:tcPr>
            <w:tcW w:type="dxa" w:w="390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每股价值 </w:t>
            </w:r>
            <w:r>
              <w:rPr>
                <w:rFonts w:ascii="Menlo" w:hAnsi="Menlo" w:eastAsia="Source Han Sans SC"/>
                <w:b/>
                <w:color w:val="1F4D78"/>
                <w:sz w:val="18"/>
              </w:rPr>
              <w:t>[D14]</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9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4140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71.7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10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4600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79.7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11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5060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87.6 元</w:t>
            </w:r>
          </w:p>
        </w:tc>
      </w:tr>
    </w:tbl>
    <w:p>
      <w:pPr>
        <w:spacing w:before="0" w:after="20" w:line="48" w:lineRule="auto"/>
      </w:pPr>
    </w:p>
    <w:p>
      <w:pPr>
        <w:pStyle w:val="Heading2"/>
      </w:pPr>
      <w:r>
        <w:rPr>
          <w:rFonts w:ascii="Calibri" w:hAnsi="Calibri" w:eastAsia="Source Han Sans SC"/>
          <w:b/>
          <w:color w:val="2E74B5"/>
          <w:sz w:val="26"/>
        </w:rPr>
        <w:t>12.5 周期高利润情景</w:t>
      </w:r>
    </w:p>
    <w:p>
      <w:r>
        <w:rPr>
          <w:rFonts w:ascii="Calibri" w:hAnsi="Calibri" w:eastAsia="Source Han Sans SC"/>
          <w:sz w:val="22"/>
        </w:rPr>
        <w:t>年均猪价为 18 元/公斤时：</w:t>
      </w:r>
    </w:p>
    <w:p>
      <w:pPr>
        <w:keepLines/>
        <w:spacing w:before="100" w:after="140"/>
        <w:jc w:val="center"/>
        <w:shd w:fill="F7F9FB"/>
      </w:pPr>
      <w:r>
        <w:rPr>
          <w:rFonts w:ascii="Cambria Math" w:hAnsi="Cambria Math" w:eastAsia="Source Han Sans SC"/>
          <w:color w:val="203750"/>
          <w:sz w:val="23"/>
        </w:rPr>
        <w:t>归母净利润≈660亿元</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730"/>
        <w:gridCol w:w="2730"/>
        <w:gridCol w:w="3900"/>
      </w:tblGrid>
      <w:tr>
        <w:trPr>
          <w:cantSplit/>
          <w:tblHeader w:val="true"/>
        </w:trPr>
        <w:tc>
          <w:tcPr>
            <w:tcW w:type="dxa" w:w="2730"/>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PE</w:t>
            </w:r>
          </w:p>
        </w:tc>
        <w:tc>
          <w:tcPr>
            <w:tcW w:type="dxa" w:w="273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市值</w:t>
            </w:r>
          </w:p>
        </w:tc>
        <w:tc>
          <w:tcPr>
            <w:tcW w:type="dxa" w:w="390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每股价值 </w:t>
            </w:r>
            <w:r>
              <w:rPr>
                <w:rFonts w:ascii="Menlo" w:hAnsi="Menlo" w:eastAsia="Source Han Sans SC"/>
                <w:b/>
                <w:color w:val="1F4D78"/>
                <w:sz w:val="18"/>
              </w:rPr>
              <w:t>[D15]</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7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4620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80.0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8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5280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91.5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9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5940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102.9 元</w:t>
            </w:r>
          </w:p>
        </w:tc>
      </w:tr>
    </w:tbl>
    <w:p>
      <w:pPr>
        <w:spacing w:before="0" w:after="20" w:line="48" w:lineRule="auto"/>
      </w:pPr>
    </w:p>
    <w:p>
      <w:pPr>
        <w:pStyle w:val="Heading2"/>
      </w:pPr>
      <w:r>
        <w:rPr>
          <w:rFonts w:ascii="Calibri" w:hAnsi="Calibri" w:eastAsia="Source Han Sans SC"/>
          <w:b/>
          <w:color w:val="2E74B5"/>
          <w:sz w:val="26"/>
        </w:rPr>
        <w:t>12.6 情绪高点情景</w:t>
      </w:r>
    </w:p>
    <w:p>
      <w:r>
        <w:rPr>
          <w:rFonts w:ascii="Calibri" w:hAnsi="Calibri" w:eastAsia="Source Han Sans SC"/>
          <w:sz w:val="22"/>
        </w:rPr>
        <w:t>若市场在峰值利润阶段暂时给予 10—11 倍 PE：</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730"/>
        <w:gridCol w:w="2730"/>
        <w:gridCol w:w="3900"/>
      </w:tblGrid>
      <w:tr>
        <w:trPr>
          <w:cantSplit/>
          <w:tblHeader w:val="true"/>
        </w:trPr>
        <w:tc>
          <w:tcPr>
            <w:tcW w:type="dxa" w:w="2730"/>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PE</w:t>
            </w:r>
          </w:p>
        </w:tc>
        <w:tc>
          <w:tcPr>
            <w:tcW w:type="dxa" w:w="273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市值</w:t>
            </w:r>
          </w:p>
        </w:tc>
        <w:tc>
          <w:tcPr>
            <w:tcW w:type="dxa" w:w="390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每股价值 </w:t>
            </w:r>
            <w:r>
              <w:rPr>
                <w:rFonts w:ascii="Menlo" w:hAnsi="Menlo" w:eastAsia="Source Han Sans SC"/>
                <w:b/>
                <w:color w:val="1F4D78"/>
                <w:sz w:val="18"/>
              </w:rPr>
              <w:t>[D16]</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10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6600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114.3 元</w:t>
            </w:r>
          </w:p>
        </w:tc>
      </w:tr>
      <w:tr>
        <w:trPr>
          <w:cantSplit/>
        </w:trPr>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11 倍</w:t>
            </w:r>
          </w:p>
        </w:tc>
        <w:tc>
          <w:tcPr>
            <w:tcW w:type="dxa" w:w="273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7260 亿元</w:t>
            </w:r>
          </w:p>
        </w:tc>
        <w:tc>
          <w:tcPr>
            <w:tcW w:type="dxa" w:w="390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125.8 元</w:t>
            </w:r>
          </w:p>
        </w:tc>
      </w:tr>
    </w:tbl>
    <w:p>
      <w:pPr>
        <w:spacing w:before="0" w:after="20" w:line="48" w:lineRule="auto"/>
      </w:pPr>
    </w:p>
    <w:p>
      <w:r>
        <w:rPr>
          <w:rFonts w:ascii="Calibri" w:hAnsi="Calibri" w:eastAsia="Source Han Sans SC"/>
          <w:sz w:val="22"/>
        </w:rPr>
        <w:t xml:space="preserve">该区间需要年均猪价接近 18 元、完全成本维持 11.5 元、出栏量保持 8000 万头、屠宰业务不拖累且 A 股情绪较强。因此，120 元附近在数学上可以实现，但更适合作为周期情绪高点，而不是高确定性内在价值 </w:t>
      </w:r>
      <w:r>
        <w:rPr>
          <w:rFonts w:ascii="Menlo" w:hAnsi="Menlo" w:eastAsia="Source Han Sans SC"/>
          <w:color w:val="1F4D78"/>
          <w:sz w:val="21"/>
        </w:rPr>
        <w:t>[J12]</w:t>
      </w:r>
      <w:r>
        <w:rPr>
          <w:rFonts w:ascii="Calibri" w:hAnsi="Calibri" w:eastAsia="Source Han Sans SC"/>
          <w:sz w:val="22"/>
        </w:rPr>
        <w:t>。</w:t>
      </w:r>
    </w:p>
    <w:p>
      <w:pPr>
        <w:pStyle w:val="Heading2"/>
      </w:pPr>
      <w:r>
        <w:rPr>
          <w:rFonts w:ascii="Calibri" w:hAnsi="Calibri" w:eastAsia="Source Han Sans SC"/>
          <w:b/>
          <w:color w:val="2E74B5"/>
          <w:sz w:val="26"/>
        </w:rPr>
        <w:t>12.7 综合目标区间</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1598"/>
        <w:gridCol w:w="2511"/>
        <w:gridCol w:w="5251"/>
      </w:tblGrid>
      <w:tr>
        <w:trPr>
          <w:cantSplit/>
          <w:tblHeader w:val="true"/>
        </w:trPr>
        <w:tc>
          <w:tcPr>
            <w:tcW w:type="dxa" w:w="1598"/>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估值层级</w:t>
            </w:r>
          </w:p>
        </w:tc>
        <w:tc>
          <w:tcPr>
            <w:tcW w:type="dxa" w:w="2511"/>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股价区间</w:t>
            </w:r>
          </w:p>
        </w:tc>
        <w:tc>
          <w:tcPr>
            <w:tcW w:type="dxa" w:w="5251"/>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含义</w:t>
            </w:r>
          </w:p>
        </w:tc>
      </w:tr>
      <w:tr>
        <w:trPr>
          <w:cantSplit/>
        </w:trPr>
        <w:tc>
          <w:tcPr>
            <w:tcW w:type="dxa" w:w="1598"/>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保守价值区间</w:t>
            </w:r>
          </w:p>
        </w:tc>
        <w:tc>
          <w:tcPr>
            <w:tcW w:type="dxa" w:w="25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45—55 元</w:t>
            </w:r>
          </w:p>
        </w:tc>
        <w:tc>
          <w:tcPr>
            <w:tcW w:type="dxa" w:w="525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对应 14 元左右猪价和正常估值</w:t>
            </w:r>
          </w:p>
        </w:tc>
      </w:tr>
      <w:tr>
        <w:trPr>
          <w:cantSplit/>
        </w:trPr>
        <w:tc>
          <w:tcPr>
            <w:tcW w:type="dxa" w:w="1598"/>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标准价值区间</w:t>
            </w:r>
          </w:p>
        </w:tc>
        <w:tc>
          <w:tcPr>
            <w:tcW w:type="dxa" w:w="25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62—80 元</w:t>
            </w:r>
          </w:p>
        </w:tc>
        <w:tc>
          <w:tcPr>
            <w:tcW w:type="dxa" w:w="525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对应 15—16 元猪价及 9—12 倍 PE</w:t>
            </w:r>
          </w:p>
        </w:tc>
      </w:tr>
      <w:tr>
        <w:trPr>
          <w:cantSplit/>
        </w:trPr>
        <w:tc>
          <w:tcPr>
            <w:tcW w:type="dxa" w:w="1598"/>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乐观价值区间</w:t>
            </w:r>
          </w:p>
        </w:tc>
        <w:tc>
          <w:tcPr>
            <w:tcW w:type="dxa" w:w="2511"/>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85—105 元</w:t>
            </w:r>
          </w:p>
        </w:tc>
        <w:tc>
          <w:tcPr>
            <w:tcW w:type="dxa" w:w="525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需要较好猪价、成本、出栏和预期配合</w:t>
            </w:r>
          </w:p>
        </w:tc>
      </w:tr>
      <w:tr>
        <w:trPr>
          <w:cantSplit/>
        </w:trPr>
        <w:tc>
          <w:tcPr>
            <w:tcW w:type="dxa" w:w="1598"/>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情绪高点区间</w:t>
            </w:r>
          </w:p>
        </w:tc>
        <w:tc>
          <w:tcPr>
            <w:tcW w:type="dxa" w:w="251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110—130 元以上</w:t>
            </w:r>
          </w:p>
        </w:tc>
        <w:tc>
          <w:tcPr>
            <w:tcW w:type="dxa" w:w="525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周期利润和市场情绪同时达到高位</w:t>
            </w:r>
          </w:p>
        </w:tc>
      </w:tr>
    </w:tbl>
    <w:p>
      <w:pPr>
        <w:spacing w:before="0" w:after="20" w:line="48" w:lineRule="auto"/>
      </w:pPr>
    </w:p>
    <w:p>
      <w:pPr>
        <w:pStyle w:val="Heading1"/>
        <w:pageBreakBefore/>
      </w:pPr>
      <w:bookmarkStart w:id="825650" w:name="sec_13"/>
      <w:r>
        <w:rPr>
          <w:rFonts w:ascii="Calibri" w:hAnsi="Calibri" w:eastAsia="Source Han Sans SC"/>
          <w:b/>
          <w:color w:val="2E74B5"/>
          <w:sz w:val="32"/>
        </w:rPr>
        <w:t>13 当前市场价格的隐含预期</w:t>
      </w:r>
      <w:bookmarkEnd w:id="825650"/>
    </w:p>
    <w:p>
      <w:r>
        <w:rPr>
          <w:rFonts w:ascii="Calibri" w:hAnsi="Calibri" w:eastAsia="Source Han Sans SC"/>
          <w:sz w:val="22"/>
        </w:rPr>
        <w:t xml:space="preserve">以约 40.66 元股价和 57.73 亿股总股本计算，公司市值约为 2347 亿元 </w:t>
      </w:r>
      <w:r>
        <w:rPr>
          <w:rFonts w:ascii="Menlo" w:hAnsi="Menlo" w:eastAsia="Source Han Sans SC"/>
          <w:color w:val="1F4D78"/>
          <w:sz w:val="21"/>
        </w:rPr>
        <w:t>[S04]</w:t>
      </w:r>
      <w:r>
        <w:rPr>
          <w:rFonts w:ascii="Calibri" w:hAnsi="Calibri" w:eastAsia="Source Han Sans SC"/>
          <w:sz w:val="22"/>
        </w:rPr>
        <w:t>。</w:t>
      </w:r>
    </w:p>
    <w:p>
      <w:r>
        <w:rPr>
          <w:rFonts w:ascii="Calibri" w:hAnsi="Calibri" w:eastAsia="Source Han Sans SC"/>
          <w:sz w:val="22"/>
        </w:rPr>
        <w:t>若市场分别给予 8—12 倍 PE，可以倒推出其隐含归母利润和猪价：</w:t>
      </w:r>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2427"/>
        <w:gridCol w:w="2773"/>
        <w:gridCol w:w="4160"/>
      </w:tblGrid>
      <w:tr>
        <w:trPr>
          <w:cantSplit/>
          <w:tblHeader w:val="true"/>
        </w:trPr>
        <w:tc>
          <w:tcPr>
            <w:tcW w:type="dxa" w:w="2427"/>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PE</w:t>
            </w:r>
          </w:p>
        </w:tc>
        <w:tc>
          <w:tcPr>
            <w:tcW w:type="dxa" w:w="2773"/>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隐含利润</w:t>
            </w:r>
          </w:p>
        </w:tc>
        <w:tc>
          <w:tcPr>
            <w:tcW w:type="dxa" w:w="4160"/>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 xml:space="preserve">对应猪价 </w:t>
            </w:r>
            <w:r>
              <w:rPr>
                <w:rFonts w:ascii="Menlo" w:hAnsi="Menlo" w:eastAsia="Source Han Sans SC"/>
                <w:b/>
                <w:color w:val="1F4D78"/>
                <w:sz w:val="18"/>
              </w:rPr>
              <w:t>[D17]</w:t>
            </w:r>
          </w:p>
        </w:tc>
      </w:tr>
      <w:tr>
        <w:trPr>
          <w:cantSplit/>
        </w:trPr>
        <w:tc>
          <w:tcPr>
            <w:tcW w:type="dxa" w:w="2427"/>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8 倍</w:t>
            </w:r>
          </w:p>
        </w:tc>
        <w:tc>
          <w:tcPr>
            <w:tcW w:type="dxa" w:w="2773"/>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293 亿元</w:t>
            </w:r>
          </w:p>
        </w:tc>
        <w:tc>
          <w:tcPr>
            <w:tcW w:type="dxa" w:w="416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14.33 元/公斤</w:t>
            </w:r>
          </w:p>
        </w:tc>
      </w:tr>
      <w:tr>
        <w:trPr>
          <w:cantSplit/>
        </w:trPr>
        <w:tc>
          <w:tcPr>
            <w:tcW w:type="dxa" w:w="2427"/>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9 倍</w:t>
            </w:r>
          </w:p>
        </w:tc>
        <w:tc>
          <w:tcPr>
            <w:tcW w:type="dxa" w:w="2773"/>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261 亿元</w:t>
            </w:r>
          </w:p>
        </w:tc>
        <w:tc>
          <w:tcPr>
            <w:tcW w:type="dxa" w:w="416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14.01 元/公斤</w:t>
            </w:r>
          </w:p>
        </w:tc>
      </w:tr>
      <w:tr>
        <w:trPr>
          <w:cantSplit/>
        </w:trPr>
        <w:tc>
          <w:tcPr>
            <w:tcW w:type="dxa" w:w="2427"/>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10 倍</w:t>
            </w:r>
          </w:p>
        </w:tc>
        <w:tc>
          <w:tcPr>
            <w:tcW w:type="dxa" w:w="2773"/>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235 亿元</w:t>
            </w:r>
          </w:p>
        </w:tc>
        <w:tc>
          <w:tcPr>
            <w:tcW w:type="dxa" w:w="416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13.75 元/公斤</w:t>
            </w:r>
          </w:p>
        </w:tc>
      </w:tr>
      <w:tr>
        <w:trPr>
          <w:cantSplit/>
        </w:trPr>
        <w:tc>
          <w:tcPr>
            <w:tcW w:type="dxa" w:w="2427"/>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11 倍</w:t>
            </w:r>
          </w:p>
        </w:tc>
        <w:tc>
          <w:tcPr>
            <w:tcW w:type="dxa" w:w="2773"/>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213 亿元</w:t>
            </w:r>
          </w:p>
        </w:tc>
        <w:tc>
          <w:tcPr>
            <w:tcW w:type="dxa" w:w="416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13.53 元/公斤</w:t>
            </w:r>
          </w:p>
        </w:tc>
      </w:tr>
      <w:tr>
        <w:trPr>
          <w:cantSplit/>
        </w:trPr>
        <w:tc>
          <w:tcPr>
            <w:tcW w:type="dxa" w:w="2427"/>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12 倍</w:t>
            </w:r>
          </w:p>
        </w:tc>
        <w:tc>
          <w:tcPr>
            <w:tcW w:type="dxa" w:w="2773"/>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196 亿元</w:t>
            </w:r>
          </w:p>
        </w:tc>
        <w:tc>
          <w:tcPr>
            <w:tcW w:type="dxa" w:w="4160"/>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13.36 元/公斤</w:t>
            </w:r>
          </w:p>
        </w:tc>
      </w:tr>
    </w:tbl>
    <w:p>
      <w:pPr>
        <w:spacing w:before="0" w:after="20" w:line="48" w:lineRule="auto"/>
      </w:pPr>
    </w:p>
    <w:p>
      <w:r>
        <w:rPr>
          <w:rFonts w:ascii="Calibri" w:hAnsi="Calibri" w:eastAsia="Source Han Sans SC"/>
          <w:sz w:val="22"/>
        </w:rPr>
        <w:t>上述计算使用 8000 万头、125 公斤、11.5 元完全成本和 10 亿元屠宰增量利润的统一模型。</w:t>
      </w:r>
    </w:p>
    <w:p>
      <w:r>
        <w:rPr>
          <w:rFonts w:ascii="Calibri" w:hAnsi="Calibri" w:eastAsia="Source Han Sans SC"/>
          <w:sz w:val="22"/>
        </w:rPr>
        <w:t xml:space="preserve">这意味着当前市场价格大致隐含以下一种或多种预期 </w:t>
      </w:r>
      <w:r>
        <w:rPr>
          <w:rFonts w:ascii="Menlo" w:hAnsi="Menlo" w:eastAsia="Source Han Sans SC"/>
          <w:color w:val="1F4D78"/>
          <w:sz w:val="21"/>
        </w:rPr>
        <w:t>[J13]</w:t>
      </w:r>
      <w:r>
        <w:rPr>
          <w:rFonts w:ascii="Calibri" w:hAnsi="Calibri" w:eastAsia="Source Han Sans SC"/>
          <w:sz w:val="22"/>
        </w:rPr>
        <w:t>：</w:t>
      </w:r>
    </w:p>
    <w:p>
      <w:pPr>
        <w:numPr>
          <w:ilvl w:val="0"/>
          <w:numId w:val="11"/>
        </w:numPr>
        <w:spacing w:after="80" w:line="290" w:lineRule="auto"/>
      </w:pPr>
      <w:r>
        <w:rPr>
          <w:rFonts w:ascii="Calibri" w:hAnsi="Calibri" w:eastAsia="Source Han Sans SC"/>
          <w:sz w:val="22"/>
        </w:rPr>
        <w:t>长期猪价中枢仅为 13.5—14 元/公斤；</w:t>
      </w:r>
    </w:p>
    <w:p>
      <w:pPr>
        <w:numPr>
          <w:ilvl w:val="0"/>
          <w:numId w:val="11"/>
        </w:numPr>
        <w:spacing w:after="80" w:line="290" w:lineRule="auto"/>
      </w:pPr>
      <w:r>
        <w:rPr>
          <w:rFonts w:ascii="Calibri" w:hAnsi="Calibri" w:eastAsia="Source Han Sans SC"/>
          <w:sz w:val="22"/>
        </w:rPr>
        <w:t>牧原完全成本无法长期保持在 11.5 元附近；</w:t>
      </w:r>
    </w:p>
    <w:p>
      <w:pPr>
        <w:numPr>
          <w:ilvl w:val="0"/>
          <w:numId w:val="11"/>
        </w:numPr>
        <w:spacing w:after="80" w:line="290" w:lineRule="auto"/>
      </w:pPr>
      <w:r>
        <w:rPr>
          <w:rFonts w:ascii="Calibri" w:hAnsi="Calibri" w:eastAsia="Source Han Sans SC"/>
          <w:sz w:val="22"/>
        </w:rPr>
        <w:t>公司出栏量无法稳定在 8000 万头；</w:t>
      </w:r>
    </w:p>
    <w:p>
      <w:pPr>
        <w:numPr>
          <w:ilvl w:val="0"/>
          <w:numId w:val="11"/>
        </w:numPr>
        <w:spacing w:after="80" w:line="290" w:lineRule="auto"/>
      </w:pPr>
      <w:r>
        <w:rPr>
          <w:rFonts w:ascii="Calibri" w:hAnsi="Calibri" w:eastAsia="Source Han Sans SC"/>
          <w:sz w:val="22"/>
        </w:rPr>
        <w:t>市场只愿给予较低周期 PE；</w:t>
      </w:r>
    </w:p>
    <w:p>
      <w:pPr>
        <w:numPr>
          <w:ilvl w:val="0"/>
          <w:numId w:val="11"/>
        </w:numPr>
        <w:spacing w:after="80" w:line="290" w:lineRule="auto"/>
      </w:pPr>
      <w:r>
        <w:rPr>
          <w:rFonts w:ascii="Calibri" w:hAnsi="Calibri" w:eastAsia="Source Han Sans SC"/>
          <w:sz w:val="22"/>
        </w:rPr>
        <w:t>行业规模化扩张将持续压低边际成本；</w:t>
      </w:r>
    </w:p>
    <w:p>
      <w:pPr>
        <w:numPr>
          <w:ilvl w:val="0"/>
          <w:numId w:val="11"/>
        </w:numPr>
        <w:spacing w:after="80" w:line="290" w:lineRule="auto"/>
      </w:pPr>
      <w:r>
        <w:rPr>
          <w:rFonts w:ascii="Calibri" w:hAnsi="Calibri" w:eastAsia="Source Han Sans SC"/>
          <w:sz w:val="22"/>
        </w:rPr>
        <w:t>公司资本开支、负债、疫病或政策风险需要折价。</w:t>
      </w:r>
    </w:p>
    <w:p>
      <w:r>
        <w:rPr>
          <w:rFonts w:ascii="Calibri" w:hAnsi="Calibri" w:eastAsia="Source Han Sans SC"/>
          <w:sz w:val="22"/>
        </w:rPr>
        <w:t>投资机会是否成立，取决于这些隐含预期是否过度悲观。</w:t>
      </w:r>
    </w:p>
    <w:p>
      <w:pPr>
        <w:pStyle w:val="Heading1"/>
        <w:pageBreakBefore/>
      </w:pPr>
      <w:bookmarkStart w:id="279561" w:name="sec_14"/>
      <w:r>
        <w:rPr>
          <w:rFonts w:ascii="Calibri" w:hAnsi="Calibri" w:eastAsia="Source Han Sans SC"/>
          <w:b/>
          <w:color w:val="2E74B5"/>
          <w:sz w:val="32"/>
        </w:rPr>
        <w:t>14 风险分析</w:t>
      </w:r>
      <w:bookmarkEnd w:id="279561"/>
    </w:p>
    <w:p>
      <w:pPr>
        <w:pStyle w:val="Heading2"/>
      </w:pPr>
      <w:r>
        <w:rPr>
          <w:rFonts w:ascii="Calibri" w:hAnsi="Calibri" w:eastAsia="Source Han Sans SC"/>
          <w:b/>
          <w:color w:val="2E74B5"/>
          <w:sz w:val="26"/>
        </w:rPr>
        <w:t>14.1 猪价长期低于预期</w:t>
      </w:r>
    </w:p>
    <w:p>
      <w:r>
        <w:rPr>
          <w:rFonts w:ascii="Calibri" w:hAnsi="Calibri" w:eastAsia="Source Han Sans SC"/>
          <w:sz w:val="22"/>
        </w:rPr>
        <w:t>若生猪生产效率提升速度快于需求增长，高成本产能退出后又被头部企业迅速补充，长期猪价可能低于 14.5—15.5 元中枢。</w:t>
      </w:r>
    </w:p>
    <w:p>
      <w:pPr>
        <w:pStyle w:val="Heading2"/>
      </w:pPr>
      <w:r>
        <w:rPr>
          <w:rFonts w:ascii="Calibri" w:hAnsi="Calibri" w:eastAsia="Source Han Sans SC"/>
          <w:b/>
          <w:color w:val="2E74B5"/>
          <w:sz w:val="26"/>
        </w:rPr>
        <w:t>14.2 完全成本反弹</w:t>
      </w:r>
    </w:p>
    <w:p>
      <w:r>
        <w:rPr>
          <w:rFonts w:ascii="Calibri" w:hAnsi="Calibri" w:eastAsia="Source Han Sans SC"/>
          <w:sz w:val="22"/>
        </w:rPr>
        <w:t>饲料价格、疫病、死亡率、人工、环保、折旧或财务费用上升，均可能使公司完全成本重新上升。成本每上升 0.1 元/公斤，理论利润减少约 10 亿元。</w:t>
      </w:r>
    </w:p>
    <w:p>
      <w:pPr>
        <w:pStyle w:val="Heading2"/>
      </w:pPr>
      <w:r>
        <w:rPr>
          <w:rFonts w:ascii="Calibri" w:hAnsi="Calibri" w:eastAsia="Source Han Sans SC"/>
          <w:b/>
          <w:color w:val="2E74B5"/>
          <w:sz w:val="26"/>
        </w:rPr>
        <w:t>14.3 出栏增长不及预期</w:t>
      </w:r>
    </w:p>
    <w:p>
      <w:r>
        <w:rPr>
          <w:rFonts w:ascii="Calibri" w:hAnsi="Calibri" w:eastAsia="Source Han Sans SC"/>
          <w:sz w:val="22"/>
        </w:rPr>
        <w:t>若公司能繁母猪、猪舍利用率、生产成绩或资本开支无法支持 8000 万头级别出栏，利润模型将高估销售重量。</w:t>
      </w:r>
    </w:p>
    <w:p>
      <w:pPr>
        <w:pStyle w:val="Heading2"/>
      </w:pPr>
      <w:r>
        <w:rPr>
          <w:rFonts w:ascii="Calibri" w:hAnsi="Calibri" w:eastAsia="Source Han Sans SC"/>
          <w:b/>
          <w:color w:val="2E74B5"/>
          <w:sz w:val="26"/>
        </w:rPr>
        <w:t>14.4 规模企业过度扩产</w:t>
      </w:r>
    </w:p>
    <w:p>
      <w:r>
        <w:rPr>
          <w:rFonts w:ascii="Calibri" w:hAnsi="Calibri" w:eastAsia="Source Han Sans SC"/>
          <w:sz w:val="22"/>
        </w:rPr>
        <w:t>牧原和其他头部企业若同时扩产，可能以更高市场份额换取更低行业猪价，使单家公司出栏增长无法转化为同比例利润增长。</w:t>
      </w:r>
    </w:p>
    <w:p>
      <w:pPr>
        <w:pStyle w:val="Heading2"/>
      </w:pPr>
      <w:r>
        <w:rPr>
          <w:rFonts w:ascii="Calibri" w:hAnsi="Calibri" w:eastAsia="Source Han Sans SC"/>
          <w:b/>
          <w:color w:val="2E74B5"/>
          <w:sz w:val="26"/>
        </w:rPr>
        <w:t>14.5 疫病风险</w:t>
      </w:r>
    </w:p>
    <w:p>
      <w:r>
        <w:rPr>
          <w:rFonts w:ascii="Calibri" w:hAnsi="Calibri" w:eastAsia="Source Han Sans SC"/>
          <w:sz w:val="22"/>
        </w:rPr>
        <w:t>非洲猪瘟及其他疫病可能提高死亡率和防疫成本，影响出栏量；也可能在全行业造成供给损失并推高猪价。对牧原而言，疫病同时包含公司经营风险和行业价格上行因素，其净影响取决于公司防控能力。</w:t>
      </w:r>
    </w:p>
    <w:p>
      <w:pPr>
        <w:pStyle w:val="Heading2"/>
      </w:pPr>
      <w:r>
        <w:rPr>
          <w:rFonts w:ascii="Calibri" w:hAnsi="Calibri" w:eastAsia="Source Han Sans SC"/>
          <w:b/>
          <w:color w:val="2E74B5"/>
          <w:sz w:val="26"/>
        </w:rPr>
        <w:t>14.6 政策和环保风险</w:t>
      </w:r>
    </w:p>
    <w:p>
      <w:r>
        <w:rPr>
          <w:rFonts w:ascii="Calibri" w:hAnsi="Calibri" w:eastAsia="Source Han Sans SC"/>
          <w:sz w:val="22"/>
        </w:rPr>
        <w:t>生猪产能调控、土地、环保、融资和屠宰政策均可能改变行业供给和公司扩张节奏。</w:t>
      </w:r>
    </w:p>
    <w:p>
      <w:pPr>
        <w:pStyle w:val="Heading2"/>
      </w:pPr>
      <w:r>
        <w:rPr>
          <w:rFonts w:ascii="Calibri" w:hAnsi="Calibri" w:eastAsia="Source Han Sans SC"/>
          <w:b/>
          <w:color w:val="2E74B5"/>
          <w:sz w:val="26"/>
        </w:rPr>
        <w:t>14.7 估值压缩风险</w:t>
      </w:r>
    </w:p>
    <w:p>
      <w:r>
        <w:rPr>
          <w:rFonts w:ascii="Calibri" w:hAnsi="Calibri" w:eastAsia="Source Han Sans SC"/>
          <w:sz w:val="22"/>
        </w:rPr>
        <w:t>即使利润达到高位，市场也可能因担忧周期反转，仅给予 7—9 倍 PE。峰值利润不能简单乘以正常化高 PE。</w:t>
      </w:r>
    </w:p>
    <w:p>
      <w:pPr>
        <w:pStyle w:val="Heading2"/>
      </w:pPr>
      <w:r>
        <w:rPr>
          <w:rFonts w:ascii="Calibri" w:hAnsi="Calibri" w:eastAsia="Source Han Sans SC"/>
          <w:b/>
          <w:color w:val="2E74B5"/>
          <w:sz w:val="26"/>
        </w:rPr>
        <w:t>14.8 模型误差</w:t>
      </w:r>
    </w:p>
    <w:p>
      <w:r>
        <w:rPr>
          <w:rFonts w:ascii="Calibri" w:hAnsi="Calibri" w:eastAsia="Source Han Sans SC"/>
          <w:sz w:val="22"/>
        </w:rPr>
        <w:t>本文使用的平均体重、长期成本和屠宰单位增量利润包含假设。正式投资决策需要使用公司最新月度成本、销售结构、资产负债表和现金流信息更新模型。</w:t>
      </w:r>
    </w:p>
    <w:p>
      <w:pPr>
        <w:pStyle w:val="Heading1"/>
        <w:pageBreakBefore/>
      </w:pPr>
      <w:bookmarkStart w:id="673376" w:name="sec_15"/>
      <w:r>
        <w:rPr>
          <w:rFonts w:ascii="Calibri" w:hAnsi="Calibri" w:eastAsia="Source Han Sans SC"/>
          <w:b/>
          <w:color w:val="2E74B5"/>
          <w:sz w:val="32"/>
        </w:rPr>
        <w:t>15 讨论</w:t>
      </w:r>
      <w:bookmarkEnd w:id="673376"/>
    </w:p>
    <w:p>
      <w:pPr>
        <w:pStyle w:val="Heading2"/>
      </w:pPr>
      <w:r>
        <w:rPr>
          <w:rFonts w:ascii="Calibri" w:hAnsi="Calibri" w:eastAsia="Source Han Sans SC"/>
          <w:b/>
          <w:color w:val="2E74B5"/>
          <w:sz w:val="26"/>
        </w:rPr>
        <w:t>15.1 牧原的成长性来自哪里</w:t>
      </w:r>
    </w:p>
    <w:p>
      <w:r>
        <w:rPr>
          <w:rFonts w:ascii="Calibri" w:hAnsi="Calibri" w:eastAsia="Source Han Sans SC"/>
          <w:sz w:val="22"/>
        </w:rPr>
        <w:t>牧原的成长性不应仅理解为猪场数量和出栏量增加，而应分为三类：</w:t>
      </w:r>
    </w:p>
    <w:p>
      <w:r>
        <w:rPr>
          <w:rFonts w:ascii="Calibri" w:hAnsi="Calibri" w:eastAsia="Source Han Sans SC"/>
          <w:sz w:val="22"/>
        </w:rPr>
        <w:t>第一，市场份额成长。高成本主体退出后，低成本龙头承接需求，能够在不显著增加行业总供给的条件下提高出栏量。</w:t>
      </w:r>
    </w:p>
    <w:p>
      <w:r>
        <w:rPr>
          <w:rFonts w:ascii="Calibri" w:hAnsi="Calibri" w:eastAsia="Source Han Sans SC"/>
          <w:sz w:val="22"/>
        </w:rPr>
        <w:t>第二，单位成本下降。生产效率、育种、饲料配方、智能化和疫病防控改善，可以在猪价不变时直接提高利润。</w:t>
      </w:r>
    </w:p>
    <w:p>
      <w:r>
        <w:rPr>
          <w:rFonts w:ascii="Calibri" w:hAnsi="Calibri" w:eastAsia="Source Han Sans SC"/>
          <w:sz w:val="22"/>
        </w:rPr>
        <w:t>第三，产业链附加值提升。屠宰、分割品、品牌肉和食品加工可以增强盈利稳定性，降低纯养殖利润的周期波动，并为估值倍数提升创造条件。</w:t>
      </w:r>
    </w:p>
    <w:p>
      <w:pPr>
        <w:pStyle w:val="Heading2"/>
      </w:pPr>
      <w:r>
        <w:rPr>
          <w:rFonts w:ascii="Calibri" w:hAnsi="Calibri" w:eastAsia="Source Han Sans SC"/>
          <w:b/>
          <w:color w:val="2E74B5"/>
          <w:sz w:val="26"/>
        </w:rPr>
        <w:t>15.2 为什么市场可能低估牧原</w:t>
      </w:r>
    </w:p>
    <w:p>
      <w:r>
        <w:rPr>
          <w:rFonts w:ascii="Calibri" w:hAnsi="Calibri" w:eastAsia="Source Han Sans SC"/>
          <w:sz w:val="22"/>
        </w:rPr>
        <w:t>市场可能使用当期低猪价利润、静态 PE 或行业悲观预期进行估值，而没有充分资本化公司低成本和未来猪价正常化后的利润弹性。此外，周期下行阶段投资者通常担忧亏损持续时间、母猪去化不足和头部企业扩产，这会压制估值。</w:t>
      </w:r>
    </w:p>
    <w:p>
      <w:r>
        <w:rPr>
          <w:rFonts w:ascii="Calibri" w:hAnsi="Calibri" w:eastAsia="Source Han Sans SC"/>
          <w:sz w:val="22"/>
        </w:rPr>
        <w:t>但市场折价并非必然错误。若长期猪价中枢因规模化和效率提升下降至 13.5—14 元，当前估值可能接近合理水平。所谓低估，本质上是投资者认为长期猪价、成本或出栏量的真实结果高于市场隐含假设。</w:t>
      </w:r>
    </w:p>
    <w:p>
      <w:pPr>
        <w:pStyle w:val="Heading2"/>
      </w:pPr>
      <w:r>
        <w:rPr>
          <w:rFonts w:ascii="Calibri" w:hAnsi="Calibri" w:eastAsia="Source Han Sans SC"/>
          <w:b/>
          <w:color w:val="2E74B5"/>
          <w:sz w:val="26"/>
        </w:rPr>
        <w:t>15.3 确定性与赔率的区分</w:t>
      </w:r>
    </w:p>
    <w:p>
      <w:r>
        <w:rPr>
          <w:rFonts w:ascii="Calibri" w:hAnsi="Calibri" w:eastAsia="Source Han Sans SC"/>
          <w:sz w:val="22"/>
        </w:rPr>
        <w:t>牧原成本优势和规模优势的确定性相对较高；2027 年供给边际改善的确定性中等；17—18 元年均猪价和 110 元以上股价的确定性较低。</w:t>
      </w:r>
    </w:p>
    <w:p>
      <w:r>
        <w:rPr>
          <w:rFonts w:ascii="Calibri" w:hAnsi="Calibri" w:eastAsia="Source Han Sans SC"/>
          <w:sz w:val="22"/>
        </w:rPr>
        <w:t>因此，应将“标准价值”和“情绪高点”分开。标准价值用于判断长期持有的安全边际，情绪高点用于判断周期上行阶段可能达到的交易价格。</w:t>
      </w:r>
    </w:p>
    <w:p>
      <w:pPr>
        <w:pStyle w:val="Heading1"/>
      </w:pPr>
      <w:bookmarkStart w:id="115829" w:name="sec_16"/>
      <w:r>
        <w:rPr>
          <w:rFonts w:ascii="Calibri" w:hAnsi="Calibri" w:eastAsia="Source Han Sans SC"/>
          <w:b/>
          <w:color w:val="2E74B5"/>
          <w:sz w:val="32"/>
        </w:rPr>
        <w:t>16 结论</w:t>
      </w:r>
      <w:bookmarkEnd w:id="115829"/>
    </w:p>
    <w:p>
      <w:r>
        <w:rPr>
          <w:rFonts w:ascii="Calibri" w:hAnsi="Calibri" w:eastAsia="Source Han Sans SC"/>
          <w:sz w:val="22"/>
        </w:rPr>
        <w:t>本文建立了牧原股份的经营利润、猪价判断和周期估值框架，并得到以下主要结论。</w:t>
      </w:r>
    </w:p>
    <w:p>
      <w:r>
        <w:rPr>
          <w:rFonts w:ascii="Calibri" w:hAnsi="Calibri" w:eastAsia="Source Han Sans SC"/>
          <w:sz w:val="22"/>
        </w:rPr>
        <w:t>第一，牧原利润可以由“商品猪价格减完全成本，乘以平均体重和商品猪销量，再加入屠宰增量利润”进行近似估算。使用 2025 年数据回测，模型估计利润约为 152.4—155.9 亿元，与实际归母净利润 154.87 亿元基本一致，说明该模型适合进行利润量级和敏感性分析。</w:t>
      </w:r>
    </w:p>
    <w:p>
      <w:r>
        <w:rPr>
          <w:rFonts w:ascii="Calibri" w:hAnsi="Calibri" w:eastAsia="Source Han Sans SC"/>
          <w:sz w:val="22"/>
        </w:rPr>
        <w:t>第二，牧原具有显著经营杠杆。在 8000 万头、125 公斤的基准下，公司全年销售重量约 100 亿公斤，猪价每上涨 1 元/公斤或成本每下降 1 元/公斤，理论利润变化约 100 亿元。猪价是第一利润变量，成本是公司竞争优势的核心，出栏量决定利润弹性的规模。</w:t>
      </w:r>
    </w:p>
    <w:p>
      <w:r>
        <w:rPr>
          <w:rFonts w:ascii="Calibri" w:hAnsi="Calibri" w:eastAsia="Source Han Sans SC"/>
          <w:sz w:val="22"/>
        </w:rPr>
        <w:t>第三，长期猪价不由牧原最低成本直接决定，也不由最高成本散户决定，而由满足全国正常需求所必需的边际生产者完全成本加正常利润决定。结合现有成本样本，本文估计行业边际完全成本约为 14.0—15.0 元/公斤，长期正常猪价中枢约为 14.5—15.5 元/公斤。</w:t>
      </w:r>
    </w:p>
    <w:p>
      <w:r>
        <w:rPr>
          <w:rFonts w:ascii="Calibri" w:hAnsi="Calibri" w:eastAsia="Source Han Sans SC"/>
          <w:sz w:val="22"/>
        </w:rPr>
        <w:t>第四，在出栏量 8000 万头、完全成本 11.5 元/公斤和屠宰增量利润约 10 亿元的条件下，年均猪价 14 元、15 元、16 元和 18 元分别对应约 260 亿元、360 亿元、460 亿元和 660 亿元归母净利润。</w:t>
      </w:r>
    </w:p>
    <w:p>
      <w:r>
        <w:rPr>
          <w:rFonts w:ascii="Calibri" w:hAnsi="Calibri" w:eastAsia="Source Han Sans SC"/>
          <w:sz w:val="22"/>
        </w:rPr>
        <w:t>第五，周期利润越高，合理 PE 应越低。正常化利润可采用约 10—12 倍 PE，偏强周期利润采用约 9—11 倍 PE，周期顶部利润采用约 7—9 倍 PE。由此，牧原保守价值区间约为 45—55 元，标准价值区间约为 62—80 元，乐观价值区间约为 85—105 元；110—130 元以上需要强猪周期和 A 股情绪溢价共同出现。</w:t>
      </w:r>
    </w:p>
    <w:p>
      <w:r>
        <w:rPr>
          <w:rFonts w:ascii="Calibri" w:hAnsi="Calibri" w:eastAsia="Source Han Sans SC"/>
          <w:sz w:val="22"/>
        </w:rPr>
        <w:t>第六，当前约 40 元股价大致隐含长期猪价约为 13.4—14.3 元，或隐含公司成本、出栏量和估值倍数存在其他折价。若未来长期猪价回归 14.5—15.5 元、公司完全成本维持 11.5—12 元且出栏量稳定，牧原存在明显重估空间；若行业效率提升使长期猪价持续低于 14 元，则投资安全边际将显著下降。</w:t>
      </w:r>
    </w:p>
    <w:p>
      <w:r>
        <w:rPr>
          <w:rFonts w:ascii="Calibri" w:hAnsi="Calibri" w:eastAsia="Source Han Sans SC"/>
          <w:sz w:val="22"/>
        </w:rPr>
        <w:t>综上，牧原股份的核心投资逻辑不是预测猪价永远上涨，而是判断公司低成本产能在行业长期均衡价格下能够获得多大的单位超额利润，并将这一超额利润通过巨大销售规模转化为数百亿元利润。当前估值具有潜在赔率，但收益区间的实现取决于猪价中枢、成本、出栏量及市场估值之间的共同作用。</w:t>
      </w:r>
    </w:p>
    <w:p>
      <w:pPr>
        <w:pStyle w:val="Heading1"/>
        <w:pageBreakBefore/>
      </w:pPr>
      <w:bookmarkStart w:id="896230" w:name="appendix_a"/>
      <w:r>
        <w:rPr>
          <w:rFonts w:ascii="Calibri" w:hAnsi="Calibri" w:eastAsia="Source Han Sans SC"/>
          <w:b/>
          <w:color w:val="2E74B5"/>
          <w:sz w:val="32"/>
        </w:rPr>
        <w:t>附录 A 关键计算公式</w:t>
      </w:r>
      <w:bookmarkEnd w:id="896230"/>
    </w:p>
    <w:p>
      <w:pPr>
        <w:pStyle w:val="Heading2"/>
      </w:pPr>
      <w:r>
        <w:rPr>
          <w:rFonts w:ascii="Calibri" w:hAnsi="Calibri" w:eastAsia="Source Han Sans SC"/>
          <w:b/>
          <w:color w:val="2E74B5"/>
          <w:sz w:val="26"/>
        </w:rPr>
        <w:t>A.1 养殖利润</w:t>
      </w:r>
    </w:p>
    <w:p>
      <w:pPr>
        <w:keepLines/>
        <w:spacing w:before="100" w:after="140"/>
        <w:jc w:val="center"/>
        <w:shd w:fill="F7F9FB"/>
      </w:pPr>
      <w:r>
        <w:rPr>
          <w:rFonts w:ascii="Cambria Math" w:hAnsi="Cambria Math" w:eastAsia="Source Han Sans SC"/>
          <w:color w:val="203750"/>
          <w:sz w:val="23"/>
        </w:rPr>
        <w:t>Π_breeding = (P-C)× W× Q</w:t>
      </w:r>
    </w:p>
    <w:p>
      <w:pPr>
        <w:pStyle w:val="Heading2"/>
      </w:pPr>
      <w:r>
        <w:rPr>
          <w:rFonts w:ascii="Calibri" w:hAnsi="Calibri" w:eastAsia="Source Han Sans SC"/>
          <w:b/>
          <w:color w:val="2E74B5"/>
          <w:sz w:val="26"/>
        </w:rPr>
        <w:t>A.2 屠宰增量利润</w:t>
      </w:r>
    </w:p>
    <w:p>
      <w:pPr>
        <w:keepLines/>
        <w:spacing w:before="100" w:after="140"/>
        <w:jc w:val="center"/>
        <w:shd w:fill="F7F9FB"/>
      </w:pPr>
      <w:r>
        <w:rPr>
          <w:rFonts w:ascii="Cambria Math" w:hAnsi="Cambria Math" w:eastAsia="Source Han Sans SC"/>
          <w:color w:val="203750"/>
          <w:sz w:val="23"/>
        </w:rPr>
        <w:t>Π_slaughter = Q× r× W× y× m</w:t>
      </w:r>
    </w:p>
    <w:p>
      <w:pPr>
        <w:pStyle w:val="Heading2"/>
      </w:pPr>
      <w:r>
        <w:rPr>
          <w:rFonts w:ascii="Calibri" w:hAnsi="Calibri" w:eastAsia="Source Han Sans SC"/>
          <w:b/>
          <w:color w:val="2E74B5"/>
          <w:sz w:val="26"/>
        </w:rPr>
        <w:t>A.3 目标市值</w:t>
      </w:r>
    </w:p>
    <w:p>
      <w:pPr>
        <w:keepLines/>
        <w:spacing w:before="100" w:after="140"/>
        <w:jc w:val="center"/>
        <w:shd w:fill="F7F9FB"/>
      </w:pPr>
      <w:r>
        <w:rPr>
          <w:rFonts w:ascii="Cambria Math" w:hAnsi="Cambria Math" w:eastAsia="Source Han Sans SC"/>
          <w:color w:val="203750"/>
          <w:sz w:val="23"/>
        </w:rPr>
        <w:t>Market Value = Net Profit× PE</w:t>
      </w:r>
    </w:p>
    <w:p>
      <w:pPr>
        <w:pStyle w:val="Heading2"/>
      </w:pPr>
      <w:r>
        <w:rPr>
          <w:rFonts w:ascii="Calibri" w:hAnsi="Calibri" w:eastAsia="Source Han Sans SC"/>
          <w:b/>
          <w:color w:val="2E74B5"/>
          <w:sz w:val="26"/>
        </w:rPr>
        <w:t>A.4 目标股价</w:t>
      </w:r>
    </w:p>
    <w:p>
      <w:pPr>
        <w:keepLines/>
        <w:spacing w:before="100" w:after="140"/>
        <w:jc w:val="center"/>
        <w:shd w:fill="F7F9FB"/>
      </w:pPr>
      <w:r>
        <w:rPr>
          <w:rFonts w:ascii="Cambria Math" w:hAnsi="Cambria Math" w:eastAsia="Source Han Sans SC"/>
          <w:color w:val="203750"/>
          <w:sz w:val="23"/>
        </w:rPr>
        <w:t>Target Price = (Net Profit× PE) / (Shares Outstanding)</w:t>
      </w:r>
    </w:p>
    <w:p>
      <w:pPr>
        <w:pStyle w:val="Heading2"/>
      </w:pPr>
      <w:r>
        <w:rPr>
          <w:rFonts w:ascii="Calibri" w:hAnsi="Calibri" w:eastAsia="Source Han Sans SC"/>
          <w:b/>
          <w:color w:val="2E74B5"/>
          <w:sz w:val="26"/>
        </w:rPr>
        <w:t>A.5 长期合理猪价</w:t>
      </w:r>
    </w:p>
    <w:p>
      <w:pPr>
        <w:keepLines/>
        <w:spacing w:before="100" w:after="140"/>
        <w:jc w:val="center"/>
        <w:shd w:fill="F7F9FB"/>
      </w:pPr>
      <w:r>
        <w:rPr>
          <w:rFonts w:ascii="Cambria Math" w:hAnsi="Cambria Math" w:eastAsia="Source Han Sans SC"/>
          <w:color w:val="203750"/>
          <w:sz w:val="23"/>
        </w:rPr>
        <w:t>P^* ≈ C_marginal + R_normal</w:t>
      </w:r>
    </w:p>
    <w:p>
      <w:pPr>
        <w:pStyle w:val="Heading1"/>
        <w:pageBreakBefore/>
      </w:pPr>
      <w:bookmarkStart w:id="334290" w:name="appendix_b"/>
      <w:r>
        <w:rPr>
          <w:rFonts w:ascii="Calibri" w:hAnsi="Calibri" w:eastAsia="Source Han Sans SC"/>
          <w:b/>
          <w:color w:val="2E74B5"/>
          <w:sz w:val="32"/>
        </w:rPr>
        <w:t>附录 B 关键结论汇总</w:t>
      </w:r>
      <w:bookmarkEnd w:id="334290"/>
    </w:p>
    <w:tbl>
      <w:tblPr>
        <w:tblW w:type="dxa" w:w="9360"/>
        <w:jc w:val="left"/>
        <w:tblLayout w:type="fixed"/>
        <w:tblLook w:firstColumn="1" w:firstRow="1" w:lastColumn="0" w:lastRow="0" w:noHBand="0" w:noVBand="1" w:val="04A0"/>
        <w:tblBorders>
          <w:top w:val="single" w:sz="6" w:space="0" w:color="CBD3DC"/>
          <w:left w:val="single" w:sz="6" w:space="0" w:color="CBD3DC"/>
          <w:bottom w:val="single" w:sz="6" w:space="0" w:color="CBD3DC"/>
          <w:right w:val="single" w:sz="6" w:space="0" w:color="CBD3DC"/>
          <w:insideH w:val="single" w:sz="6" w:space="0" w:color="CBD3DC"/>
          <w:insideV w:val="single" w:sz="6" w:space="0" w:color="CBD3DC"/>
        </w:tblBorders>
        <w:tblInd w:w="120" w:type="dxa"/>
      </w:tblPr>
      <w:tblGrid>
        <w:gridCol w:w="4841"/>
        <w:gridCol w:w="4519"/>
      </w:tblGrid>
      <w:tr>
        <w:trPr>
          <w:cantSplit/>
          <w:tblHeader w:val="true"/>
        </w:trPr>
        <w:tc>
          <w:tcPr>
            <w:tcW w:type="dxa" w:w="4841"/>
            <w:vAlign w:val="center"/>
            <w:tcMar>
              <w:top w:w="80" w:type="dxa"/>
              <w:start w:w="120" w:type="dxa"/>
              <w:bottom w:w="80" w:type="dxa"/>
              <w:end w:w="120" w:type="dxa"/>
            </w:tcMar>
            <w:shd w:fill="F4F6F9"/>
          </w:tcPr>
          <w:p>
            <w:pPr>
              <w:keepNext/>
              <w:spacing w:before="0" w:after="50" w:line="269" w:lineRule="auto"/>
              <w:jc w:val="center"/>
            </w:pPr>
            <w:r>
              <w:rPr>
                <w:rFonts w:ascii="Calibri" w:hAnsi="Calibri" w:eastAsia="Source Han Sans SC"/>
                <w:b/>
                <w:sz w:val="19"/>
              </w:rPr>
              <w:t>项目</w:t>
            </w:r>
          </w:p>
        </w:tc>
        <w:tc>
          <w:tcPr>
            <w:tcW w:type="dxa" w:w="4519"/>
            <w:vAlign w:val="center"/>
            <w:tcMar>
              <w:top w:w="80" w:type="dxa"/>
              <w:start w:w="120" w:type="dxa"/>
              <w:bottom w:w="80" w:type="dxa"/>
              <w:end w:w="120" w:type="dxa"/>
            </w:tcMar>
            <w:shd w:fill="F4F6F9"/>
          </w:tcPr>
          <w:p>
            <w:pPr>
              <w:spacing w:before="0" w:after="50" w:line="269" w:lineRule="auto"/>
              <w:jc w:val="center"/>
            </w:pPr>
            <w:r>
              <w:rPr>
                <w:rFonts w:ascii="Calibri" w:hAnsi="Calibri" w:eastAsia="Source Han Sans SC"/>
                <w:b/>
                <w:sz w:val="19"/>
              </w:rPr>
              <w:t>核心结果</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牧原 2025 年商品猪销量</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7798.1 万头</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牧原 2025 年完全成本</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12 元/公斤</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牧原 2025 年归母净利润</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154.87 亿元</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中长期出栏假设</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8000 万头</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中长期成本假设</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11.5 元/公斤</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每 1 元猪价变化对应利润</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100 亿元</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每 0.1 元成本变化对应利润</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约 10 亿元</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行业边际完全成本估计</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14.0—15.0 元/公斤</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长期猪价核心中枢</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14.5—15.5 元/公斤</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保守价值区间</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45—55 元</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标准价值区间</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62—80 元</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乐观价值区间</w:t>
            </w:r>
          </w:p>
        </w:tc>
        <w:tc>
          <w:tcPr>
            <w:tcW w:type="dxa" w:w="4519"/>
            <w:vAlign w:val="center"/>
            <w:tcMar>
              <w:top w:w="80" w:type="dxa"/>
              <w:start w:w="120" w:type="dxa"/>
              <w:bottom w:w="80" w:type="dxa"/>
              <w:end w:w="120" w:type="dxa"/>
            </w:tcMar>
          </w:tcPr>
          <w:p>
            <w:pPr>
              <w:spacing w:before="0" w:after="50" w:line="269" w:lineRule="auto"/>
              <w:jc w:val="center"/>
            </w:pPr>
            <w:r>
              <w:rPr>
                <w:rFonts w:ascii="Calibri" w:hAnsi="Calibri" w:eastAsia="Source Han Sans SC"/>
                <w:sz w:val="19"/>
              </w:rPr>
              <w:t>85—105 元</w:t>
            </w:r>
          </w:p>
        </w:tc>
      </w:tr>
      <w:tr>
        <w:trPr>
          <w:cantSplit/>
        </w:trPr>
        <w:tc>
          <w:tcPr>
            <w:tcW w:type="dxa" w:w="4841"/>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情绪高点区间</w:t>
            </w:r>
          </w:p>
        </w:tc>
        <w:tc>
          <w:tcPr>
            <w:tcW w:type="dxa" w:w="4519"/>
            <w:vAlign w:val="center"/>
            <w:tcMar>
              <w:top w:w="80" w:type="dxa"/>
              <w:start w:w="120" w:type="dxa"/>
              <w:bottom w:w="80" w:type="dxa"/>
              <w:end w:w="120" w:type="dxa"/>
            </w:tcMar>
          </w:tcPr>
          <w:p>
            <w:pPr>
              <w:spacing w:before="0" w:after="50" w:line="269" w:lineRule="auto"/>
              <w:jc w:val="left"/>
            </w:pPr>
            <w:r>
              <w:rPr>
                <w:rFonts w:ascii="Calibri" w:hAnsi="Calibri" w:eastAsia="Source Han Sans SC"/>
                <w:sz w:val="19"/>
              </w:rPr>
              <w:t>110—130 元以上</w:t>
            </w:r>
          </w:p>
        </w:tc>
      </w:tr>
    </w:tbl>
    <w:p>
      <w:pPr>
        <w:spacing w:before="0" w:after="20" w:line="48" w:lineRule="auto"/>
      </w:pPr>
    </w:p>
    <w:p>
      <w:pPr>
        <w:pStyle w:val="Heading1"/>
        <w:pageBreakBefore/>
      </w:pPr>
      <w:bookmarkStart w:id="56077" w:name="references"/>
      <w:r>
        <w:rPr>
          <w:rFonts w:ascii="Calibri" w:hAnsi="Calibri" w:eastAsia="Source Han Sans SC"/>
          <w:b/>
          <w:color w:val="2E74B5"/>
          <w:sz w:val="32"/>
        </w:rPr>
        <w:t>参考文献与资料链接</w:t>
      </w:r>
      <w:bookmarkEnd w:id="56077"/>
    </w:p>
    <w:p>
      <w:pPr>
        <w:keepNext/>
      </w:pPr>
      <w:bookmarkStart w:id="26413" w:name="s01"/>
      <w:r>
        <w:rPr>
          <w:rFonts w:ascii="Calibri" w:hAnsi="Calibri" w:eastAsia="Source Han Sans SC"/>
          <w:b/>
          <w:sz w:val="22"/>
        </w:rPr>
        <w:t>[S01] 牧原食品股份有限公司 2025 年年度报告摘要</w:t>
      </w:r>
      <w:bookmarkEnd w:id="26413"/>
    </w:p>
    <w:p>
      <w:r>
        <w:rPr>
          <w:rFonts w:ascii="Calibri" w:hAnsi="Calibri" w:eastAsia="Source Han Sans SC"/>
          <w:sz w:val="22"/>
        </w:rPr>
        <w:t>商品猪销量、屠宰量、猪肉产品销量、完全成本、屠宰盈利及财务数据。</w:t>
      </w:r>
    </w:p>
    <w:p>
      <w:hyperlink r:id="rId11">
        <w:r>
          <w:rPr>
            <w:rFonts w:ascii="Calibri" w:hAnsi="Calibri" w:eastAsia="Source Han Sans SC"/>
            <w:color w:val="2E74B5"/>
            <w:u w:val="single"/>
            <w:sz w:val="19"/>
          </w:rPr>
          <w:t>https://static.cninfo.com.cn/finalpage/2026-03-28/1225042506.PDF</w:t>
        </w:r>
      </w:hyperlink>
    </w:p>
    <w:p>
      <w:pPr>
        <w:keepNext/>
      </w:pPr>
      <w:bookmarkStart w:id="640420" w:name="s02"/>
      <w:r>
        <w:rPr>
          <w:rFonts w:ascii="Calibri" w:hAnsi="Calibri" w:eastAsia="Source Han Sans SC"/>
          <w:b/>
          <w:sz w:val="22"/>
        </w:rPr>
        <w:t>[S02] 牧原股份 2025 年度业绩预告</w:t>
      </w:r>
      <w:bookmarkEnd w:id="640420"/>
    </w:p>
    <w:p>
      <w:r>
        <w:rPr>
          <w:rFonts w:ascii="Calibri" w:hAnsi="Calibri" w:eastAsia="Source Han Sans SC"/>
          <w:sz w:val="22"/>
        </w:rPr>
        <w:t>披露 2025 年商品猪销售均价约 13.5 元/公斤。</w:t>
      </w:r>
    </w:p>
    <w:p>
      <w:hyperlink r:id="rId12">
        <w:r>
          <w:rPr>
            <w:rFonts w:ascii="Calibri" w:hAnsi="Calibri" w:eastAsia="Source Han Sans SC"/>
            <w:color w:val="2E74B5"/>
            <w:u w:val="single"/>
            <w:sz w:val="19"/>
          </w:rPr>
          <w:t>https://static.cninfo.com.cn/finalpage/2026-01-16/1224936121.PDF</w:t>
        </w:r>
      </w:hyperlink>
    </w:p>
    <w:p>
      <w:pPr>
        <w:keepNext/>
      </w:pPr>
      <w:bookmarkStart w:id="332364" w:name="s03"/>
      <w:r>
        <w:rPr>
          <w:rFonts w:ascii="Calibri" w:hAnsi="Calibri" w:eastAsia="Source Han Sans SC"/>
          <w:b/>
          <w:sz w:val="22"/>
        </w:rPr>
        <w:t>[S03] 牧原股份股本与公司资料页面</w:t>
      </w:r>
      <w:bookmarkEnd w:id="332364"/>
    </w:p>
    <w:p>
      <w:r>
        <w:rPr>
          <w:rFonts w:ascii="Calibri" w:hAnsi="Calibri" w:eastAsia="Source Han Sans SC"/>
          <w:sz w:val="22"/>
        </w:rPr>
        <w:t>用于刷新总股本，正式使用前应以最新公司公告复核。</w:t>
      </w:r>
    </w:p>
    <w:p>
      <w:hyperlink r:id="rId13">
        <w:r>
          <w:rPr>
            <w:rFonts w:ascii="Calibri" w:hAnsi="Calibri" w:eastAsia="Source Han Sans SC"/>
            <w:color w:val="2E74B5"/>
            <w:u w:val="single"/>
            <w:sz w:val="19"/>
          </w:rPr>
          <w:t>https://q.stock.sohu.com/cn/002714/index.shtml</w:t>
        </w:r>
      </w:hyperlink>
    </w:p>
    <w:p>
      <w:pPr>
        <w:keepNext/>
      </w:pPr>
      <w:bookmarkStart w:id="102372" w:name="s04"/>
      <w:r>
        <w:rPr>
          <w:rFonts w:ascii="Calibri" w:hAnsi="Calibri" w:eastAsia="Source Han Sans SC"/>
          <w:b/>
          <w:sz w:val="22"/>
        </w:rPr>
        <w:t>[S04] 牧原股份新浪行情与公告页面</w:t>
      </w:r>
      <w:bookmarkEnd w:id="102372"/>
    </w:p>
    <w:p>
      <w:r>
        <w:rPr>
          <w:rFonts w:ascii="Calibri" w:hAnsi="Calibri" w:eastAsia="Source Han Sans SC"/>
          <w:sz w:val="22"/>
        </w:rPr>
        <w:t>用于报告截面的股价和市值，行情会实时变化。</w:t>
      </w:r>
    </w:p>
    <w:p>
      <w:hyperlink r:id="rId14">
        <w:r>
          <w:rPr>
            <w:rFonts w:ascii="Calibri" w:hAnsi="Calibri" w:eastAsia="Source Han Sans SC"/>
            <w:color w:val="2E74B5"/>
            <w:u w:val="single"/>
            <w:sz w:val="19"/>
          </w:rPr>
          <w:t>https://vip.stock.finance.sina.com.cn/corp/view/vCB_AllBulletin.php?stockid=002714</w:t>
        </w:r>
      </w:hyperlink>
    </w:p>
    <w:p>
      <w:pPr>
        <w:keepNext/>
      </w:pPr>
      <w:bookmarkStart w:id="675664" w:name="s05"/>
      <w:r>
        <w:rPr>
          <w:rFonts w:ascii="Calibri" w:hAnsi="Calibri" w:eastAsia="Source Han Sans SC"/>
          <w:b/>
          <w:sz w:val="22"/>
        </w:rPr>
        <w:t>[S05] 国家统计局：2025 年农业经济形势稳中向好</w:t>
      </w:r>
      <w:bookmarkEnd w:id="675664"/>
    </w:p>
    <w:p>
      <w:r>
        <w:rPr>
          <w:rFonts w:ascii="Calibri" w:hAnsi="Calibri" w:eastAsia="Source Han Sans SC"/>
          <w:sz w:val="22"/>
        </w:rPr>
        <w:t>全国猪肉产量、生猪出栏、存栏和能繁母猪数据。</w:t>
      </w:r>
    </w:p>
    <w:p>
      <w:hyperlink r:id="rId15">
        <w:r>
          <w:rPr>
            <w:rFonts w:ascii="Calibri" w:hAnsi="Calibri" w:eastAsia="Source Han Sans SC"/>
            <w:color w:val="2E74B5"/>
            <w:u w:val="single"/>
            <w:sz w:val="19"/>
          </w:rPr>
          <w:t>https://www.stats.gov.cn/sj/sjjd/202601/t20260119_1962332.html</w:t>
        </w:r>
      </w:hyperlink>
    </w:p>
    <w:p>
      <w:pPr>
        <w:keepNext/>
      </w:pPr>
      <w:bookmarkStart w:id="848812" w:name="s06"/>
      <w:r>
        <w:rPr>
          <w:rFonts w:ascii="Calibri" w:hAnsi="Calibri" w:eastAsia="Source Han Sans SC"/>
          <w:b/>
          <w:sz w:val="22"/>
        </w:rPr>
        <w:t>[S06] 农业农村部《生猪产能综合调控实施方案（2026 年修订）》</w:t>
      </w:r>
      <w:bookmarkEnd w:id="848812"/>
    </w:p>
    <w:p>
      <w:r>
        <w:rPr>
          <w:rFonts w:ascii="Calibri" w:hAnsi="Calibri" w:eastAsia="Source Han Sans SC"/>
          <w:sz w:val="22"/>
        </w:rPr>
        <w:t>正常能繁母猪保有量 3750 万头及产能调控框架。</w:t>
      </w:r>
    </w:p>
    <w:p>
      <w:hyperlink r:id="rId16">
        <w:r>
          <w:rPr>
            <w:rFonts w:ascii="Calibri" w:hAnsi="Calibri" w:eastAsia="Source Han Sans SC"/>
            <w:color w:val="2E74B5"/>
            <w:u w:val="single"/>
            <w:sz w:val="19"/>
          </w:rPr>
          <w:t>https://www.hunan.gov.cn/zqt/zcsd/202605/t20260518_33979020.html</w:t>
        </w:r>
      </w:hyperlink>
    </w:p>
    <w:p>
      <w:pPr>
        <w:keepNext/>
      </w:pPr>
      <w:bookmarkStart w:id="461232" w:name="s07"/>
      <w:r>
        <w:rPr>
          <w:rFonts w:ascii="Calibri" w:hAnsi="Calibri" w:eastAsia="Source Han Sans SC"/>
          <w:b/>
          <w:sz w:val="22"/>
        </w:rPr>
        <w:t>[S07] 2025 年我国生猪产业形势回顾、存在问题与后期展望</w:t>
      </w:r>
      <w:bookmarkEnd w:id="461232"/>
    </w:p>
    <w:p>
      <w:r>
        <w:rPr>
          <w:rFonts w:ascii="Calibri" w:hAnsi="Calibri" w:eastAsia="Source Han Sans SC"/>
          <w:sz w:val="22"/>
        </w:rPr>
        <w:t>引用农业农村部监测的行业成本、猪价和规模化率等数据。</w:t>
      </w:r>
    </w:p>
    <w:p>
      <w:hyperlink r:id="rId17">
        <w:r>
          <w:rPr>
            <w:rFonts w:ascii="Calibri" w:hAnsi="Calibri" w:eastAsia="Source Han Sans SC"/>
            <w:color w:val="2E74B5"/>
            <w:u w:val="single"/>
            <w:sz w:val="19"/>
          </w:rPr>
          <w:t>https://finance.sina.com.cn/wm/2026-03-18/doc-inhrmtwa4563402.shtml</w:t>
        </w:r>
      </w:hyperlink>
    </w:p>
    <w:p>
      <w:pPr>
        <w:keepNext/>
      </w:pPr>
      <w:bookmarkStart w:id="784950" w:name="s08"/>
      <w:r>
        <w:rPr>
          <w:rFonts w:ascii="Calibri" w:hAnsi="Calibri" w:eastAsia="Source Han Sans SC"/>
          <w:b/>
          <w:sz w:val="22"/>
        </w:rPr>
        <w:t>[S08] 牧原股份 2026 年 6 月份销售简报</w:t>
      </w:r>
      <w:bookmarkEnd w:id="784950"/>
    </w:p>
    <w:p>
      <w:r>
        <w:rPr>
          <w:rFonts w:ascii="Calibri" w:hAnsi="Calibri" w:eastAsia="Source Han Sans SC"/>
          <w:sz w:val="22"/>
        </w:rPr>
        <w:t>2026 年上半年销量、6 月售价、屠宰量和能繁母猪数量。</w:t>
      </w:r>
    </w:p>
    <w:p>
      <w:hyperlink r:id="rId18">
        <w:r>
          <w:rPr>
            <w:rFonts w:ascii="Calibri" w:hAnsi="Calibri" w:eastAsia="Source Han Sans SC"/>
            <w:color w:val="2E74B5"/>
            <w:u w:val="single"/>
            <w:sz w:val="19"/>
          </w:rPr>
          <w:t>https://static.cninfo.com.cn/finalpage/2026-07-07/1225411958.PDF</w:t>
        </w:r>
      </w:hyperlink>
    </w:p>
    <w:p>
      <w:pPr>
        <w:keepNext/>
      </w:pPr>
      <w:bookmarkStart w:id="390843" w:name="s09"/>
      <w:r>
        <w:rPr>
          <w:rFonts w:ascii="Calibri" w:hAnsi="Calibri" w:eastAsia="Source Han Sans SC"/>
          <w:b/>
          <w:sz w:val="22"/>
        </w:rPr>
        <w:t>[S09] 中国期货业协会：生猪价格短期下跌，关注远月做多机会</w:t>
      </w:r>
      <w:bookmarkEnd w:id="390843"/>
    </w:p>
    <w:p>
      <w:r>
        <w:rPr>
          <w:rFonts w:ascii="Calibri" w:hAnsi="Calibri" w:eastAsia="Source Han Sans SC"/>
          <w:sz w:val="22"/>
        </w:rPr>
        <w:t>历史猪周期、价格节点及生猪生产时滞。</w:t>
      </w:r>
    </w:p>
    <w:p>
      <w:hyperlink r:id="rId19">
        <w:r>
          <w:rPr>
            <w:rFonts w:ascii="Calibri" w:hAnsi="Calibri" w:eastAsia="Source Han Sans SC"/>
            <w:color w:val="2E74B5"/>
            <w:u w:val="single"/>
            <w:sz w:val="19"/>
          </w:rPr>
          <w:t>https://www.cfachina.org/servicesupport/analygarden/ncpl/sz1/202311/P020231114557648449407.pdf</w:t>
        </w:r>
      </w:hyperlink>
    </w:p>
    <w:p>
      <w:pPr>
        <w:keepNext/>
      </w:pPr>
      <w:bookmarkStart w:id="149883" w:name="s10"/>
      <w:r>
        <w:rPr>
          <w:rFonts w:ascii="Calibri" w:hAnsi="Calibri" w:eastAsia="Source Han Sans SC"/>
          <w:b/>
          <w:sz w:val="22"/>
        </w:rPr>
        <w:t>[S10] 证券时报：农业农村部下调能繁母猪保有量目标</w:t>
      </w:r>
      <w:bookmarkEnd w:id="149883"/>
    </w:p>
    <w:p>
      <w:r>
        <w:rPr>
          <w:rFonts w:ascii="Calibri" w:hAnsi="Calibri" w:eastAsia="Source Han Sans SC"/>
          <w:sz w:val="22"/>
        </w:rPr>
        <w:t>全国能繁母猪连续去化和新生仔猪变化。</w:t>
      </w:r>
    </w:p>
    <w:p>
      <w:hyperlink r:id="rId20">
        <w:r>
          <w:rPr>
            <w:rFonts w:ascii="Calibri" w:hAnsi="Calibri" w:eastAsia="Source Han Sans SC"/>
            <w:color w:val="2E74B5"/>
            <w:u w:val="single"/>
            <w:sz w:val="19"/>
          </w:rPr>
          <w:t>https://www.stcn.com/article/detail/3910198.html</w:t>
        </w:r>
      </w:hyperlink>
    </w:p>
    <w:p>
      <w:pPr>
        <w:keepNext/>
      </w:pPr>
      <w:bookmarkStart w:id="607942" w:name="s11"/>
      <w:r>
        <w:rPr>
          <w:rFonts w:ascii="Calibri" w:hAnsi="Calibri" w:eastAsia="Source Han Sans SC"/>
          <w:b/>
          <w:sz w:val="22"/>
        </w:rPr>
        <w:t>[S11] 山东省畜牧兽医局：2025 年二季度畜禽养殖成本收益测算</w:t>
      </w:r>
      <w:bookmarkEnd w:id="607942"/>
    </w:p>
    <w:p>
      <w:r>
        <w:rPr>
          <w:rFonts w:ascii="Calibri" w:hAnsi="Calibri" w:eastAsia="Source Han Sans SC"/>
          <w:sz w:val="22"/>
        </w:rPr>
        <w:t>自繁自育和外购仔猪育肥盈亏成本线。</w:t>
      </w:r>
    </w:p>
    <w:p>
      <w:hyperlink r:id="rId21">
        <w:r>
          <w:rPr>
            <w:rFonts w:ascii="Calibri" w:hAnsi="Calibri" w:eastAsia="Source Han Sans SC"/>
            <w:color w:val="2E74B5"/>
            <w:u w:val="single"/>
            <w:sz w:val="19"/>
          </w:rPr>
          <w:t>https://xm.shandong.gov.cn/art/2025/7/28/art_101456_10346429.html</w:t>
        </w:r>
      </w:hyperlink>
    </w:p>
    <w:p>
      <w:pPr>
        <w:keepNext/>
      </w:pPr>
      <w:bookmarkStart w:id="446440" w:name="s12"/>
      <w:r>
        <w:rPr>
          <w:rFonts w:ascii="Calibri" w:hAnsi="Calibri" w:eastAsia="Source Han Sans SC"/>
          <w:b/>
          <w:sz w:val="22"/>
        </w:rPr>
        <w:t>[S12] 山东省畜牧兽医局：2025 年四季度畜禽养殖成本收益测算</w:t>
      </w:r>
      <w:bookmarkEnd w:id="446440"/>
    </w:p>
    <w:p>
      <w:r>
        <w:rPr>
          <w:rFonts w:ascii="Calibri" w:hAnsi="Calibri" w:eastAsia="Source Han Sans SC"/>
          <w:sz w:val="22"/>
        </w:rPr>
        <w:t>自繁自育和外购仔猪育肥盈亏成本线。</w:t>
      </w:r>
    </w:p>
    <w:p>
      <w:hyperlink r:id="rId22">
        <w:r>
          <w:rPr>
            <w:rFonts w:ascii="Calibri" w:hAnsi="Calibri" w:eastAsia="Source Han Sans SC"/>
            <w:color w:val="2E74B5"/>
            <w:u w:val="single"/>
            <w:sz w:val="19"/>
          </w:rPr>
          <w:t>https://xm.shandong.gov.cn/art/2026/1/15/art_101456_10350225.html</w:t>
        </w:r>
      </w:hyperlink>
    </w:p>
    <w:p>
      <w:pPr>
        <w:keepNext/>
      </w:pPr>
      <w:bookmarkStart w:id="897638" w:name="s13"/>
      <w:r>
        <w:rPr>
          <w:rFonts w:ascii="Calibri" w:hAnsi="Calibri" w:eastAsia="Source Han Sans SC"/>
          <w:b/>
          <w:sz w:val="22"/>
        </w:rPr>
        <w:t>[S13] 证券时报：2026 年 4 月末能繁母猪与供给传导分析</w:t>
      </w:r>
      <w:bookmarkEnd w:id="897638"/>
    </w:p>
    <w:p>
      <w:r>
        <w:rPr>
          <w:rFonts w:ascii="Calibri" w:hAnsi="Calibri" w:eastAsia="Source Han Sans SC"/>
          <w:sz w:val="22"/>
        </w:rPr>
        <w:t>能繁母猪约 3898 万头及供给传导判断。</w:t>
      </w:r>
    </w:p>
    <w:p>
      <w:hyperlink r:id="rId23">
        <w:r>
          <w:rPr>
            <w:rFonts w:ascii="Calibri" w:hAnsi="Calibri" w:eastAsia="Source Han Sans SC"/>
            <w:color w:val="2E74B5"/>
            <w:u w:val="single"/>
            <w:sz w:val="19"/>
          </w:rPr>
          <w:t>https://www.stcn.com/article/detail/3976918.html</w:t>
        </w:r>
      </w:hyperlink>
    </w:p>
    <w:p>
      <w:pPr>
        <w:keepNext/>
      </w:pPr>
      <w:bookmarkStart w:id="898053" w:name="s14"/>
      <w:r>
        <w:rPr>
          <w:rFonts w:ascii="Calibri" w:hAnsi="Calibri" w:eastAsia="Source Han Sans SC"/>
          <w:b/>
          <w:sz w:val="22"/>
        </w:rPr>
        <w:t>[S14] Smithfield Foods 行情页面</w:t>
      </w:r>
      <w:bookmarkEnd w:id="898053"/>
    </w:p>
    <w:p>
      <w:r>
        <w:rPr>
          <w:rFonts w:ascii="Calibri" w:hAnsi="Calibri" w:eastAsia="Source Han Sans SC"/>
          <w:sz w:val="22"/>
        </w:rPr>
        <w:t>用于刷新股价、市值和 PE。</w:t>
      </w:r>
    </w:p>
    <w:p>
      <w:hyperlink r:id="rId24">
        <w:r>
          <w:rPr>
            <w:rFonts w:ascii="Calibri" w:hAnsi="Calibri" w:eastAsia="Source Han Sans SC"/>
            <w:color w:val="2E74B5"/>
            <w:u w:val="single"/>
            <w:sz w:val="19"/>
          </w:rPr>
          <w:t>https://finance.yahoo.com/quote/SFD/</w:t>
        </w:r>
      </w:hyperlink>
    </w:p>
    <w:p>
      <w:pPr>
        <w:keepNext/>
      </w:pPr>
      <w:bookmarkStart w:id="666883" w:name="s15"/>
      <w:r>
        <w:rPr>
          <w:rFonts w:ascii="Calibri" w:hAnsi="Calibri" w:eastAsia="Source Han Sans SC"/>
          <w:b/>
          <w:sz w:val="22"/>
        </w:rPr>
        <w:t>[S15] Seaboard 行情页面</w:t>
      </w:r>
      <w:bookmarkEnd w:id="666883"/>
    </w:p>
    <w:p>
      <w:r>
        <w:rPr>
          <w:rFonts w:ascii="Calibri" w:hAnsi="Calibri" w:eastAsia="Source Han Sans SC"/>
          <w:sz w:val="22"/>
        </w:rPr>
        <w:t>用于刷新股价、市值和 PE。</w:t>
      </w:r>
    </w:p>
    <w:p>
      <w:hyperlink r:id="rId25">
        <w:r>
          <w:rPr>
            <w:rFonts w:ascii="Calibri" w:hAnsi="Calibri" w:eastAsia="Source Han Sans SC"/>
            <w:color w:val="2E74B5"/>
            <w:u w:val="single"/>
            <w:sz w:val="19"/>
          </w:rPr>
          <w:t>https://finance.yahoo.com/quote/SEB/</w:t>
        </w:r>
      </w:hyperlink>
    </w:p>
    <w:p>
      <w:pPr>
        <w:keepNext/>
      </w:pPr>
      <w:bookmarkStart w:id="910380" w:name="s16"/>
      <w:r>
        <w:rPr>
          <w:rFonts w:ascii="Calibri" w:hAnsi="Calibri" w:eastAsia="Source Han Sans SC"/>
          <w:b/>
          <w:sz w:val="22"/>
        </w:rPr>
        <w:t>[S16] Tyson Foods 行情页面</w:t>
      </w:r>
      <w:bookmarkEnd w:id="910380"/>
    </w:p>
    <w:p>
      <w:r>
        <w:rPr>
          <w:rFonts w:ascii="Calibri" w:hAnsi="Calibri" w:eastAsia="Source Han Sans SC"/>
          <w:sz w:val="22"/>
        </w:rPr>
        <w:t>用于刷新股价、市值和 PE。</w:t>
      </w:r>
    </w:p>
    <w:p>
      <w:hyperlink r:id="rId26">
        <w:r>
          <w:rPr>
            <w:rFonts w:ascii="Calibri" w:hAnsi="Calibri" w:eastAsia="Source Han Sans SC"/>
            <w:color w:val="2E74B5"/>
            <w:u w:val="single"/>
            <w:sz w:val="19"/>
          </w:rPr>
          <w:t>https://finance.yahoo.com/quote/TSN/</w:t>
        </w:r>
      </w:hyperlink>
    </w:p>
    <w:p>
      <w:pPr>
        <w:keepNext/>
      </w:pPr>
      <w:bookmarkStart w:id="398879" w:name="s17"/>
      <w:r>
        <w:rPr>
          <w:rFonts w:ascii="Calibri" w:hAnsi="Calibri" w:eastAsia="Source Han Sans SC"/>
          <w:b/>
          <w:sz w:val="22"/>
        </w:rPr>
        <w:t>[S17] Smithfield Foods 2025 财年业绩</w:t>
      </w:r>
      <w:bookmarkEnd w:id="398879"/>
    </w:p>
    <w:p>
      <w:r>
        <w:rPr>
          <w:rFonts w:ascii="Calibri" w:hAnsi="Calibri" w:eastAsia="Source Han Sans SC"/>
          <w:sz w:val="22"/>
        </w:rPr>
        <w:t>包装肉和猪肉业务盈利结构。</w:t>
      </w:r>
    </w:p>
    <w:p>
      <w:hyperlink r:id="rId27">
        <w:r>
          <w:rPr>
            <w:rFonts w:ascii="Calibri" w:hAnsi="Calibri" w:eastAsia="Source Han Sans SC"/>
            <w:color w:val="2E74B5"/>
            <w:u w:val="single"/>
            <w:sz w:val="19"/>
          </w:rPr>
          <w:t>https://investors.smithfieldfoods.com/news-events/press-releases/detail/1434/smithfield-foods-reports-record-fiscal-2025-results</w:t>
        </w:r>
      </w:hyperlink>
    </w:p>
    <w:p>
      <w:pPr>
        <w:keepNext/>
      </w:pPr>
      <w:bookmarkStart w:id="514156" w:name="s18"/>
      <w:r>
        <w:rPr>
          <w:rFonts w:ascii="Calibri" w:hAnsi="Calibri" w:eastAsia="Source Han Sans SC"/>
          <w:b/>
          <w:sz w:val="22"/>
        </w:rPr>
        <w:t>[S18] 2019 年温氏股份券商研究报告</w:t>
      </w:r>
      <w:bookmarkEnd w:id="514156"/>
    </w:p>
    <w:p>
      <w:r>
        <w:rPr>
          <w:rFonts w:ascii="Calibri" w:hAnsi="Calibri" w:eastAsia="Source Han Sans SC"/>
          <w:sz w:val="22"/>
        </w:rPr>
        <w:t>采用 2020 年预计利润约 13 倍 PE 的历史案例。</w:t>
      </w:r>
    </w:p>
    <w:p>
      <w:hyperlink r:id="rId28">
        <w:r>
          <w:rPr>
            <w:rFonts w:ascii="Calibri" w:hAnsi="Calibri" w:eastAsia="Source Han Sans SC"/>
            <w:color w:val="2E74B5"/>
            <w:u w:val="single"/>
            <w:sz w:val="19"/>
          </w:rPr>
          <w:t>https://img3.gelonghui.com/pdf/cb6b1-ad23ee33-8113-43f2-9795-e319272bb79e.pdf</w:t>
        </w:r>
      </w:hyperlink>
    </w:p>
    <w:p>
      <w:pPr>
        <w:keepNext/>
      </w:pPr>
      <w:bookmarkStart w:id="251195" w:name="s19"/>
      <w:r>
        <w:rPr>
          <w:rFonts w:ascii="Calibri" w:hAnsi="Calibri" w:eastAsia="Source Han Sans SC"/>
          <w:b/>
          <w:sz w:val="22"/>
        </w:rPr>
        <w:t>[S19] 2024 年温氏股份券商研究报告</w:t>
      </w:r>
      <w:bookmarkEnd w:id="251195"/>
    </w:p>
    <w:p>
      <w:r>
        <w:rPr>
          <w:rFonts w:ascii="Calibri" w:hAnsi="Calibri" w:eastAsia="Source Han Sans SC"/>
          <w:sz w:val="22"/>
        </w:rPr>
        <w:t>对 2025 年利润预测对应约 8 倍 PE 的案例。</w:t>
      </w:r>
    </w:p>
    <w:p>
      <w:hyperlink r:id="rId29">
        <w:r>
          <w:rPr>
            <w:rFonts w:ascii="Calibri" w:hAnsi="Calibri" w:eastAsia="Source Han Sans SC"/>
            <w:color w:val="2E74B5"/>
            <w:u w:val="single"/>
            <w:sz w:val="19"/>
          </w:rPr>
          <w:t>https://pdf.dfcfw.com/pdf/H3_AP202410241640449138_1.pdf</w:t>
        </w:r>
      </w:hyperlink>
    </w:p>
    <w:p>
      <w:pPr>
        <w:keepNext/>
      </w:pPr>
      <w:bookmarkStart w:id="329644" w:name="s20"/>
      <w:r>
        <w:rPr>
          <w:rFonts w:ascii="Calibri" w:hAnsi="Calibri" w:eastAsia="Source Han Sans SC"/>
          <w:b/>
          <w:sz w:val="22"/>
        </w:rPr>
        <w:t>[S20] 温氏股份投资者关系与历年资料</w:t>
      </w:r>
      <w:bookmarkEnd w:id="329644"/>
    </w:p>
    <w:p>
      <w:r>
        <w:rPr>
          <w:rFonts w:ascii="Calibri" w:hAnsi="Calibri" w:eastAsia="Source Han Sans SC"/>
          <w:sz w:val="22"/>
        </w:rPr>
        <w:t>正式计算历史 PE 时用于查找公告和年度报告。</w:t>
      </w:r>
    </w:p>
    <w:p>
      <w:hyperlink r:id="rId30">
        <w:r>
          <w:rPr>
            <w:rFonts w:ascii="Calibri" w:hAnsi="Calibri" w:eastAsia="Source Han Sans SC"/>
            <w:color w:val="2E74B5"/>
            <w:u w:val="single"/>
            <w:sz w:val="19"/>
          </w:rPr>
          <w:t>https://www.wens.com.cn/Investor/index.aspx</w:t>
        </w:r>
      </w:hyperlink>
    </w:p>
    <w:p>
      <w:pPr>
        <w:keepNext/>
      </w:pPr>
      <w:bookmarkStart w:id="468637" w:name="s21"/>
      <w:r>
        <w:rPr>
          <w:rFonts w:ascii="Calibri" w:hAnsi="Calibri" w:eastAsia="Source Han Sans SC"/>
          <w:b/>
          <w:sz w:val="22"/>
        </w:rPr>
        <w:t>[S21] Smithfield Foods 投资者关系与财务报告中心</w:t>
      </w:r>
      <w:bookmarkEnd w:id="468637"/>
    </w:p>
    <w:p>
      <w:hyperlink r:id="rId31">
        <w:r>
          <w:rPr>
            <w:rFonts w:ascii="Calibri" w:hAnsi="Calibri" w:eastAsia="Source Han Sans SC"/>
            <w:color w:val="2E74B5"/>
            <w:u w:val="single"/>
            <w:sz w:val="19"/>
          </w:rPr>
          <w:t>https://investors.smithfieldfoods.com/financial-results</w:t>
        </w:r>
      </w:hyperlink>
    </w:p>
    <w:p>
      <w:pPr>
        <w:keepNext/>
      </w:pPr>
      <w:bookmarkStart w:id="54229" w:name="s22"/>
      <w:r>
        <w:rPr>
          <w:rFonts w:ascii="Calibri" w:hAnsi="Calibri" w:eastAsia="Source Han Sans SC"/>
          <w:b/>
          <w:sz w:val="22"/>
        </w:rPr>
        <w:t>[S22] Seaboard Corporation 官网与 SEC 文件入口</w:t>
      </w:r>
      <w:bookmarkEnd w:id="54229"/>
    </w:p>
    <w:p>
      <w:hyperlink r:id="rId32">
        <w:r>
          <w:rPr>
            <w:rFonts w:ascii="Calibri" w:hAnsi="Calibri" w:eastAsia="Source Han Sans SC"/>
            <w:color w:val="2E74B5"/>
            <w:u w:val="single"/>
            <w:sz w:val="19"/>
          </w:rPr>
          <w:t>https://www.seaboardcorp.com/</w:t>
        </w:r>
      </w:hyperlink>
    </w:p>
    <w:p>
      <w:hyperlink r:id="rId33">
        <w:r>
          <w:rPr>
            <w:rFonts w:ascii="Calibri" w:hAnsi="Calibri" w:eastAsia="Source Han Sans SC"/>
            <w:color w:val="2E74B5"/>
            <w:u w:val="single"/>
            <w:sz w:val="19"/>
          </w:rPr>
          <w:t>https://www.sec.gov/cgi-bin/browse-edgar?action=getcompany&amp;CIK=0000088121</w:t>
        </w:r>
      </w:hyperlink>
    </w:p>
    <w:p>
      <w:pPr>
        <w:keepNext/>
      </w:pPr>
      <w:bookmarkStart w:id="378077" w:name="s23"/>
      <w:r>
        <w:rPr>
          <w:rFonts w:ascii="Calibri" w:hAnsi="Calibri" w:eastAsia="Source Han Sans SC"/>
          <w:b/>
          <w:sz w:val="22"/>
        </w:rPr>
        <w:t>[S23] JBS 投资者关系中心</w:t>
      </w:r>
      <w:bookmarkEnd w:id="378077"/>
    </w:p>
    <w:p>
      <w:hyperlink r:id="rId34">
        <w:r>
          <w:rPr>
            <w:rFonts w:ascii="Calibri" w:hAnsi="Calibri" w:eastAsia="Source Han Sans SC"/>
            <w:color w:val="2E74B5"/>
            <w:u w:val="single"/>
            <w:sz w:val="19"/>
          </w:rPr>
          <w:t>https://ir.jbsglobal.com/</w:t>
        </w:r>
      </w:hyperlink>
    </w:p>
    <w:p>
      <w:pPr>
        <w:pStyle w:val="Heading2"/>
      </w:pPr>
      <w:bookmarkStart w:id="499696" w:name="disclaimer"/>
      <w:r>
        <w:rPr>
          <w:rFonts w:ascii="Calibri" w:hAnsi="Calibri" w:eastAsia="Source Han Sans SC"/>
          <w:b/>
          <w:color w:val="2E74B5"/>
          <w:sz w:val="26"/>
        </w:rPr>
        <w:t>免责声明</w:t>
      </w:r>
      <w:bookmarkEnd w:id="499696"/>
    </w:p>
    <w:p>
      <w:r>
        <w:rPr>
          <w:rFonts w:ascii="Calibri" w:hAnsi="Calibri" w:eastAsia="Source Han Sans SC"/>
          <w:sz w:val="22"/>
        </w:rPr>
        <w:t>本文依据公开资料和明确列示的模型假设进行分析。猪价、饲料价格、成本、出栏量、股本、政策和市场估值会持续变化，文中情景结果不构成公司盈利预测或证券投资建议。正式使用前，应使用最新公司公告、政府数据和市场行情进行更新。</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Source Han Sans SC"/>
        <w:color w:val="7B838C"/>
        <w:sz w:val="17"/>
      </w:rPr>
      <w:t xml:space="preserve">仅供研究交流  |  第 </w:t>
    </w:r>
    <w:r>
      <w:fldChar w:fldCharType="begin"/>
      <w:instrText xml:space="preserve">PAGE</w:instrText>
      <w:fldChar w:fldCharType="separate"/>
      <w:t>1</w:t>
    </w:r>
    <w:r>
      <w:fldChar w:fldCharType="end"/>
    </w:r>
    <w:r>
      <w:rPr>
        <w:rFonts w:ascii="Calibri" w:hAnsi="Calibri" w:eastAsia="Source Han Sans SC"/>
        <w:color w:val="7B838C"/>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Calibri" w:hAnsi="Calibri" w:eastAsia="Source Han Sans SC"/>
        <w:color w:val="7B838C"/>
        <w:sz w:val="17"/>
      </w:rPr>
      <w:t>牧原股份长期盈利能力与周期估值研究</w:t>
    </w:r>
    <w:r>
      <w:rPr>
        <w:rFonts w:ascii="Calibri" w:hAnsi="Calibri" w:eastAsia="Source Han Sans SC"/>
        <w:color w:val="7B838C"/>
        <w:sz w:val="17"/>
      </w:rPr>
      <w:t xml:space="preserve">    研究报告 · 2026-07-17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Calibri" w:hAnsi="Calibri" w:eastAsia="Source Han Sans SC"/>
      </w:r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rPr>
        <w:rFonts w:ascii="Calibri" w:hAnsi="Calibri" w:eastAsia="Source Han Sans SC"/>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Source Han Sans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Source Han Sans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Source Han Sans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Source Han Sans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tic.cninfo.com.cn/finalpage/2026-03-28/1225042506.PDF" TargetMode="External"/><Relationship Id="rId12" Type="http://schemas.openxmlformats.org/officeDocument/2006/relationships/hyperlink" Target="https://static.cninfo.com.cn/finalpage/2026-01-16/1224936121.PDF" TargetMode="External"/><Relationship Id="rId13" Type="http://schemas.openxmlformats.org/officeDocument/2006/relationships/hyperlink" Target="https://q.stock.sohu.com/cn/002714/index.shtml" TargetMode="External"/><Relationship Id="rId14" Type="http://schemas.openxmlformats.org/officeDocument/2006/relationships/hyperlink" Target="https://vip.stock.finance.sina.com.cn/corp/view/vCB_AllBulletin.php?stockid=002714" TargetMode="External"/><Relationship Id="rId15" Type="http://schemas.openxmlformats.org/officeDocument/2006/relationships/hyperlink" Target="https://www.stats.gov.cn/sj/sjjd/202601/t20260119_1962332.html" TargetMode="External"/><Relationship Id="rId16" Type="http://schemas.openxmlformats.org/officeDocument/2006/relationships/hyperlink" Target="https://www.hunan.gov.cn/zqt/zcsd/202605/t20260518_33979020.html" TargetMode="External"/><Relationship Id="rId17" Type="http://schemas.openxmlformats.org/officeDocument/2006/relationships/hyperlink" Target="https://finance.sina.com.cn/wm/2026-03-18/doc-inhrmtwa4563402.shtml" TargetMode="External"/><Relationship Id="rId18" Type="http://schemas.openxmlformats.org/officeDocument/2006/relationships/hyperlink" Target="https://static.cninfo.com.cn/finalpage/2026-07-07/1225411958.PDF" TargetMode="External"/><Relationship Id="rId19" Type="http://schemas.openxmlformats.org/officeDocument/2006/relationships/hyperlink" Target="https://www.cfachina.org/servicesupport/analygarden/ncpl/sz1/202311/P020231114557648449407.pdf" TargetMode="External"/><Relationship Id="rId20" Type="http://schemas.openxmlformats.org/officeDocument/2006/relationships/hyperlink" Target="https://www.stcn.com/article/detail/3910198.html" TargetMode="External"/><Relationship Id="rId21" Type="http://schemas.openxmlformats.org/officeDocument/2006/relationships/hyperlink" Target="https://xm.shandong.gov.cn/art/2025/7/28/art_101456_10346429.html" TargetMode="External"/><Relationship Id="rId22" Type="http://schemas.openxmlformats.org/officeDocument/2006/relationships/hyperlink" Target="https://xm.shandong.gov.cn/art/2026/1/15/art_101456_10350225.html" TargetMode="External"/><Relationship Id="rId23" Type="http://schemas.openxmlformats.org/officeDocument/2006/relationships/hyperlink" Target="https://www.stcn.com/article/detail/3976918.html" TargetMode="External"/><Relationship Id="rId24" Type="http://schemas.openxmlformats.org/officeDocument/2006/relationships/hyperlink" Target="https://finance.yahoo.com/quote/SFD/" TargetMode="External"/><Relationship Id="rId25" Type="http://schemas.openxmlformats.org/officeDocument/2006/relationships/hyperlink" Target="https://finance.yahoo.com/quote/SEB/" TargetMode="External"/><Relationship Id="rId26" Type="http://schemas.openxmlformats.org/officeDocument/2006/relationships/hyperlink" Target="https://finance.yahoo.com/quote/TSN/" TargetMode="External"/><Relationship Id="rId27" Type="http://schemas.openxmlformats.org/officeDocument/2006/relationships/hyperlink" Target="https://investors.smithfieldfoods.com/news-events/press-releases/detail/1434/smithfield-foods-reports-record-fiscal-2025-results" TargetMode="External"/><Relationship Id="rId28" Type="http://schemas.openxmlformats.org/officeDocument/2006/relationships/hyperlink" Target="https://img3.gelonghui.com/pdf/cb6b1-ad23ee33-8113-43f2-9795-e319272bb79e.pdf" TargetMode="External"/><Relationship Id="rId29" Type="http://schemas.openxmlformats.org/officeDocument/2006/relationships/hyperlink" Target="https://pdf.dfcfw.com/pdf/H3_AP202410241640449138_1.pdf" TargetMode="External"/><Relationship Id="rId30" Type="http://schemas.openxmlformats.org/officeDocument/2006/relationships/hyperlink" Target="https://www.wens.com.cn/Investor/index.aspx" TargetMode="External"/><Relationship Id="rId31" Type="http://schemas.openxmlformats.org/officeDocument/2006/relationships/hyperlink" Target="https://investors.smithfieldfoods.com/financial-results" TargetMode="External"/><Relationship Id="rId32" Type="http://schemas.openxmlformats.org/officeDocument/2006/relationships/hyperlink" Target="https://www.seaboardcorp.com/" TargetMode="External"/><Relationship Id="rId33" Type="http://schemas.openxmlformats.org/officeDocument/2006/relationships/hyperlink" Target="https://www.sec.gov/cgi-bin/browse-edgar?action=getcompany&amp;CIK=0000088121" TargetMode="External"/><Relationship Id="rId34" Type="http://schemas.openxmlformats.org/officeDocument/2006/relationships/hyperlink" Target="https://ir.jbsglob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牧原股份长期盈利能力与周期估值研究</dc:title>
  <dc:subject>生猪边际成本、产能周期与情景估值</dc:subject>
  <dc:creator/>
  <cp:keywords>牧原股份, 生猪周期, 边际成本, 情景估值</cp:keywords>
  <dc:description>依据公开资料与模型假设整理，不构成投资建议。</dc:description>
  <cp:lastModifiedBy/>
  <cp:revision>1</cp:revision>
  <dcterms:created xsi:type="dcterms:W3CDTF">2013-12-23T23:15:00Z</dcterms:created>
  <dcterms:modified xsi:type="dcterms:W3CDTF">2013-12-23T23:15:00Z</dcterms:modified>
  <cp:category/>
</cp:coreProperties>
</file>