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猪周期 生产效率与牧原股份内在价值</w:t>
      </w:r>
    </w:p>
    <w:p>
      <w:pPr>
        <w:pStyle w:val="Subtitle"/>
      </w:pPr>
      <w:r>
        <w:t>完整逐页口播讲稿</w:t>
      </w:r>
    </w:p>
    <w:p>
      <w:r>
        <w:t>本讲稿与57页PPT逐页对应，前49页为主讲，后8页为查阅附录。第1—26页为猪周期行业篇，约28—29分钟；第27—49页为牧原案例篇，约28—29分钟。行业篇以独立结尾收束，企业篇有独立开场，可在第26页结束后直接剪开。全片按每分钟约285汉字并加图表停顿，预计约57分钟。资料冻结日为2026年10月24日，估值折现基准为2026年末。</w:t>
      </w:r>
    </w:p>
    <w:p>
      <w:pPr>
        <w:pStyle w:val="Heading1"/>
      </w:pPr>
      <w:r>
        <w:t>录制说明</w:t>
      </w:r>
    </w:p>
    <w:p>
      <w:r>
        <w:t>PPT备注页已写入同一口播文本。时间轴为建议安排，来源和演示提示不必朗读。第2页为生猪养殖成本科普。附录供查阅，不计入主讲。</w:t>
      </w:r>
    </w:p>
    <w:p>
      <w:r>
        <w:t>剪辑说明：第26页为行业篇完整结尾，第27页为企业篇独立开场。分别录制两段，分界留2—3秒静音。行业篇封面不含个股名称，企业篇可单独更换封面、标题和描述。附录不计口播时长。</w:t>
      </w:r>
    </w:p>
    <w:p>
      <w:pPr>
        <w:pStyle w:val="Heading1"/>
      </w:pPr>
      <w:r>
        <w:t>时间安排</w:t>
      </w:r>
    </w:p>
    <w:p>
      <w:r>
        <w:t>00至28分26秒 猪周期行业篇</w:t>
        <w:br/>
        <w:t>28分26秒至57分钟 牧原经营与估值案例</w:t>
        <w:br/>
        <w:t>约28:26 第26页结束后为推荐剪辑点</w:t>
      </w:r>
    </w:p>
    <w:p>
      <w:r>
        <w:br w:type="page"/>
      </w:r>
    </w:p>
    <w:p>
      <w:pPr>
        <w:pStyle w:val="Heading1"/>
      </w:pPr>
      <w:r>
        <w:t>第01页 猪周期  成本 产能与价格</w:t>
      </w:r>
    </w:p>
    <w:p>
      <w:pPr>
        <w:keepNext/>
        <w:spacing w:after="120"/>
      </w:pPr>
      <w:r>
        <w:t>建议时间 00:00 至 01:01</w:t>
      </w:r>
    </w:p>
    <w:p>
      <w:r>
        <w:t>大家好。上一期我们认识了养猪的生产过程、成本差异和周期机制。这一期继续回答一个问题：知道母猪在减少以后，怎样一步一步得到可以复查的价格判断？</w:t>
      </w:r>
    </w:p>
    <w:p>
      <w:r>
        <w:t>我们仍然从一头一百二十公斤的商品猪出发。先把成本算清楚，解释不同成本的经营者为什么会继续生产或退出；再将母猪变化转换成经过时滞的有效公斤供给；最后说明这些供给条件如何分别进入历史映射和需求函数，形成价格结果。每一步得到的结果，都会继续用于下一步。</w:t>
      </w:r>
    </w:p>
    <w:p>
      <w:r>
        <w:t>行业篇独立收尾。之后的企业案例再把价格、销量和成本转为利润，先完整计算一组高位PE演算，再比较跨周期现金流。资料冻结在二〇二六年十月二十四日，未来数据均按条件情景解释。</w:t>
      </w:r>
    </w:p>
    <w:p>
      <w:pPr>
        <w:spacing w:after="200"/>
      </w:pPr>
      <w:r>
        <w:rPr>
          <w:sz w:val="18"/>
        </w:rPr>
        <w:t>来源 报告摘要、§1</w:t>
        <w:br/>
        <w:t>数据与假设依据（不朗读） 2026-10-24为本次冻结日；2027为情景年份，不是已经发生的经营结果。</w:t>
      </w:r>
    </w:p>
    <w:p>
      <w:r>
        <w:rPr>
          <w:sz w:val="18"/>
        </w:rPr>
        <w:t>录制提示：本页预留约8秒供图表阅读或操作。</w:t>
      </w:r>
    </w:p>
    <w:p>
      <w:pPr>
        <w:pStyle w:val="Heading1"/>
      </w:pPr>
      <w:r>
        <w:t>第02页 生猪养殖成本科普 一头120公斤猪的钱花在哪里</w:t>
      </w:r>
    </w:p>
    <w:p>
      <w:pPr>
        <w:keepNext/>
        <w:spacing w:after="120"/>
      </w:pPr>
      <w:r>
        <w:t>建议时间 01:01 至 02:19</w:t>
      </w:r>
    </w:p>
    <w:p>
      <w:r>
        <w:t>先用最直观的一页认识养猪成本。这里采用源报告中的神农集团二〇二五年上半年披露，将六项每公斤成本统一乘以一百二十公斤。得到的示例是，一头商品猪完全成本一千四百八十八元。</w:t>
      </w:r>
    </w:p>
    <w:p>
      <w:r>
        <w:t>最大一项是饲料，每头八百零四元，约占百分之五十四。第二项是仔猪，三百四十八元，约占百分之二十三。其余包括防疫用药等动保、人工、折旧和总部费用。这里的仔猪成本是繁育阶段转入后续养殖的成本，已经归集了母猪饲料、繁育人工及相关折旧，所以不能再把养母猪的同一笔费用额外加一遍。</w:t>
      </w:r>
    </w:p>
    <w:p>
      <w:r>
        <w:t>假如销售价格为每公斤十四元，一百二十公斤收入是一千六百八十元，与这个示例完全成本相减，每头差额一百九十二元。这只是这一成本账户的价差演示，尚需匹配税费、归属、死亡风险及现金投入。尤其注意，十二点四属于这家公司和这一时期，不能直接代表其他企业，更不能当全国养殖户都相同的成本。</w:t>
      </w:r>
    </w:p>
    <w:p>
      <w:pPr>
        <w:spacing w:after="200"/>
      </w:pPr>
      <w:r>
        <w:rPr>
          <w:sz w:val="18"/>
        </w:rPr>
        <w:t>来源 报告§3.1；参考[1]—[5]</w:t>
        <w:br/>
        <w:t>数据与假设依据（不朗读） 神农2025H1成本结构见报告§3.1、参考[1]—[5]；2.9/6.7/0.3/1.5/0.2/0.8元每公斤为披露账户，元每头=各项×假设120kg。饲料/仔猪占比由总额12.4计算。</w:t>
      </w:r>
    </w:p>
    <w:p>
      <w:r>
        <w:rPr>
          <w:sz w:val="18"/>
        </w:rPr>
        <w:t>录制提示：本页预留约10秒供图表阅读或操作。</w:t>
      </w:r>
    </w:p>
    <w:p>
      <w:pPr>
        <w:pStyle w:val="Heading1"/>
      </w:pPr>
      <w:r>
        <w:t>第03页 先看全图 低价怎样变成下一轮高价</w:t>
      </w:r>
    </w:p>
    <w:p>
      <w:pPr>
        <w:keepNext/>
        <w:spacing w:after="120"/>
      </w:pPr>
      <w:r>
        <w:t>建议时间 02:19 至 03:11</w:t>
      </w:r>
    </w:p>
    <w:p>
      <w:r>
        <w:t>先把整期的因果关系放到同一张图里。猪价下降，先影响经营者的利润和现金，而后才可能改变补栏与母猪淘汰。生产决策发生变化后，还要经过繁育和育肥，才能影响未来可出售的商品猪。供应与需求重新匹配，价格和盈利又会改变。盈利改善还可能刺激补栏扩产，经过时滞增供后，价格重新承压，周期由此闭合。</w:t>
      </w:r>
    </w:p>
    <w:p>
      <w:r>
        <w:t>这是一条带有时间差的反馈链。每个环节都可能受到修正：现金充足的经营者可以等待，转手的猪场也可能继续生产；母猪减少可能被效率和体重抵消，需求与库存还会改变价格反应。因此，不能把母猪下降直接翻译成固定幅度涨价。</w:t>
      </w:r>
    </w:p>
    <w:p>
      <w:r>
        <w:t>接下来先从成本开始，因为不清楚养殖者要付哪些钱，就无法判断低价为什么会改变生产行为。</w:t>
      </w:r>
    </w:p>
    <w:p>
      <w:pPr>
        <w:spacing w:after="200"/>
      </w:pPr>
      <w:r>
        <w:rPr>
          <w:sz w:val="18"/>
        </w:rPr>
        <w:t>来源 结构参考：上一期PPT第15—24页；本报告§3—§7</w:t>
        <w:br/>
        <w:t>数据与假设依据（不朗读） 定性反馈关系，无行业概率或数量预测。参考上一期PPT第15—24页，以及本报告§3—§7。</w:t>
      </w:r>
    </w:p>
    <w:p>
      <w:r>
        <w:rPr>
          <w:sz w:val="18"/>
        </w:rPr>
        <w:t>录制提示：本页预留约4秒供图表阅读或操作。</w:t>
      </w:r>
    </w:p>
    <w:p>
      <w:pPr>
        <w:pStyle w:val="Heading1"/>
      </w:pPr>
      <w:r>
        <w:t>第04页 完全成本与现金支出</w:t>
      </w:r>
    </w:p>
    <w:p>
      <w:pPr>
        <w:keepNext/>
        <w:spacing w:after="120"/>
      </w:pPr>
      <w:r>
        <w:t>建议时间 03:11 至 04:19</w:t>
      </w:r>
    </w:p>
    <w:p>
      <w:r>
        <w:t>前面科普页列出了六项成本，现在进一步讲成本边界。生产成本通常聚焦养殖过程，完全成本再按披露范围纳入相应期间费用，经济成本还会考虑家庭劳动与自有资本的机会回报。</w:t>
      </w:r>
    </w:p>
    <w:p>
      <w:r>
        <w:t>现金成本则要从实际付现和现金流范围还原，不能只做完全成本减折旧。以神农模板为例，直接列示折旧只有零点二元，但繁育阶段的折旧可能随仔猪成本转入，代养服务费中也可能包含农户资产使用补偿。因此，十二点四减零点二得到十二点二，只说明剔除了这一列示项目。</w:t>
      </w:r>
    </w:p>
    <w:p>
      <w:r>
        <w:t>这一区分影响主体退出。售价低于完全成本时，只要还能覆盖付现支出，继续养可能比闲置少亏。但若长期赚不到资金和劳动的机会回报，主体可能不再追加投入。现金已经不足时，甚至即使看好未来也可能被迫退出。不同成本概念对应不同决策，后面的资本约束就从这里开始。</w:t>
      </w:r>
    </w:p>
    <w:p>
      <w:pPr>
        <w:spacing w:after="200"/>
      </w:pPr>
      <w:r>
        <w:rPr>
          <w:sz w:val="18"/>
        </w:rPr>
        <w:t>来源 报告§3.1、§3.5；参考[1]—[5]</w:t>
        <w:br/>
        <w:t>数据与假设依据（不朗读） 12.4与直接折旧0.2来自神农披露结构；12.2仅为两项相减，不是完整现金成本。</w:t>
      </w:r>
    </w:p>
    <w:p>
      <w:r>
        <w:rPr>
          <w:sz w:val="18"/>
        </w:rPr>
        <w:t>录制提示：本页预留约5秒供图表阅读或操作。</w:t>
      </w:r>
    </w:p>
    <w:p>
      <w:pPr>
        <w:pStyle w:val="Heading1"/>
      </w:pPr>
      <w:r>
        <w:t>第05页 地区调查说明成本量级 尚不能给全国边际成本</w:t>
      </w:r>
    </w:p>
    <w:p>
      <w:pPr>
        <w:keepNext/>
        <w:spacing w:after="120"/>
      </w:pPr>
      <w:r>
        <w:t>建议时间 04:19 至 05:27</w:t>
      </w:r>
    </w:p>
    <w:p>
      <w:r>
        <w:t>我们再看官方调查。浙江不同月份的单位饲养成本大约处在十四点八到十五点八元，沈阳调查约十五点三六元，山东二季度规模场监测为十二点七四元。这些数据支持现实中存在明显成本差异。</w:t>
      </w:r>
    </w:p>
    <w:p>
      <w:r>
        <w:t>但是，不能直接把这些地区均值从低到高排成全国成本分位。样本的地区、饲料价格、仔猪采购时点、场户规模和费用范围不同，出栏重量也不同。浙江二〇二六年四月每头二千一百一十一点三五元，除以一百四十二点二四公斤得到十四点八四三六元。再乘一百二十只是等比例展示金额。</w:t>
      </w:r>
    </w:p>
    <w:p>
      <w:r>
        <w:t>如果真的提前到一百二十公斤出栏，饲养天数、后段料肉比、死亡风险和固定成本摊销都可能改变，不能用等比例金额替代那个反事实。调查能约束成本量级，全国哪些档位的产能仍然不可替代，则还需要各档的供给权重。</w:t>
      </w:r>
    </w:p>
    <w:p>
      <w:pPr>
        <w:spacing w:after="200"/>
      </w:pPr>
      <w:r>
        <w:rPr>
          <w:sz w:val="18"/>
        </w:rPr>
        <w:t>来源 报告§3.2；参考[6]—[10]</w:t>
        <w:br/>
        <w:t>数据与假设依据（不朗读） 按图中地区与原期间匹配，调查公斤成本见报告§3.2、参考[6]—[10]；原重量141.68/141.10/142.24/138.97/125.24kg。调查范围不同，未折算为统一全国效率分位。</w:t>
      </w:r>
    </w:p>
    <w:p>
      <w:r>
        <w:rPr>
          <w:sz w:val="18"/>
        </w:rPr>
        <w:t>录制提示：本页预留约8秒供图表阅读或操作。</w:t>
      </w:r>
    </w:p>
    <w:p>
      <w:pPr>
        <w:pStyle w:val="Heading1"/>
      </w:pPr>
      <w:r>
        <w:t>第06页 山东标准化预算与实际监测</w:t>
      </w:r>
    </w:p>
    <w:p>
      <w:pPr>
        <w:keepNext/>
        <w:spacing w:after="120"/>
      </w:pPr>
      <w:r>
        <w:t>建议时间 05:27 至 06:33</w:t>
      </w:r>
    </w:p>
    <w:p>
      <w:r>
        <w:t>山东材料同时提供标准化预算与实际监测，二者要分开读。标准化到一百二十公斤，自繁自育合计一千四百五十五元，外购仔猪一千三百七十元。除以一百二十，分别是十二点一二五和十一点四一六七元。</w:t>
      </w:r>
    </w:p>
    <w:p>
      <w:r>
        <w:t>原材料再加百分之三，得到十二点四九和十一点七六。这里的百分之三要按原文调整项理解，不能自动当股东要求回报，更不能再重复计成另一项已含费用。与此同时，实际规模场监测使用一百二十五点二四公斤，单位成本十二点七四元。</w:t>
      </w:r>
    </w:p>
    <w:p>
      <w:r>
        <w:t>外购仔猪在这一期更便宜，也不意味着外购模式永远优于自繁。源材料中二〇二五年一季度、三季度的预算排序相反。仔猪价格吸收了对未来猪价和育肥利润的预期。比较技术效率时，应该控制仔猪采购时点与价格，否则会把阶段性的采购优势误认为永久生产优势。</w:t>
      </w:r>
    </w:p>
    <w:p>
      <w:pPr>
        <w:spacing w:after="200"/>
      </w:pPr>
      <w:r>
        <w:rPr>
          <w:sz w:val="18"/>
        </w:rPr>
        <w:t>来源 报告§3.3；参考[10]—[12]</w:t>
        <w:br/>
        <w:t>数据与假设依据（不朗读） 山东2026Q2标准化120kg为原材料预算，不是实际出栏；280/230、900等输入及3%为原文预算口径，合计及除120为换算。实际监测125.24kg、12.74元/kg另列。报告§3.3、参考[10]—[12]。</w:t>
      </w:r>
    </w:p>
    <w:p>
      <w:r>
        <w:rPr>
          <w:sz w:val="18"/>
        </w:rPr>
        <w:t>录制提示：本页预留约5秒供图表阅读或操作。</w:t>
      </w:r>
    </w:p>
    <w:p>
      <w:pPr>
        <w:pStyle w:val="Heading1"/>
      </w:pPr>
      <w:r>
        <w:t>第07页 生产效率怎样改变成本</w:t>
      </w:r>
    </w:p>
    <w:p>
      <w:pPr>
        <w:keepNext/>
        <w:spacing w:after="120"/>
      </w:pPr>
      <w:r>
        <w:t>建议时间 06:33 至 07:39</w:t>
      </w:r>
    </w:p>
    <w:p>
      <w:r>
        <w:t>这张图用五组技术参数展示成本怎样形成。效率较高的组合A约十一点八三元，校准组合B为十二点四元，组合E约十七点五八元。它们同时改变了PSY、料肉比、成活率、利用率，以及人工和饲养天数等条件。</w:t>
      </w:r>
    </w:p>
    <w:p>
      <w:r>
        <w:t>PSY主要影响繁育成本的相关部分，料肉比影响饲料，利用率影响固定摊销。模型还假设死亡猪平均消耗正常饲料的一半。这些比例是为了拆解机制而设定，尚未经过全国代表性样本估计。</w:t>
      </w:r>
    </w:p>
    <w:p>
      <w:r>
        <w:t>尤其注意料肉比的定义。生物料肉比若没有包含死亡耗料，可以另算相应损失；经济料肉比若已经包含死淘耗料，再乘一次死亡调整就会重复计价。图中A到E也不代表前百分之十到后百分之十。要把它们变成全国供给曲线，还需要同一期间、同一成本边界，以及按有效商品猪公斤量加权的产能分布。</w:t>
      </w:r>
    </w:p>
    <w:p>
      <w:pPr>
        <w:spacing w:after="200"/>
      </w:pPr>
      <w:r>
        <w:rPr>
          <w:sz w:val="18"/>
        </w:rPr>
        <w:t>来源 报告§3.4；参考[13]</w:t>
        <w:br/>
        <w:t>数据与假设依据（不朗读） A—E为同一成本结构下技术参数组合，11.83/12.40/13.69/15.26/17.58见报告§3.4及引擎cost结果；不是全国实际成本分位。</w:t>
      </w:r>
    </w:p>
    <w:p>
      <w:r>
        <w:rPr>
          <w:sz w:val="18"/>
        </w:rPr>
        <w:t>录制提示：本页预留约8秒供图表阅读或操作。</w:t>
      </w:r>
    </w:p>
    <w:p>
      <w:pPr>
        <w:pStyle w:val="Heading1"/>
      </w:pPr>
      <w:r>
        <w:t>第08页 必要产能的成本 怎样形成正常猪价中枢</w:t>
      </w:r>
    </w:p>
    <w:p>
      <w:pPr>
        <w:keepNext/>
        <w:spacing w:after="120"/>
      </w:pPr>
      <w:r>
        <w:t>建议时间 07:39 至 08:46</w:t>
      </w:r>
    </w:p>
    <w:p>
      <w:r>
        <w:t>这里要先回答：行业价格参考谁的成本？不是最低成本经营者，也不是无论多贵都必须保留的最高成本者，而是在正常需求下，仍然需要它提供供给的那一档产能。</w:t>
      </w:r>
    </w:p>
    <w:p>
      <w:r>
        <w:t>前面的地区调查提供成本量级，却没有全国各档产能的权重，所以不能据此画出精确的全国供给曲线。本报告把这档必要产能完全成本设为十四点九元。这是参照调查后的判断，不是统计部门公布的全国边际成本。每头年销量能力再假设对应一千元权益资本，要求百分之十回报，折合每公斤零点八三三三元。相加得到十五点七三三三元。</w:t>
      </w:r>
    </w:p>
    <w:p>
      <w:r>
        <w:t>这套完全成本口径已含债务利息，额外补偿的是权益机会回报；若原调查已计同一机会成本，则要先剥离。我们得到的是正常再生产中枢。下一步的问题是：既然中枢在这里，为什么现货还能远低于或者远高于它？</w:t>
      </w:r>
    </w:p>
    <w:p>
      <w:pPr>
        <w:spacing w:after="200"/>
      </w:pPr>
      <w:r>
        <w:rPr>
          <w:sz w:val="18"/>
        </w:rPr>
        <w:t>来源 报告§5.1—§5.5</w:t>
        <w:br/>
        <w:t>数据与假设依据（不朗读） 14.9元/kg为参照地区调查后的必要产能成本判断；1000元/年销量头、10%权益回报、120kg为演示输入；0.8333=1000×10%/120，15.7333=14.9+0.8333。</w:t>
      </w:r>
    </w:p>
    <w:p>
      <w:r>
        <w:rPr>
          <w:sz w:val="18"/>
        </w:rPr>
        <w:t>录制提示：本页预留约6秒供图表阅读或操作。</w:t>
      </w:r>
    </w:p>
    <w:p>
      <w:pPr>
        <w:pStyle w:val="Heading1"/>
      </w:pPr>
      <w:r>
        <w:t>第09页 15 73元是中枢 为什么现货还能大幅偏离</w:t>
      </w:r>
    </w:p>
    <w:p>
      <w:pPr>
        <w:keepNext/>
        <w:spacing w:after="120"/>
      </w:pPr>
      <w:r>
        <w:t>建议时间 08:46 至 09:46</w:t>
      </w:r>
    </w:p>
    <w:p>
      <w:r>
        <w:t>上一页得到十五点七三元，回答的是长期维持必要产能需要怎样的价格。它并没有预测二〇二七年均价，也没有给出本轮高点。</w:t>
      </w:r>
    </w:p>
    <w:p>
      <w:r>
        <w:t>短期低于完全成本时，只要还能覆盖付现支出并获得资金，经营者可能继续养；即使有人退出，猪场也可能被别人承接，所以供应不会马上消失。反过来，当供应暂时不够时，价格上涨也不能让一头仔猪立刻长成商品猪，价格就可能高于中枢。</w:t>
      </w:r>
    </w:p>
    <w:p>
      <w:r>
        <w:t>这只能解释偏离的原因，还不能解释偏离多少。要把幅度算出来，先要判断低价究竟改变了多少产能，再扣除效率和体重的抵消，经过生产时滞得到有效供给。后面再用历史价格反应或需求函数计算。高价幅度是否有条件支持，等到价格结果出现以后再判断。</w:t>
      </w:r>
    </w:p>
    <w:p>
      <w:pPr>
        <w:spacing w:after="200"/>
      </w:pPr>
      <w:r>
        <w:rPr>
          <w:sz w:val="18"/>
        </w:rPr>
        <w:t>来源 报告修订版 主线演算</w:t>
        <w:br/>
        <w:t>数据与假设依据（不朗读） 15.73来自第8页条件计算；本页无外生20元价格预测。短期偏离幅度要接着推导。</w:t>
      </w:r>
    </w:p>
    <w:p>
      <w:r>
        <w:rPr>
          <w:sz w:val="18"/>
        </w:rPr>
        <w:t>录制提示：本页预留约5秒供图表阅读或操作。</w:t>
      </w:r>
    </w:p>
    <w:p>
      <w:pPr>
        <w:pStyle w:val="Heading1"/>
      </w:pPr>
      <w:r>
        <w:t>第10页 账面亏损 怎样才会变成供给减少</w:t>
      </w:r>
    </w:p>
    <w:p>
      <w:pPr>
        <w:keepNext/>
        <w:spacing w:after="120"/>
      </w:pPr>
      <w:r>
        <w:t>建议时间 09:46 至 10:38</w:t>
      </w:r>
    </w:p>
    <w:p>
      <w:r>
        <w:t>刚才按必要产能成本得到了正常价格中枢，又明确了全年二十元需要额外的高价假设。现在补充行业判断，先检查母猪减少能否等比例变成猪肉减少，再比较历史和需求两种价格逻辑。</w:t>
      </w:r>
    </w:p>
    <w:p>
      <w:r>
        <w:t>养殖主体也有不同退出机制。短期只要覆盖付现支出，继续生产可能比闲置少亏；长期若赚不到资金和劳动的机会回报，追加投资可能停止；现金不足时，即使看好未来也可能被迫处置资产。</w:t>
      </w:r>
    </w:p>
    <w:p>
      <w:r>
        <w:t>主体退出还不等于物理产能消失。猪场转给更高效的经营者后，供应可能保留，生产率还可能提高。因此，后面的补充分析会继续追踪母猪、MSY和出栏重量，再检验不同价格路径需要哪些条件。</w:t>
      </w:r>
    </w:p>
    <w:p>
      <w:pPr>
        <w:spacing w:after="200"/>
      </w:pPr>
      <w:r>
        <w:rPr>
          <w:sz w:val="18"/>
        </w:rPr>
        <w:t>来源 报告§3.5、§13.1</w:t>
        <w:br/>
        <w:t>数据与假设依据（不朗读） 低价、现金压力和退出是机制关系；不包含已估计的退出弹性。</w:t>
      </w:r>
    </w:p>
    <w:p>
      <w:r>
        <w:rPr>
          <w:sz w:val="18"/>
        </w:rPr>
        <w:t>录制提示：本页预留约4秒供图表阅读或操作。</w:t>
      </w:r>
    </w:p>
    <w:p>
      <w:pPr>
        <w:pStyle w:val="Heading1"/>
      </w:pPr>
      <w:r>
        <w:t>第11页 PSY MSY与母猪分母</w:t>
      </w:r>
    </w:p>
    <w:p>
      <w:pPr>
        <w:keepNext/>
        <w:spacing w:after="120"/>
      </w:pPr>
      <w:r>
        <w:t>建议时间 10:38 至 11:39</w:t>
      </w:r>
    </w:p>
    <w:p>
      <w:r>
        <w:t>PSY是每头母猪一年提供的断奶仔猪数，MSY进一步连接到商品猪销售。两者之间隔着断奶后成活、留种和商品化，还可能存在母猪分母的差异。</w:t>
      </w:r>
    </w:p>
    <w:p>
      <w:r>
        <w:t>例如某个调查只统计经产母猪，另一个数据统计全部能繁母猪，那么同一个PSY直接乘全国母猪数，可能高估产出。报告用分母桥接因子表达这种结构差异。这个因子与成活、闲置损失应各算一次，不能多处重复扣减。</w:t>
      </w:r>
    </w:p>
    <w:p>
      <w:r>
        <w:t>如果已经直接输入同口径MSY，则它替代整组PSY转换因子。网页中改变直接MSY模式下的PSY或成活参数，不应再改变该路线结果，这一点已经纳入回归检查。另外，全年出栏量是多批次流量，年末母猪是时点存量，两者相除可以粗看量级，却不能当作严格的年度母猪生产率。真正的生产率需要匹配母猪年分母和销售批次。</w:t>
      </w:r>
    </w:p>
    <w:p>
      <w:pPr>
        <w:spacing w:after="200"/>
      </w:pPr>
      <w:r>
        <w:rPr>
          <w:sz w:val="18"/>
        </w:rPr>
        <w:t>来源 报告§4.1</w:t>
        <w:br/>
        <w:t>数据与假设依据（不朗读） PSY/MSY、成活和商品化因子为口径定义。年度出栏/年末母猪仅为粗略比率，不是严格MSY观测。</w:t>
      </w:r>
    </w:p>
    <w:p>
      <w:r>
        <w:rPr>
          <w:sz w:val="18"/>
        </w:rPr>
        <w:t>录制提示：本页预留约5秒供图表阅读或操作。</w:t>
      </w:r>
    </w:p>
    <w:p>
      <w:pPr>
        <w:pStyle w:val="Heading1"/>
      </w:pPr>
      <w:r>
        <w:t>第12页 国际效率参照与有界追赶</w:t>
      </w:r>
    </w:p>
    <w:p>
      <w:pPr>
        <w:keepNext/>
        <w:spacing w:after="120"/>
      </w:pPr>
      <w:r>
        <w:t>建议时间 11:39 至 12:43</w:t>
      </w:r>
    </w:p>
    <w:p>
      <w:r>
        <w:t>国际数据说明技术还有改善空间，也提醒我们比较口径。北美同一调查里，全部母猪口径PSY为二十六点八八，已配母猪口径为二十八点一九，分母一换，结果就不同。法国、丹麦、公司全年披露和国内加权样本也各有范围。</w:t>
      </w:r>
    </w:p>
    <w:p>
      <w:r>
        <w:t>所以模型没有把某个海外先进值直接套到全国，而是假设从二十三点四向三十二逐步收敛，每年弥合差距的百分之六。一年后的PSY是二十三点九一六，增长约百分之二点二。这里的百分之六是差距缩小速度，不是PSY本身每年增长百分之六。</w:t>
      </w:r>
    </w:p>
    <w:p>
      <w:r>
        <w:t>三十二是分析期设定的收敛水平，也不是不可突破的生物极限。技术进步可能推高参照，疫病和组织瓶颈也可能拖慢追赶。二十三点四来自二〇二五年资料，在模型中借作二〇二六年八月的相对效率起点，这项跨期归一化需要明确披露。</w:t>
      </w:r>
    </w:p>
    <w:p>
      <w:pPr>
        <w:spacing w:after="200"/>
      </w:pPr>
      <w:r>
        <w:rPr>
          <w:sz w:val="18"/>
        </w:rPr>
        <w:t>来源 报告§4.2；参考[14]—[21]</w:t>
        <w:br/>
        <w:t>数据与假设依据（不朗读） 中国2025 PSY23.4、神农29.5、北美26.88/28.19、法国33.5、丹麦36.9见参考[14]—[21]；场数1345/703为原资料样本范围。32与6%差距收敛是模型假设，23.916为计算。</w:t>
      </w:r>
    </w:p>
    <w:p>
      <w:r>
        <w:rPr>
          <w:sz w:val="18"/>
        </w:rPr>
        <w:t>录制提示：本页预留约5秒供图表阅读或操作。</w:t>
      </w:r>
    </w:p>
    <w:p>
      <w:pPr>
        <w:pStyle w:val="Heading1"/>
      </w:pPr>
      <w:r>
        <w:t>第13页 母猪少10  为什么有效供给可能只少2 665</w:t>
      </w:r>
    </w:p>
    <w:p>
      <w:pPr>
        <w:keepNext/>
        <w:spacing w:after="120"/>
      </w:pPr>
      <w:r>
        <w:t>建议时间 12:43 至 13:52</w:t>
      </w:r>
    </w:p>
    <w:p>
      <w:r>
        <w:t>现在用一组简单的独立因子看有效供给。假设母猪减少百分之十，MSY提高百分之三，出栏重量提高百分之五。三者相乘，得到零点九七三三五，也就是公斤供给只减少约百分之二点六七。</w:t>
      </w:r>
    </w:p>
    <w:p>
      <w:r>
        <w:t>这个例子并不预测现实一定如此，它展示一个机制：头数变化与可销售猪肉量变化之间，隔着生产效率和重量。仅凭母猪降幅直接外推同幅度供给缺口，通常会遗漏这部分抵消。</w:t>
      </w:r>
    </w:p>
    <w:p>
      <w:r>
        <w:t>当然，重量也不能无限提高。压栏会增加饲料消耗，可能延长周转，挤占下一批空间，并改变死亡风险和销售时点。模型中的单因素体重敏感性先固定其他变量，完整经营情景还应把这些联系补回来。对公司估值而言，行业普遍增重可能压低全国价格，公司自己增重则可能增加公斤量，同时增加成本。两条作用要分别核算后再合并。</w:t>
      </w:r>
    </w:p>
    <w:p>
      <w:pPr>
        <w:spacing w:after="200"/>
      </w:pPr>
      <w:r>
        <w:rPr>
          <w:sz w:val="18"/>
        </w:rPr>
        <w:t>来源 报告§4.4</w:t>
        <w:br/>
        <w:t>数据与假设依据（不朗读） 母猪减少10%、效率增加3%、重量增加5%均为算术演示输入；90、92.7、97.335=100×0.90、再×1.03、再×1.05。不是本轮实测供给。</w:t>
      </w:r>
    </w:p>
    <w:p>
      <w:r>
        <w:rPr>
          <w:sz w:val="18"/>
        </w:rPr>
        <w:t>录制提示：本页预留约10秒供图表阅读或操作。</w:t>
      </w:r>
    </w:p>
    <w:p>
      <w:pPr>
        <w:pStyle w:val="Heading1"/>
      </w:pPr>
      <w:r>
        <w:t>第14页 母猪何时减少 决定供应何时减少</w:t>
      </w:r>
    </w:p>
    <w:p>
      <w:pPr>
        <w:keepNext/>
        <w:spacing w:after="120"/>
      </w:pPr>
      <w:r>
        <w:t>建议时间 13:52 至 14:58</w:t>
      </w:r>
    </w:p>
    <w:p>
      <w:r>
        <w:t>我们以十个月作为繁育到商品猪销售的近似主线。二〇二七年一季度对应二〇二六年三到五月母猪，二季度对应六到八月，三季度对应九到十一月，四季度对应十二月到次年二月。</w:t>
      </w:r>
    </w:p>
    <w:p>
      <w:r>
        <w:t>这解释了为什么四季度去化主要影响下一年下半年，也说明当前看到的母猪变化不一定立即改变当季价格。模型同时保留八个月、十二个月和八到十二个月的分布滞后。分布权重按百分之十、二十、四十、二十、十设定，是演示核，需要批次资料进一步估计。</w:t>
      </w:r>
    </w:p>
    <w:p>
      <w:r>
        <w:t>另一个容易漏掉的问题是基期锚。改变滞后以后，二〇二六年八月价格对应的母猪基月也会改变，不能一律继续用三千九百九十万头。网页会匹配相应基月，分布滞后则先加权母猪数量，再求价格。缺失月份的插值也保留情景状态，避免被误认为全国真实月度观测。</w:t>
      </w:r>
    </w:p>
    <w:p>
      <w:pPr>
        <w:spacing w:after="200"/>
      </w:pPr>
      <w:r>
        <w:rPr>
          <w:sz w:val="18"/>
        </w:rPr>
        <w:t>来源 报告§4.5、§7.6</w:t>
        <w:br/>
        <w:t>数据与假设依据（不朗读） 10个月为固定传导近似，图中季度与母猪月份由日历平移得到；8—12个月分布的10/20/40/20/10%权重是另一假设。</w:t>
      </w:r>
    </w:p>
    <w:p>
      <w:r>
        <w:rPr>
          <w:sz w:val="18"/>
        </w:rPr>
        <w:t>录制提示：本页预留约7秒供图表阅读或操作。</w:t>
      </w:r>
    </w:p>
    <w:p>
      <w:pPr>
        <w:pStyle w:val="Heading1"/>
      </w:pPr>
      <w:r>
        <w:t>第15页 数据覆盖与证据边界</w:t>
      </w:r>
    </w:p>
    <w:p>
      <w:pPr>
        <w:keepNext/>
        <w:spacing w:after="120"/>
      </w:pPr>
      <w:r>
        <w:t>建议时间 14:58 至 16:04</w:t>
      </w:r>
    </w:p>
    <w:p>
      <w:r>
        <w:t>使用历史和需求路线前，先看数据覆盖，不能只看图线是否连续。原报告整理了一百四十一个月，其中农业农村部价格有一百三十八个月，发改委出场价六十六个月，全国绝对能繁母猪数五十五个月，旧样本监测指数五十七个月。</w:t>
      </w:r>
    </w:p>
    <w:p>
      <w:r>
        <w:t>这里最关键的缺口是真实全国月度商品猪生产效率，也就是月度同口径MSY，目前没有得到。模型中的效率路径因此属于假设，不能因为它画成一条平滑曲线就把它当历史观测。</w:t>
      </w:r>
    </w:p>
    <w:p>
      <w:r>
        <w:t>价格序列同样需要分开。集贸活猪价格、生猪出场价、零售猪肉价格和期货报价分别反映不同环节和调查体系。旧四百个监测县的指数，也不能直接接在全国万头数之后。我们在历史图里保留缺失断点，在预测路径里明确标出插值和情景。这样做会让图线不那么完整，却能避免人为制造并不存在的观测证据。</w:t>
      </w:r>
    </w:p>
    <w:p>
      <w:pPr>
        <w:spacing w:after="200"/>
      </w:pPr>
      <w:r>
        <w:rPr>
          <w:sz w:val="18"/>
        </w:rPr>
        <w:t>来源 报告§2.1；数据china_history.csv</w:t>
        <w:br/>
        <w:t>数据与假设依据（不朗读） 141/138/66/55/57/0由冻结china_history.csv及history_analysis.json计数；0表示未取得全国月度同口径MSY观测，不表示效率为零。</w:t>
      </w:r>
    </w:p>
    <w:p>
      <w:r>
        <w:rPr>
          <w:sz w:val="18"/>
        </w:rPr>
        <w:t>录制提示：本页预留约5秒供图表阅读或操作。</w:t>
      </w:r>
    </w:p>
    <w:p>
      <w:pPr>
        <w:pStyle w:val="Heading1"/>
      </w:pPr>
      <w:r>
        <w:t>第16页 历史去化阶段与价格窗口</w:t>
      </w:r>
    </w:p>
    <w:p>
      <w:pPr>
        <w:keepNext/>
        <w:spacing w:after="120"/>
      </w:pPr>
      <w:r>
        <w:t>建议时间 16:04 至 17:10</w:t>
      </w:r>
    </w:p>
    <w:p>
      <w:r>
        <w:t>历史法先要回答样本可不可比。早期监测指数与后来的全国绝对数量口径不同，非洲猪瘟阶段又同时改变成活、需求和调运。因此，报告把二〇一五年和非瘟阶段放在背景里，默认校准只使用两个现代去化阶段。</w:t>
      </w:r>
    </w:p>
    <w:p>
      <w:r>
        <w:t>一个阶段母猪降幅约百分之八点四八，另一个约百分之九点二，但发改委价格窗口的谷到峰涨幅分别超过百分之一百零五和百分之四十四。相近母猪下降，价格表现可以相差很大，说明价格中还吸收了需求、库存、体重和出栏策略等共同作用。</w:t>
      </w:r>
    </w:p>
    <w:p>
      <w:r>
        <w:t>这里表格特意写成价格窗口，而不是宣称母猪一降，十个月后价格必然上涨这些幅度。两个现代阶段也不能被两套报价口径自动扩充成四个独立周期。它们是同一组经济事件的不同价格观察，样本数量和解释力度都需要如实保留。</w:t>
      </w:r>
    </w:p>
    <w:p>
      <w:pPr>
        <w:spacing w:after="200"/>
      </w:pPr>
      <w:r>
        <w:rPr>
          <w:sz w:val="18"/>
        </w:rPr>
        <w:t>来源 报告§6.1；参考[23]—[39]</w:t>
        <w:br/>
        <w:t>数据与假设依据（不朗读） 母猪去化和价格振幅由冻结历史序列及指定窗口计算，见报告§6.1、cycles.json；旧样本与全国绝对头数不拼接，ASF不进入默认校准。</w:t>
      </w:r>
    </w:p>
    <w:p>
      <w:r>
        <w:rPr>
          <w:sz w:val="18"/>
        </w:rPr>
        <w:t>录制提示：本页预留约7秒供图表阅读或操作。</w:t>
      </w:r>
    </w:p>
    <w:p>
      <w:pPr>
        <w:pStyle w:val="Heading1"/>
      </w:pPr>
      <w:r>
        <w:t>第17页 历史路线 20 81元年均价怎样计算出来</w:t>
      </w:r>
    </w:p>
    <w:p>
      <w:pPr>
        <w:keepNext/>
        <w:spacing w:after="120"/>
      </w:pPr>
      <w:r>
        <w:t>建议时间 17:10 至 18:23</w:t>
      </w:r>
    </w:p>
    <w:p>
      <w:r>
        <w:t>现在把前面得到的有效供给，接到价格。历史路线先选两段现代可比去化阶段，分别用价格窗口振幅除以有效供给收缩，得到历史反应系数，再取中位数。历史效率每年提高百分之二是校准假设，得到系数七点五九三二。它刻画历史窗口反应，不是经过样本外验证的稳定因果参数。</w:t>
      </w:r>
    </w:p>
    <w:p>
      <w:r>
        <w:t>本轮观测锚是二〇二六年八月活猪价十一点三六元，以及对应母猪三千九百九十万头。对每个月，用滞后母猪比乘效率比和体重比得到有效供给比，再把十一点三六乘以这个比例的负七点五九三二次方。比如十二月有效供给比约零点八八五三，得到月价约二十八点六五元。</w:t>
      </w:r>
    </w:p>
    <w:p>
      <w:r>
        <w:t>把十二个月的结果逐月算出再取平均，才得到全年二十点八一元，不能把年末价格直接当全年价。这个结果已经是一组条件下的高价情景；下一页用严格端点检验，看看历史映射的证据能支持到什么程度。</w:t>
      </w:r>
    </w:p>
    <w:p>
      <w:pPr>
        <w:spacing w:after="200"/>
      </w:pPr>
      <w:r>
        <w:rPr>
          <w:sz w:val="18"/>
        </w:rPr>
        <w:t>来源 报告§6.2—§6.3</w:t>
        <w:br/>
        <w:t>数据与假设依据（不朗读） 锚点11.36元/kg为2026-08观测；3990万头为其10个月前母猪锚。历史MSY年增2%为设定，β7.593232为两段现代阶段校准结果；月价=11.36×有效供给比^(-β)。12月比0.885282得28.65485，12个月均价20.808179。全部输入及结果见results_price.json。</w:t>
      </w:r>
    </w:p>
    <w:p>
      <w:r>
        <w:rPr>
          <w:sz w:val="18"/>
        </w:rPr>
        <w:t>录制提示：本页预留约8秒供图表阅读或操作。</w:t>
      </w:r>
    </w:p>
    <w:p>
      <w:pPr>
        <w:pStyle w:val="Heading1"/>
      </w:pPr>
      <w:r>
        <w:t>第18页 历史窗口振幅 能代表固定时点预测吗</w:t>
      </w:r>
    </w:p>
    <w:p>
      <w:pPr>
        <w:keepNext/>
        <w:spacing w:after="120"/>
      </w:pPr>
      <w:r>
        <w:t>建议时间 18:23 至 19:33</w:t>
      </w:r>
    </w:p>
    <w:p>
      <w:r>
        <w:t>这一页是历史法最需要澄清的地方。用同一母猪去化阶段，如果预先把两个端点都向后移动十个月，第一段发改委价格从十四点零六到十四点九零，只上涨约百分之五点九七。第二段从十五点七八到十五点七七，几乎不变。</w:t>
      </w:r>
    </w:p>
    <w:p>
      <w:r>
        <w:t>它们与事后另选窗口低点和高点得到的百分之一百零五、百分之四十四，回答了不同问题。峰谷告诉我们窗口里曾经实现多大振幅，端点告诉我们事先指定日期之间发生什么。</w:t>
      </w:r>
    </w:p>
    <w:p>
      <w:r>
        <w:t>因此，不能把事后最大振幅直接说成固定十个月传导的因果效应。同样本滞后比较也只有三十四个目标月份，重叠同比数据还存在序列相关。我们保留历史振幅路线作为机制和幅度对照，把季度路径交给明确的供需假设来推演。这样可以利用历史信息，同时避免让一个很小的样本承担过多预测任务。</w:t>
      </w:r>
    </w:p>
    <w:p>
      <w:pPr>
        <w:spacing w:after="200"/>
      </w:pPr>
      <w:r>
        <w:rPr>
          <w:sz w:val="18"/>
        </w:rPr>
        <w:t>来源 报告§6.4—§6.6</w:t>
        <w:br/>
        <w:t>数据与假设依据（不朗读） 105.32/44.67%为事后窗口振幅，5.97/−0.06%为预先指定+10月端点比较；见history_analysis.json及报告§6.4—§6.6。不是未来预测命中率。</w:t>
      </w:r>
    </w:p>
    <w:p>
      <w:r>
        <w:rPr>
          <w:sz w:val="18"/>
        </w:rPr>
        <w:t>录制提示：本页预留约10秒供图表阅读或操作。</w:t>
      </w:r>
    </w:p>
    <w:p>
      <w:pPr>
        <w:pStyle w:val="Heading1"/>
      </w:pPr>
      <w:r>
        <w:t>第19页 有效供给 需求与零售传导</w:t>
      </w:r>
    </w:p>
    <w:p>
      <w:pPr>
        <w:keepNext/>
        <w:spacing w:after="120"/>
      </w:pPr>
      <w:r>
        <w:t>建议时间 19:33 至 20:44</w:t>
      </w:r>
    </w:p>
    <w:p>
      <w:r>
        <w:t>需求路线把过程拆成四步。先用国内有效供给与进口组成总供给，再除以固定价格下的需求趋势，得到供需比。之后通过逆需求函数推导零售猪肉价格，最后用传导斜率转换成活猪价格。</w:t>
      </w:r>
    </w:p>
    <w:p>
      <w:r>
        <w:t>默认弹性绝对值零点三七四参考USDA关于中国年度家庭猪肉消费的研究。它对应年度家庭零售需求，跨用到月度整体市场和活猪价格，需要额外验证，因此这里作为先验和敏感性参数。零点七五则是本研究设定的绝对价格传导斜率，意思是零售价每变一元，活猪价变化零点七五元，不能理解为百分比传导率。</w:t>
      </w:r>
    </w:p>
    <w:p>
      <w:r>
        <w:t>基期活猪价格十一点三六元，零售价格二十一元，二者都需要保持统计范围。局部上这条路线隐含的产能价格系数约三点七一，小于默认历史振幅系数七点五九，所以结果分歧有机制原因，不能把三条路线简单平均后称为更可靠的预测。</w:t>
      </w:r>
    </w:p>
    <w:p>
      <w:pPr>
        <w:spacing w:after="200"/>
      </w:pPr>
      <w:r>
        <w:rPr>
          <w:sz w:val="18"/>
        </w:rPr>
        <w:t>来源 报告§7.1；参考[40]</w:t>
        <w:br/>
        <w:t>数据与假设依据（不朗读） ε=0.374取USDA年度家庭需求先验；λ=0.75为绝对价差传导假设，进口份额2%及需求年降1%为情景输入。方程见报告§7.1。</w:t>
      </w:r>
    </w:p>
    <w:p>
      <w:r>
        <w:rPr>
          <w:sz w:val="18"/>
        </w:rPr>
        <w:t>录制提示：本页预留约8秒供图表阅读或操作。</w:t>
      </w:r>
    </w:p>
    <w:p>
      <w:pPr>
        <w:pStyle w:val="Heading1"/>
      </w:pPr>
      <w:r>
        <w:t>第20页 2027需求路线月度价格</w:t>
      </w:r>
    </w:p>
    <w:p>
      <w:pPr>
        <w:keepNext/>
        <w:spacing w:after="120"/>
      </w:pPr>
      <w:r>
        <w:t>建议时间 20:44 至 21:56</w:t>
      </w:r>
    </w:p>
    <w:p>
      <w:r>
        <w:t>在参照条件下，需求路线从一月十一点七零元，逐步提高到十月十六点七九元，之后略有回落。季度内按月度价格等权，得到十二点零五、十三点三七、十五点三五和十六点六五元，全年十四点三六元。</w:t>
      </w:r>
    </w:p>
    <w:p>
      <w:r>
        <w:t>这条路径假设二〇二六年四季度继续按三季度比例去化，十二月母猪约三千四百三十二点三八万头，二〇二七年后续母猪路径先保持。效率则按有界路径继续提高，固定价格下需求每年下降百分之一。</w:t>
      </w:r>
    </w:p>
    <w:p>
      <w:r>
        <w:t>当滞后母猪数量不再继续下降，而效率仍然改善、需求趋势仍为负时，模型价格就在四季度末略回落。请注意图上最高点是模型十月月均价，不是某一天的现货高点，也不是完整猪周期已经确定的顶点。现实中的压栏、二次育肥、冻品与进口反应，都可能改变时点和幅度，我们稍后用敏感性看这些条件的重要性。</w:t>
      </w:r>
    </w:p>
    <w:p>
      <w:pPr>
        <w:spacing w:after="200"/>
      </w:pPr>
      <w:r>
        <w:rPr>
          <w:sz w:val="18"/>
        </w:rPr>
        <w:t>来源 报告§7.2</w:t>
        <w:br/>
        <w:t>数据与假设依据（不朗读） 需求路线参照的12个月价格及Q1—Q4/年度均价由引擎与独立公式计算，见results_price.json；不是月度已实现价格。</w:t>
      </w:r>
    </w:p>
    <w:p>
      <w:r>
        <w:rPr>
          <w:sz w:val="18"/>
        </w:rPr>
        <w:t>录制提示：本页预留约12秒供图表阅读或操作。</w:t>
      </w:r>
    </w:p>
    <w:p>
      <w:pPr>
        <w:pStyle w:val="Heading1"/>
      </w:pPr>
      <w:r>
        <w:t>第21页 去化速度主要影响下半年</w:t>
      </w:r>
    </w:p>
    <w:p>
      <w:pPr>
        <w:keepNext/>
        <w:spacing w:after="120"/>
      </w:pPr>
      <w:r>
        <w:t>建议时间 21:56 至 23:01</w:t>
      </w:r>
    </w:p>
    <w:p>
      <w:r>
        <w:t>先只改变四季度母猪去化。停止去化、延续三季度比例、去化比例翻倍，三组上半年价格完全一样，下半年逐渐拉开，全年均价分别约十三点五三、十四点三六和十五点三二元。</w:t>
      </w:r>
    </w:p>
    <w:p>
      <w:r>
        <w:t>这来自十个月传导，而不是模型人为把影响安排在下半年。上半年的供给主要由更早批次决定。停止四季度去化，也仍然继承此前已经发生的母猪下降，所以并不意味着二〇二七年供给不受去化影响。</w:t>
      </w:r>
    </w:p>
    <w:p>
      <w:r>
        <w:t>同速参照的具体计算，是一减去三千六百零二除以三千七百八十，约百分之四点七零九。十二月情景值则为三千六百零二再乘同样的留存比例。网页把去化率独立保存，修改二季度或三季度母猪后，需要显式同步同速比例。本次加了对应按钮，使观众可以选择同步，也可以保留独立的四季度判断。</w:t>
      </w:r>
    </w:p>
    <w:p>
      <w:pPr>
        <w:spacing w:after="200"/>
      </w:pPr>
      <w:r>
        <w:rPr>
          <w:sz w:val="18"/>
        </w:rPr>
        <w:t>来源 报告§7.3、附录A</w:t>
        <w:br/>
        <w:t>数据与假设依据（不朗读） Q4去化0%、延续4.708995%、翻倍9.417989%为比较输入，均价13.53/14.36/15.32为计算；4.708995%源自3780→3602的Q3变化，但延续到Q4是额外假设。</w:t>
      </w:r>
    </w:p>
    <w:p>
      <w:r>
        <w:rPr>
          <w:sz w:val="18"/>
        </w:rPr>
        <w:t>录制提示：本页预留约8秒供图表阅读或操作。</w:t>
      </w:r>
    </w:p>
    <w:p>
      <w:pPr>
        <w:pStyle w:val="Heading1"/>
      </w:pPr>
      <w:r>
        <w:t>第22页 效率与体重 会把同一去化幅度改写多少</w:t>
      </w:r>
    </w:p>
    <w:p>
      <w:pPr>
        <w:keepNext/>
        <w:spacing w:after="120"/>
      </w:pPr>
      <w:r>
        <w:t>建议时间 23:01 至 24:10</w:t>
      </w:r>
    </w:p>
    <w:p>
      <w:r>
        <w:t>同样的母猪路径，如果效率不改善，需求路线年均价约十五点三五元。按默认速度追赶是十四点三六元，差距每年缩小百分之十二时约十三点四三元。也就是说，未来行业生产率提高，会抵消一部分母猪去化带来的短缺。</w:t>
      </w:r>
    </w:p>
    <w:p>
      <w:r>
        <w:t>重量更敏感。全国目标重量从一百二十提高到一百二十五公斤，年均价约十二点七八；提高到一百三十公斤，则约十一点四零。这里固定了其他变量，展示公斤供应变化本身的作用。</w:t>
      </w:r>
    </w:p>
    <w:p>
      <w:r>
        <w:t>实际经营还会有周转、耗料和死亡的联动，不能把这个价格表直接拼到一个完全不变的公司成本上。行业提效与公司提效也可能同时发生：行业更高效压低售价，公司更高效降低成本，最终利润取决于两者相对改善多少。我们在模型里把两组输入分开，让这种经济联系能够被看见，而不是隐含地只挑有利的一边。</w:t>
      </w:r>
    </w:p>
    <w:p>
      <w:pPr>
        <w:spacing w:after="200"/>
      </w:pPr>
      <w:r>
        <w:rPr>
          <w:sz w:val="18"/>
        </w:rPr>
        <w:t>来源 报告§7.4</w:t>
        <w:br/>
        <w:t>数据与假设依据（不朗读） 差距收敛0/6/12%与目标体重120/125/130kg是单因素设定；显示猪价由相应需求函数重算。两图都沿用其余参照输入。</w:t>
      </w:r>
    </w:p>
    <w:p>
      <w:r>
        <w:rPr>
          <w:sz w:val="18"/>
        </w:rPr>
        <w:t>录制提示：本页预留约8秒供图表阅读或操作。</w:t>
      </w:r>
    </w:p>
    <w:p>
      <w:pPr>
        <w:pStyle w:val="Heading1"/>
      </w:pPr>
      <w:r>
        <w:t>第23页 供应相同 需求反应假设也会改变猪价</w:t>
      </w:r>
    </w:p>
    <w:p>
      <w:pPr>
        <w:keepNext/>
        <w:spacing w:after="120"/>
      </w:pPr>
      <w:r>
        <w:t>建议时间 24:10 至 25:18</w:t>
      </w:r>
    </w:p>
    <w:p>
      <w:r>
        <w:t>需求侧也有几种不同的不确定性。需求趋势描述固定价格下消费量怎样变化，价格弹性描述价格变化时消费如何反应，传导斜率描述零售变化有多少传到活猪环节，三者分别回答不同问题。</w:t>
      </w:r>
    </w:p>
    <w:p>
      <w:r>
        <w:t>表里需求不下降时年均价十四点八二元，每年下降百分之二时十三点九零元。若弹性绝对值更小，同样的数量缺口要通过更大的价格变化清算，所以零点二的情景给出十七点五九元，零点六只给出十三点一五元。</w:t>
      </w:r>
    </w:p>
    <w:p>
      <w:r>
        <w:t>常弹性和局部线性在小缺口附近接近，缺口扩大后逐渐分歧。它们的差异是函数风险对照，并非统计置信区间。现实消费还会受收入、替代肉类、餐饮和健康偏好影响。进口与冻品则改变可用供应。若算出极端价格，应回头检查这些反馈，而不是仅凭计算器能够给出数字就把数字当成可信结论。</w:t>
      </w:r>
    </w:p>
    <w:p>
      <w:pPr>
        <w:spacing w:after="200"/>
      </w:pPr>
      <w:r>
        <w:rPr>
          <w:sz w:val="18"/>
        </w:rPr>
        <w:t>来源 报告§7.5、§7.7</w:t>
        <w:br/>
        <w:t>数据与假设依据（不朗读） 0.374为年度家庭需求文献先验；0.20和0.60为敏感性输入。17.59/14.36/13.15元为模型输出，不是统计置信区间。</w:t>
      </w:r>
    </w:p>
    <w:p>
      <w:r>
        <w:rPr>
          <w:sz w:val="18"/>
        </w:rPr>
        <w:t>录制提示：本页预留约8秒供图表阅读或操作。</w:t>
      </w:r>
    </w:p>
    <w:p>
      <w:pPr>
        <w:pStyle w:val="Heading1"/>
      </w:pPr>
      <w:r>
        <w:t>第24页 时滞与价格锚的选择</w:t>
      </w:r>
    </w:p>
    <w:p>
      <w:pPr>
        <w:keepNext/>
        <w:spacing w:after="120"/>
      </w:pPr>
      <w:r>
        <w:t>建议时间 25:18 至 26:24</w:t>
      </w:r>
    </w:p>
    <w:p>
      <w:r>
        <w:t>固定八、十、十二个月分别给出约十四点九九、十四点三六和十三点八四元，分布滞后约十四点四三元。这显示时点判断会改变本年度价格路径，但并不会自动解决需求和效率估计的问题。</w:t>
      </w:r>
    </w:p>
    <w:p>
      <w:r>
        <w:t>另一项更根本的选择是锚点。观测锚用二〇二六年八月活猪价格十一点三六元，以及对应的母猪和效率状态。政策锚则额外假设三千七百五十万头母猪对应成本中枢十五点七三元，所以加入了新的经济判断。</w:t>
      </w:r>
    </w:p>
    <w:p>
      <w:r>
        <w:t>为了保持绝对零售传导一致，政策锚下零售基价也要同步从二十一元平移到约二十六点八三元。只抬活猪锚却保持其他关系不变，会混入不一致假设。政策锚的年均十五点九七元应按这组完整条件解释。它展示政策数量怎样与成本和需求共同映射价格，不能被读成政策本身保证了这个价格。</w:t>
      </w:r>
    </w:p>
    <w:p>
      <w:pPr>
        <w:spacing w:after="200"/>
      </w:pPr>
      <w:r>
        <w:rPr>
          <w:sz w:val="18"/>
        </w:rPr>
        <w:t>来源 报告§7.6、§7.8</w:t>
        <w:br/>
        <w:t>数据与假设依据（不朗读） 8/10/12月或分布时滞、观测锚或政策锚均为模型选项；年均14.99/14.36/13.84/14.43/15.97见results_price.json。政策3750万头为公开目标，映射为价格另需成本和需求假设。</w:t>
      </w:r>
    </w:p>
    <w:p>
      <w:r>
        <w:rPr>
          <w:sz w:val="18"/>
        </w:rPr>
        <w:t>录制提示：本页预留约7秒供图表阅读或操作。</w:t>
      </w:r>
    </w:p>
    <w:p>
      <w:pPr>
        <w:pStyle w:val="Heading1"/>
      </w:pPr>
      <w:r>
        <w:t>第25页 价格结果汇总 20元在什么意义下使用</w:t>
      </w:r>
    </w:p>
    <w:p>
      <w:pPr>
        <w:keepNext/>
        <w:spacing w:after="120"/>
      </w:pPr>
      <w:r>
        <w:t>建议时间 26:24 至 27:36</w:t>
      </w:r>
    </w:p>
    <w:p>
      <w:r>
        <w:t>现在可以回答前面留下的问题：二十元是怎么来的。我们实际算出的三个对象是，成本法正常中枢十五点七三元，历史路线条件年均二十点八一元，需求路线条件年均十四点三六元。它们的经济闭合和时间含义不同，不能平均成一个更可靠的预测。</w:t>
      </w:r>
    </w:p>
    <w:p>
      <w:r>
        <w:t>源报告另外使用了全年二十元的高位利润演示。本片保留这一整值，便于下一部分把价格翻译成公司利润。从数量级看，它接近历史路线的二十点八一元；但这只是为演算提供参照，不能反过来证明二十元必然实现。尤其刚才的严格端点检验已经表明，历史映射不稳定，需求路线也给出了明显更低的结果。</w:t>
      </w:r>
    </w:p>
    <w:p>
      <w:r>
        <w:t>因此，行业篇交付两项可继续使用的结果：一是十五点七三元中枢的成本和回报条件，二是每条年度价格路径及其供需设定。企业篇先固定全年二十元完成一组高位PE演算，再比较价格回归后的股东现金流。</w:t>
      </w:r>
    </w:p>
    <w:p>
      <w:pPr>
        <w:spacing w:after="200"/>
      </w:pPr>
      <w:r>
        <w:rPr>
          <w:sz w:val="18"/>
        </w:rPr>
        <w:t>来源 报告§10.6—§10.8；参考[52]—[58]</w:t>
        <w:br/>
        <w:t>数据与假设依据（不朗读） 15.733333为成本中枢，20.808179和14.355724分别为历史/需求条件年均；20是源报告外生整值演算输入，接近历史路线量级不等于已证明可实现。禁止将三种对象平均。</w:t>
      </w:r>
    </w:p>
    <w:p>
      <w:r>
        <w:rPr>
          <w:sz w:val="18"/>
        </w:rPr>
        <w:t>录制提示：本页预留约7秒供图表阅读或操作。</w:t>
      </w:r>
    </w:p>
    <w:p>
      <w:pPr>
        <w:pStyle w:val="Heading1"/>
      </w:pPr>
      <w:r>
        <w:t>第26页 行业篇小结 观察什么 怎样修正判断</w:t>
      </w:r>
    </w:p>
    <w:p>
      <w:pPr>
        <w:keepNext/>
        <w:spacing w:after="120"/>
      </w:pPr>
      <w:r>
        <w:t>建议时间 27:36 至 28:26</w:t>
      </w:r>
    </w:p>
    <w:p>
      <w:r>
        <w:t>行业篇到这里结束。我们从一头猪的成本出发，解释正常价格中枢参考哪一档必要产能，再说明低价怎样通过现金压力改变生产行为。母猪变化还要叠加效率和重量、经过生产时滞，才转成有效供给。</w:t>
      </w:r>
    </w:p>
    <w:p>
      <w:r>
        <w:t>历史映射把这组供给条件算成二十点八一元的年度高价情景，需求函数在另一组闭合下得到十四点三六元，成本法则回答十五点七三元的长期中枢。这些结果的差异，正是后续需要判断和更新的条件。</w:t>
      </w:r>
    </w:p>
    <w:p>
      <w:r>
        <w:t>持续跟踪母猪与仔猪出生、出栏体重、生产效率、需求和进口。当这些证据改变时，沿着同一条链重算，而不是保留原价格再找解释。感谢收看。</w:t>
      </w:r>
    </w:p>
    <w:p>
      <w:pPr>
        <w:spacing w:after="200"/>
      </w:pPr>
      <w:r>
        <w:rPr>
          <w:sz w:val="18"/>
        </w:rPr>
        <w:t>来源 本报告行业分析与公开资料汇总</w:t>
        <w:br/>
        <w:t>数据与假设依据（不朗读） 复用第8、17、20页计算结果和同一组证据边界，无新增预测。</w:t>
      </w:r>
    </w:p>
    <w:p>
      <w:r>
        <w:rPr>
          <w:sz w:val="18"/>
        </w:rPr>
        <w:t>录制提示：本页预留约4秒供图表阅读或操作。</w:t>
      </w:r>
    </w:p>
    <w:p>
      <w:pPr>
        <w:pStyle w:val="Heading1"/>
      </w:pPr>
      <w:r>
        <w:t>第27页 第二部分  牧原经营与估值案例</w:t>
      </w:r>
    </w:p>
    <w:p>
      <w:pPr>
        <w:keepNext/>
        <w:spacing w:after="120"/>
      </w:pPr>
      <w:r>
        <w:t>建议时间 28:26 至 29:02</w:t>
      </w:r>
    </w:p>
    <w:p>
      <w:r>
        <w:t>大家好，这一部分单独以牧原为案例，讨论怎样把行业价格假设转为企业经营结果和估值。即使没有看前面的行业篇，也可以从接下来的假设账本开始。</w:t>
      </w:r>
    </w:p>
    <w:p>
      <w:r>
        <w:t>我们先把必要产能成本、正常价格中枢和全年二十元高价条件列在同一张表，再连续计算公司收入、利润和十倍市盈率定价。完成这一组推导后，才介绍跨周期现金流方法，检查利润持续期、再投资和融资条件的影响。</w:t>
      </w:r>
    </w:p>
    <w:p>
      <w:pPr>
        <w:spacing w:after="200"/>
      </w:pPr>
      <w:r>
        <w:rPr>
          <w:sz w:val="18"/>
        </w:rPr>
        <w:t>来源 本报告行业分析与公开资料汇总</w:t>
        <w:br/>
        <w:t>数据与假设依据（不朗读） 企业案例从本页开始；无新增经营数据。</w:t>
      </w:r>
    </w:p>
    <w:p>
      <w:r>
        <w:rPr>
          <w:sz w:val="18"/>
        </w:rPr>
        <w:t>录制提示：本页预留约4秒供图表阅读或操作。</w:t>
      </w:r>
    </w:p>
    <w:p>
      <w:pPr>
        <w:pStyle w:val="Heading1"/>
      </w:pPr>
      <w:r>
        <w:t>第28页 主线假设账本</w:t>
      </w:r>
    </w:p>
    <w:p>
      <w:pPr>
        <w:keepNext/>
        <w:spacing w:after="120"/>
      </w:pPr>
      <w:r>
        <w:t>建议时间 29:02 至 30:19</w:t>
      </w:r>
    </w:p>
    <w:p>
      <w:r>
        <w:t>这条主线只选一组参数。必要产能成本十四点九元，每头年产能权益资本一千元，要求回报百分之十，得到正常价格中枢十五点七三三三元。行业篇已经解释历史条件年均二十点八一元与需求条件年均十四点三六元的差异。这里选择源报告已有的全年二十元高价示例，仅作接近历史情景量级的整值演算，公司实现售价先假设与全国价相同。</w:t>
      </w:r>
    </w:p>
    <w:p>
      <w:r>
        <w:t>公司商品猪销量八千万头，重量一百二十公斤，完全成本十一点八元，归属折算百分之九十五。估值采用十倍市盈率，股份范围为五十七点七二九九六一四四亿股。这里的二十元、十一点八元和十倍都需要作为条件连同结果一起披露。</w:t>
      </w:r>
    </w:p>
    <w:p>
      <w:r>
        <w:t>这页可以先留在屏幕上。后续每一步计算都使用这些输入，直到得到高位外推估值。主线没有把期货价、季度最高价或零售猪肉价直接混进全年公司价格，也没有同时换成另一套销量或成本。对这些输入有不同看法的观众，可以在主线完成后再改其中一项。</w:t>
      </w:r>
    </w:p>
    <w:p>
      <w:pPr>
        <w:spacing w:after="200"/>
      </w:pPr>
      <w:r>
        <w:rPr>
          <w:sz w:val="18"/>
        </w:rPr>
        <w:t>来源 报告修订版 主线演算</w:t>
        <w:br/>
        <w:t>数据与假设依据（不朗读） 14.9、1000、10%、20、0价差、8000万头、120kg、11.8、95%、PE10均为主线输入；15.7333为第8页计算；57.72996144亿股为2026-09股份范围调整，参考[65]。</w:t>
      </w:r>
    </w:p>
    <w:p>
      <w:r>
        <w:rPr>
          <w:sz w:val="18"/>
        </w:rPr>
        <w:t>录制提示：本页预留约5秒供图表阅读或操作。</w:t>
      </w:r>
    </w:p>
    <w:p>
      <w:pPr>
        <w:pStyle w:val="Heading1"/>
      </w:pPr>
      <w:r>
        <w:t>第29页 主线计算顺序</w:t>
      </w:r>
    </w:p>
    <w:p>
      <w:pPr>
        <w:keepNext/>
        <w:spacing w:after="120"/>
      </w:pPr>
      <w:r>
        <w:t>建议时间 30:19 至 31:20</w:t>
      </w:r>
    </w:p>
    <w:p>
      <w:r>
        <w:t>我们先把整条主线排清楚。第一步，必要边际产能的完全成本加上正常权益回报，形成长期价格中枢。第二步，额外给出周期高位年度价格，明确这一高价条件并非成本公式自动得出。第三步，用牧原自己的商品猪销量、重量和完全成本计算收入与利润。第四步，把这个高位年度利润乘十倍市盈率，得到高点外推价格。</w:t>
      </w:r>
    </w:p>
    <w:p>
      <w:r>
        <w:t>这四步先使用同一组输入连续讲完，中间暂不切换需求函数或现金流折现。这样可以清楚看到每个数值从哪里来，哪些来自源材料，哪些是研究者设定。</w:t>
      </w:r>
    </w:p>
    <w:p>
      <w:r>
        <w:t>主线计算出来之后，才逐项检查母猪变化、生产效率、周期时点、利润持续期和资本支出。届时如果得出与高点外推不同的价值，我们会说明究竟改变了哪项假设，而不是把几种方法交错混在一起。</w:t>
      </w:r>
    </w:p>
    <w:p>
      <w:pPr>
        <w:spacing w:after="200"/>
      </w:pPr>
      <w:r>
        <w:rPr>
          <w:sz w:val="18"/>
        </w:rPr>
        <w:t>来源 报告§1、§2.2</w:t>
        <w:br/>
        <w:t>数据与假设依据（不朗读） PE10为研究者设定。价格到利润到定价的顺序，不新增数据。</w:t>
      </w:r>
    </w:p>
    <w:p>
      <w:r>
        <w:rPr>
          <w:sz w:val="18"/>
        </w:rPr>
        <w:t>录制提示：本页预留约4秒供图表阅读或操作。</w:t>
      </w:r>
    </w:p>
    <w:p>
      <w:pPr>
        <w:pStyle w:val="Heading1"/>
      </w:pPr>
      <w:r>
        <w:t>第30页 单位换算与一元价差</w:t>
      </w:r>
    </w:p>
    <w:p>
      <w:pPr>
        <w:keepNext/>
        <w:spacing w:after="120"/>
      </w:pPr>
      <w:r>
        <w:t>建议时间 31:20 至 32:25</w:t>
      </w:r>
    </w:p>
    <w:p>
      <w:r>
        <w:t>正式计算前做一次单位检查。销量以万头表示，重量以每头公斤表示，两者相乘后除以一万，得到亿公斤。八千万头乘一百二十公斤，就是九十六亿公斤。</w:t>
      </w:r>
    </w:p>
    <w:p>
      <w:r>
        <w:t>因此，每公斤收入或成本变化一元，全年折算前利润就变化九十六亿元。若按模型的百分之九十五复合归属折算，利润变化九十一点二亿元。这个量级说明为什么几毛钱的单位成本变化，也会显著影响大型养殖企业。</w:t>
      </w:r>
    </w:p>
    <w:p>
      <w:r>
        <w:t>但百分之九十五并非一个已经验证的税率。它是税费、少数股东等因素的综合演示参数，实际财报需要分别桥接。估值的单位也要对应：亿元股权价值除以亿股，就直接得到元每股。后面利润矩阵和每股结果都沿用这套单位。读者可以先用这条简单恒等式检查任何看起来特别惊人的利润预测。</w:t>
      </w:r>
    </w:p>
    <w:p>
      <w:pPr>
        <w:spacing w:after="200"/>
      </w:pPr>
      <w:r>
        <w:rPr>
          <w:sz w:val="18"/>
        </w:rPr>
        <w:t>来源 报告§2.3、§9.4</w:t>
        <w:br/>
        <w:t>数据与假设依据（不朗读） 8000万头、120kg、95%归属为设定；96亿kg=8000×120/10000；1元价差给96亿元折算前利润，95%后91.2亿元。</w:t>
      </w:r>
    </w:p>
    <w:p>
      <w:r>
        <w:rPr>
          <w:sz w:val="18"/>
        </w:rPr>
        <w:t>录制提示：本页预留约8秒供图表阅读或操作。</w:t>
      </w:r>
    </w:p>
    <w:p>
      <w:pPr>
        <w:pStyle w:val="Heading1"/>
      </w:pPr>
      <w:r>
        <w:t>第31页 主线利润 全年20元的公司账户</w:t>
      </w:r>
    </w:p>
    <w:p>
      <w:pPr>
        <w:keepNext/>
        <w:spacing w:after="120"/>
      </w:pPr>
      <w:r>
        <w:t>建议时间 32:25 至 33:32</w:t>
      </w:r>
    </w:p>
    <w:p>
      <w:r>
        <w:t>现在把同一组条件装进公司账户。八千万头乘一百二十公斤，形成九十六亿公斤销售量。全年实现售价二十元，收入就是一千九百二十亿元；完全成本十一点八元，对应一千一百三十二点八亿元。</w:t>
      </w:r>
    </w:p>
    <w:p>
      <w:r>
        <w:t>两者相减，折算前利润七百八十七点二亿元，再乘百分之九十五复合归属折算，得到演示利润七百四十七点八四亿元。这一页还没有进行估值，只是把高价条件转换成利润。</w:t>
      </w:r>
    </w:p>
    <w:p>
      <w:r>
        <w:t>完全成本需要与销售范围匹配，并已经包含相应管理、财务和销售费用。同一笔利息不能再减一次。仔猪、种猪、加工和服务利润在本例另设为零，内部交易必须抵销。百分之九十五只是综合演示系数，实际税费和少数股东需要分别核算。下一页保持这个利润数字不变，直接完成本条高点外推估值。</w:t>
      </w:r>
    </w:p>
    <w:p>
      <w:pPr>
        <w:spacing w:after="200"/>
      </w:pPr>
      <w:r>
        <w:rPr>
          <w:sz w:val="18"/>
        </w:rPr>
        <w:t>来源 报告修订版 主线利润演算；原报告§9.4、§12.8</w:t>
        <w:br/>
        <w:t>数据与假设依据（不朗读） 设P20、V8000万头、W120kg、C11.8、α95%；销售公斤96亿，收入1920，成本1132.8，折算前利润787.2，归属等价利润747.84亿元。</w:t>
      </w:r>
    </w:p>
    <w:p>
      <w:r>
        <w:rPr>
          <w:sz w:val="18"/>
        </w:rPr>
        <w:t>录制提示：本页预留约10秒供图表阅读或操作。</w:t>
      </w:r>
    </w:p>
    <w:p>
      <w:pPr>
        <w:pStyle w:val="Heading1"/>
      </w:pPr>
      <w:r>
        <w:t>第32页 主线估值 高位年度利润乘10倍PE</w:t>
      </w:r>
    </w:p>
    <w:p>
      <w:pPr>
        <w:keepNext/>
        <w:spacing w:after="120"/>
      </w:pPr>
      <w:r>
        <w:t>建议时间 33:32 至 34:34</w:t>
      </w:r>
    </w:p>
    <w:p>
      <w:r>
        <w:t>保持上一页七百四十七点八四亿元利润，乘十倍市盈率，得到股权外推定价七千四百七十八点四亿元。再除以五十七点七二九九六一四四亿股，得到每股一百二十九点五四元。</w:t>
      </w:r>
    </w:p>
    <w:p>
      <w:r>
        <w:t>到这里，边际成本确定正常中枢、额外设定周期高位价格、转换公司利润、再用高位利润乘倍数的全过程已经走完。中间没有换一套价格路线，也没有混用另一种利润基数。</w:t>
      </w:r>
    </w:p>
    <w:p>
      <w:r>
        <w:t>这个结果刻画市场把高位年度利润当作估值基础时的定价条件。它本身并未证明高价会持续多久，也没有逐年扣除维护、扩张和营运资金。因此我们把它命名为高点外推定价。下面才开始补充其他可能：母猪去化能否形成所设高价，实际全年实现价格会不会更低，以及利润在后续回到正常价格时，现金流价值会怎样变化。</w:t>
      </w:r>
    </w:p>
    <w:p>
      <w:pPr>
        <w:spacing w:after="200"/>
      </w:pPr>
      <w:r>
        <w:rPr>
          <w:sz w:val="18"/>
        </w:rPr>
        <w:t>来源 报告修订版 主线演算</w:t>
        <w:br/>
        <w:t>数据与假设依据（不朗读） 747.84亿元由第31页计算；PE10为设定，股数57.72996144亿来自[65]；7478.4亿元和129.541053元/股为计算。</w:t>
      </w:r>
    </w:p>
    <w:p>
      <w:r>
        <w:rPr>
          <w:sz w:val="18"/>
        </w:rPr>
        <w:t>录制提示：本页预留约5秒供图表阅读或操作。</w:t>
      </w:r>
    </w:p>
    <w:p>
      <w:pPr>
        <w:pStyle w:val="Heading1"/>
      </w:pPr>
      <w:r>
        <w:t>第33页 全国均价与公司实现售价</w:t>
      </w:r>
    </w:p>
    <w:p>
      <w:pPr>
        <w:keepNext/>
        <w:spacing w:after="120"/>
      </w:pPr>
      <w:r>
        <w:t>建议时间 34:34 至 35:42</w:t>
      </w:r>
    </w:p>
    <w:p>
      <w:r>
        <w:t>进入公司经营时，全国月价不能直接当公司全年实现价格。严格做法是按每个月、每个地区的实际销售头数与重量形成公斤量权重，再加地区、渠道和品质对应的价差。</w:t>
      </w:r>
    </w:p>
    <w:p>
      <w:r>
        <w:t>这张表先固定全国价格路径，只改变季度销售公斤分布。等权时利润二百三十三点零八亿元，把五个百分点权重从高价四季度移到低价一季度，利润降到二百一十二点零七亿元，差约二十一亿元。反向调整则提高到二百五十四点零九亿元。</w:t>
      </w:r>
    </w:p>
    <w:p>
      <w:r>
        <w:t>模型的固定公司售价差默认设零。如果有正溢价，需要真实售价记录和同地区同重量基准支持，也要解释品质和销售投入怎样进入成本。每公斤售价差增加一角，在当前规模下演示利润增加九点一二亿元。出栏策略还会改变耗料和周转，完整比较应该核算净利润，而不是只比较实现售价高低。</w:t>
      </w:r>
    </w:p>
    <w:p>
      <w:pPr>
        <w:spacing w:after="200"/>
      </w:pPr>
      <w:r>
        <w:rPr>
          <w:sz w:val="18"/>
        </w:rPr>
        <w:t>来源 报告§9.1；补充计算销售权重</w:t>
        <w:br/>
        <w:t>数据与假设依据（不朗读） 季度公斤权重为设定，年度总量8000万头×120kg、成本11.8、归属95%不变；分别按需求季度价加权得到公司价和利润。</w:t>
      </w:r>
    </w:p>
    <w:p>
      <w:r>
        <w:rPr>
          <w:sz w:val="18"/>
        </w:rPr>
        <w:t>录制提示：本页预留约8秒供图表阅读或操作。</w:t>
      </w:r>
    </w:p>
    <w:p>
      <w:pPr>
        <w:pStyle w:val="Heading1"/>
      </w:pPr>
      <w:r>
        <w:t>第34页 四组联合情景</w:t>
      </w:r>
    </w:p>
    <w:p>
      <w:pPr>
        <w:keepNext/>
        <w:spacing w:after="120"/>
      </w:pPr>
      <w:r>
        <w:t>建议时间 35:42 至 36:50</w:t>
      </w:r>
    </w:p>
    <w:p>
      <w:r>
        <w:t>前面一次只改一个参数，现在组合有关联的条件。正常修复延续默认去化和效率；缓慢修复采用较少去化、较快提效、略重出栏、较弱需求和较高首年成本；低谷延长进一步叠加这些压力，偏强修复则采用较快去化和更好的经营条件。</w:t>
      </w:r>
    </w:p>
    <w:p>
      <w:r>
        <w:t>四组全国年均价分别约十四点三六、十二点四九、十一点一四、十五点九五元。首年演示利润分别约二百三十三点零八、三十五点四七、负一百二十四点三零和四百零五点八二亿元。这里先停留在供需和利润，等介绍现金流方法以后再把各组条件转成估值。</w:t>
      </w:r>
    </w:p>
    <w:p>
      <w:r>
        <w:t>这些情景没有客观发生概率。它们改变近期条件与修复期，后续正常全国价先统一设十五点五元，基础成本十一点八元。如果判断长期中枢永久改变，要另改长期输入。观众自行加权时也应说明状态权重和更新依据。</w:t>
      </w:r>
    </w:p>
    <w:p>
      <w:pPr>
        <w:spacing w:after="200"/>
      </w:pPr>
      <w:r>
        <w:rPr>
          <w:sz w:val="18"/>
        </w:rPr>
        <w:t>来源 报告§8；附录E</w:t>
        <w:br/>
        <w:t>数据与假设依据（不朗读） 四组输入见引擎PRESETS及results_valuation.json；年均与利润为计算，非概率预测。各组成本、需求与效率可能同时不同。</w:t>
      </w:r>
    </w:p>
    <w:p>
      <w:r>
        <w:rPr>
          <w:sz w:val="18"/>
        </w:rPr>
        <w:t>录制提示：本页预留约8秒供图表阅读或操作。</w:t>
      </w:r>
    </w:p>
    <w:p>
      <w:pPr>
        <w:pStyle w:val="Heading1"/>
      </w:pPr>
      <w:r>
        <w:t>第35页 研究参照的季度利润</w:t>
      </w:r>
    </w:p>
    <w:p>
      <w:pPr>
        <w:keepNext/>
        <w:spacing w:after="120"/>
      </w:pPr>
      <w:r>
        <w:t>建议时间 36:50 至 38:00</w:t>
      </w:r>
    </w:p>
    <w:p>
      <w:r>
        <w:t>回到二〇二七年需求路线，四季度利润显著不均匀。一季度价格只比十一点八元成本略高，演示利润约五点六亿元；二季度三十五点八四亿元；三季度八十点九七亿元；四季度一百一十点六六亿元。</w:t>
      </w:r>
    </w:p>
    <w:p>
      <w:r>
        <w:t>每季度都先设两千万头、一百二十公斤，成本全年保持十一点八元，所以这里的差异主要来自价格。四个季度合计约二百三十三点零八亿元，展示舍入数相加可能与未舍入总数相差一分钱量级。</w:t>
      </w:r>
    </w:p>
    <w:p>
      <w:r>
        <w:t>这种利润分布提醒我们，低价月份的现金支出发生在高价收益到来之前。年度盈利并不能保证任何月份都有充足资金。季度利润也不能直接当季度股东现金流，因为资本支出、营运资金、债务和利息支付可能集中发生。当前估值是年度现金流模型，若要做季度流动性判断，还需要季度资产负债表和更细收付款时点。</w:t>
      </w:r>
    </w:p>
    <w:p>
      <w:pPr>
        <w:spacing w:after="200"/>
      </w:pPr>
      <w:r>
        <w:rPr>
          <w:sz w:val="18"/>
        </w:rPr>
        <w:t>来源 报告§9.7</w:t>
        <w:br/>
        <w:t>数据与假设依据（不朗读） 各季2000万头、120kg、11.8成本、95%归属为设定，需求季度价来自第20页；利润5.60/35.84/80.97/110.66亿元。</w:t>
      </w:r>
    </w:p>
    <w:p>
      <w:r>
        <w:rPr>
          <w:sz w:val="18"/>
        </w:rPr>
        <w:t>录制提示：本页预留约10秒供图表阅读或操作。</w:t>
      </w:r>
    </w:p>
    <w:p>
      <w:pPr>
        <w:pStyle w:val="Heading1"/>
      </w:pPr>
      <w:r>
        <w:t>第36页 牧原的历史成长与周期波动</w:t>
      </w:r>
    </w:p>
    <w:p>
      <w:pPr>
        <w:keepNext/>
        <w:spacing w:after="120"/>
      </w:pPr>
      <w:r>
        <w:t>建议时间 38:00 至 39:10</w:t>
      </w:r>
    </w:p>
    <w:p>
      <w:r>
        <w:t>过去十年牧原经历了非常快的扩张。二〇一五年商品猪销量约一百七十一万头，到二〇二五年约七千七百九十八万头，十年复合增长约百分之四十六点五二。</w:t>
      </w:r>
    </w:p>
    <w:p>
      <w:r>
        <w:t>图中也能看到增长不是每年单调。二〇一九年销量回落，之后迅速扩大。利润波动更大，二〇二〇年归母利润约二百七十四点五一亿元，二〇二三年亏损四十二点六三亿元，二〇二五年约一百五十四点八七亿元。规模增长、周期价格与资本占用分别影响财务表现。</w:t>
      </w:r>
    </w:p>
    <w:p>
      <w:r>
        <w:t>历史高增长包含低基数、市场份额提升、行业重组和大量投入，不能把同样增长率直接延长十年。未来需要重新回答总市场多大、公司还能拿到多少份额、产能怎样形成，以及新增资本回报能保持多久。经营现金流也要与利润分开，它可能受到存货与营运资金释放影响，最后还需扣除资本支出，才能讨论股东真正得到多少现金。</w:t>
      </w:r>
    </w:p>
    <w:p>
      <w:pPr>
        <w:spacing w:after="200"/>
      </w:pPr>
      <w:r>
        <w:rPr>
          <w:sz w:val="18"/>
        </w:rPr>
        <w:t>来源 报告§10.1；参考[44]—[49]</w:t>
        <w:br/>
        <w:t>数据与假设依据（不朗读） 2016—2025销量序列为公司历史披露，见muyuan_financial_history.json和company_growth.json；46.52%为2015—2025商品猪销量CAGR计算，不是未来增长率。</w:t>
      </w:r>
    </w:p>
    <w:p>
      <w:r>
        <w:rPr>
          <w:sz w:val="18"/>
        </w:rPr>
        <w:t>录制提示：本页预留约7秒供图表阅读或操作。</w:t>
      </w:r>
    </w:p>
    <w:p>
      <w:pPr>
        <w:pStyle w:val="Heading1"/>
      </w:pPr>
      <w:r>
        <w:t>第37页 目标销量的生物产能与资本预算</w:t>
      </w:r>
    </w:p>
    <w:p>
      <w:pPr>
        <w:keepNext/>
        <w:spacing w:after="120"/>
      </w:pPr>
      <w:r>
        <w:t>建议时间 39:10 至 40:19</w:t>
      </w:r>
    </w:p>
    <w:p>
      <w:r>
        <w:t>要把九千万或一亿头变成可信成长情景，先校验生物产能。这里指定PSY三十、断奶后成活百分之九十三、商品化百分之九十八，需要平均母猪分别约二百九十三、三百二十九和三百六十六万头。</w:t>
      </w:r>
    </w:p>
    <w:p>
      <w:r>
        <w:t>这是稳态年化量级，成长过程仍需匹配批次和时滞，不能用年末母猪数直接替代全年平均。份额方面，若全国出栏固定在二〇二五年的七亿多头，九千万头近似占百分之十二点五，一亿头约百分之十三点八九。这个对照只检查规模与份额，不替代行业供需预测。</w:t>
      </w:r>
    </w:p>
    <w:p>
      <w:r>
        <w:t>资本方面，报告参考公开项目量级，设置每新增年销量能力两千元。八千万增至九千万要新增固定投资二百亿元，再加长期价格条件下九点三亿元营运资金。建设在产出之前，所以还把固定投资提前一年支付。增长不能只加利润，还要先支付形成持续产出能力的资本。</w:t>
      </w:r>
    </w:p>
    <w:p>
      <w:pPr>
        <w:spacing w:after="200"/>
      </w:pPr>
      <w:r>
        <w:rPr>
          <w:sz w:val="18"/>
        </w:rPr>
        <w:t>来源 报告§10.2—§10.4；参考[49]—[51]</w:t>
        <w:br/>
        <w:t>数据与假设依据（不朗读） PSY30、成活93%、商品化98%、目标8000/9000/10000万头均为情景；71973万头为2025全国出栏基准；2000元/新增年销量头及提前一年投资为设定；所需母猪、份额、资本和5%营运金为计算。</w:t>
      </w:r>
    </w:p>
    <w:p>
      <w:r>
        <w:rPr>
          <w:sz w:val="18"/>
        </w:rPr>
        <w:t>录制提示：本页预留约8秒供图表阅读或操作。</w:t>
      </w:r>
    </w:p>
    <w:p>
      <w:pPr>
        <w:pStyle w:val="Heading1"/>
      </w:pPr>
      <w:r>
        <w:t>第38页 跨周期FCFF与FCFE的逻辑起点</w:t>
      </w:r>
    </w:p>
    <w:p>
      <w:pPr>
        <w:keepNext/>
        <w:spacing w:after="120"/>
      </w:pPr>
      <w:r>
        <w:t>建议时间 40:19 至 41:30</w:t>
      </w:r>
    </w:p>
    <w:p>
      <w:r>
        <w:t>开始计算前，先说明两种现金流方法的出发点。FCFF先把整门生意看作一个整体，问经营在支付必要投入之后，能够留给债权人和股东多少现金。因此从融资费用前的税后经营利润出发，用综合资金成本，也就是WACC折现，先得到企业价值，再扣同范围净债和其他权益调整，才得到股东价值。</w:t>
      </w:r>
    </w:p>
    <w:p>
      <w:r>
        <w:t>FCFE则直接站在股东角度，从已经计入利息的股东净利润出发，扣维护、增长和营运资金，并加入新增借款减偿还，计算最后留给股东的钱。它用股东要求回报率折现，直接得到股权价值，所以不能再扣一次同一笔净债。</w:t>
      </w:r>
    </w:p>
    <w:p>
      <w:r>
        <w:t>跨周期描述的是时间路径：高价、低价和恢复正常逐年进入现金流，相关投资也要在对应年份支付。这两种方法都能跨周期使用。只要现金归属、融资、税务和折现率一致，结果应相容。本片接下来主要按FCFE逐项演算，FCFF在债务边界处作同口径对照。</w:t>
      </w:r>
    </w:p>
    <w:p>
      <w:pPr>
        <w:spacing w:after="200"/>
      </w:pPr>
      <w:r>
        <w:rPr>
          <w:sz w:val="18"/>
        </w:rPr>
        <w:t>来源 修订报告§11方法说明、§12.5债务边界</w:t>
        <w:br/>
        <w:t>数据与假设依据（不朗读） FCFF/FCFE现金归属、折现率及净债桥为定义。示例没有把FCFE用WACC折现。</w:t>
      </w:r>
    </w:p>
    <w:p>
      <w:r>
        <w:rPr>
          <w:sz w:val="18"/>
        </w:rPr>
        <w:t>录制提示：本页预留约8秒供图表阅读或操作。</w:t>
      </w:r>
    </w:p>
    <w:p>
      <w:pPr>
        <w:pStyle w:val="Heading1"/>
      </w:pPr>
      <w:r>
        <w:t>第39页 利润到现金 每一笔调整分别是什么</w:t>
      </w:r>
    </w:p>
    <w:p>
      <w:pPr>
        <w:keepNext/>
        <w:spacing w:after="120"/>
      </w:pPr>
      <w:r>
        <w:t>建议时间 41:30 至 42:42</w:t>
      </w:r>
    </w:p>
    <w:p>
      <w:r>
        <w:t>利润要转换成股东现金流，需要逐项桥接。研究参照首年利润二百三十三点零八亿元，加回同范围折旧摊销一百一十五点二亿元，扣固定维护六十五亿元、其他必要更新三十亿元，加上营运资金释放约一点零九亿元，得到FCFE约二百五十四点三七亿元。</w:t>
      </w:r>
    </w:p>
    <w:p>
      <w:r>
        <w:t>这里八千万头首年规模视为已经形成，不重复支付历史建造成本。六十五亿元维护取公司公开交流量级，三十亿元其他必要更新仍是待核对的占位假设，需要与生物资产更新、租赁和费用口径逐项勾稽。</w:t>
      </w:r>
    </w:p>
    <w:p>
      <w:r>
        <w:t>首年现金流高于利润，并不证明企业永远可以超过百分之一百转现。显性期内折旧与维护有差额，营运资金也可能释放；终值阶段我们要求维护等于折旧，避免把更新缺口永远资本化。采用FCFE已经从含利息的股东利润出发，折现后直接得到股权价值，不应再重复扣一次净债。</w:t>
      </w:r>
    </w:p>
    <w:p>
      <w:pPr>
        <w:spacing w:after="200"/>
      </w:pPr>
      <w:r>
        <w:rPr>
          <w:sz w:val="18"/>
        </w:rPr>
        <w:t>来源 报告§11.1—§11.2</w:t>
        <w:br/>
        <w:t>数据与假设依据（不朗读） 233.0821利润来自需求参照；D&amp;A115.2为96亿kg×1.2元的归属等价假设；65亿元固定更新参考管理层60—70量级；其他更新30为待核对占位。增长0、净借款0为平量假设，营运金释放1.0925由5%收入与期初70计算，合计FCFE254.3746。</w:t>
      </w:r>
    </w:p>
    <w:p>
      <w:r>
        <w:rPr>
          <w:sz w:val="18"/>
        </w:rPr>
        <w:t>录制提示：本页预留约10秒供图表阅读或操作。</w:t>
      </w:r>
    </w:p>
    <w:p>
      <w:pPr>
        <w:pStyle w:val="Heading1"/>
      </w:pPr>
      <w:r>
        <w:t>第40页 正内在价值与短期资金缺口</w:t>
      </w:r>
    </w:p>
    <w:p>
      <w:pPr>
        <w:keepNext/>
        <w:spacing w:after="120"/>
      </w:pPr>
      <w:r>
        <w:t>建议时间 42:42 至 43:50</w:t>
      </w:r>
    </w:p>
    <w:p>
      <w:r>
        <w:t>持续经营价值为正，也可能先遇到钱不够的问题。把分红、新增借款、增发和资产出售都设为零，查看各年累计FCFE的最低点，就能算出最低期初自由资金。</w:t>
      </w:r>
    </w:p>
    <w:p>
      <w:r>
        <w:t>低谷延长、八千万头平量的示例，需要约八十七点五六亿元。若还要扩大到九千万头，首年FCFE负一百三十五点三七亿元，累计缺口需要约一百七十九点九三亿元。它比首年亏损更大，因为恢复前还要继续支付资本。</w:t>
      </w:r>
    </w:p>
    <w:p>
      <w:r>
        <w:t>这些只是年度年末口径，不能当实际流动性预算。还需要月内最高缺口、到期债务、受限现金、经营储备和可用授信。源报告二〇二六年中期现金等价物约一百三十六点二九亿元，广义有息债代理约七百六十五点九七亿元，不能直接拿现金余额覆盖表格就宣布融资安全。若资金不足，必须调整扩张、融资、分红或股份数，随后重新计算每股价值。</w:t>
      </w:r>
    </w:p>
    <w:p>
      <w:pPr>
        <w:spacing w:after="200"/>
      </w:pPr>
      <w:r>
        <w:rPr>
          <w:sz w:val="18"/>
        </w:rPr>
        <w:t>来源 报告§11.3、§13.1；参考[61]</w:t>
        <w:br/>
        <w:t>数据与假设依据（不朗读） 正常/缓慢/低谷输入及8000/9000万头目标见结果JSON。最低期初现金按年度累计FCFE负缺口计算，不是公司实际所需融资额度。</w:t>
      </w:r>
    </w:p>
    <w:p>
      <w:r>
        <w:rPr>
          <w:sz w:val="18"/>
        </w:rPr>
        <w:t>录制提示：本页预留约8秒供图表阅读或操作。</w:t>
      </w:r>
    </w:p>
    <w:p>
      <w:pPr>
        <w:pStyle w:val="Heading1"/>
      </w:pPr>
      <w:r>
        <w:t>第41页 存量折旧到期 还要叠加新增与更新折旧</w:t>
      </w:r>
    </w:p>
    <w:p>
      <w:pPr>
        <w:keepNext/>
        <w:spacing w:after="120"/>
      </w:pPr>
      <w:r>
        <w:t>建议时间 43:50 至 45:19</w:t>
      </w:r>
    </w:p>
    <w:p>
      <w:r>
        <w:t>前面的资本开支是实际付款，本页补上另一张账：每年有多少折旧进入利润。公司在二〇二六年六月二十三日交流中说明，未来存量固定资产折旧到期，会降低折旧在完全成本中的占比，并释放利润弹性。年报还披露了不同资产类别的折旧政策。</w:t>
      </w:r>
    </w:p>
    <w:p>
      <w:r>
        <w:t>但是，公司没有在这些材料里给出每一批现有资产还剩几年。所以本例把首年一百一十五点二亿元折旧，均匀分到剩余一至十年各档。这是可修改的年龄情景，不是已披露资产台账。固定维护六十五亿元和增长投资按十年、残值百分之五折旧；其他更新三十亿元暂按二点五年、残值百分之三十资本化，并明确这是待勾稽的类别假设。更新从次年投用，增长按原有付款与达产时点衔接。</w:t>
      </w:r>
    </w:p>
    <w:p>
      <w:r>
        <w:t>图上旧资产折旧下降，新资产折旧上升。这个十年年龄情景中，前几年新增折旧暂时超过到期额，因此成本会有轻微上升，后期才下降。更早到期的年龄结构会更早降本，不能为了让曲线好看而把它当事实。没有边际折旧所得税影响时，利润提高与折旧加回减少抵销；真正改变现金价值的，是实际投入、周转和终值现金预算。</w:t>
      </w:r>
    </w:p>
    <w:p>
      <w:pPr>
        <w:spacing w:after="200"/>
      </w:pPr>
      <w:r>
        <w:rPr>
          <w:sz w:val="18"/>
        </w:rPr>
        <w:t>来源 披露：2026-06活动记录第2页；2025年报财务附注14、17；设定：资产年龄与投入类别</w:t>
        <w:br/>
        <w:t>数据与假设依据（不朗读） 公司2026-06交流第2页说明存量折旧到期降本；2025年报附注14/17给固定资产及种猪折旧政策。首年115.2、存量剩余1—10年均匀、新固定资产10年5%、其他更新2.5年30%均为本次简化模型口径；65/30亿元全部资本化及次年投用亦为情景，真实类别和资产年龄待核对。图线是这些设定的计算结果，不是披露资产台账。</w:t>
      </w:r>
    </w:p>
    <w:p>
      <w:r>
        <w:rPr>
          <w:sz w:val="18"/>
        </w:rPr>
        <w:t>录制提示：本页预留约8秒供图表阅读或操作。</w:t>
      </w:r>
    </w:p>
    <w:p>
      <w:pPr>
        <w:pStyle w:val="Heading1"/>
      </w:pPr>
      <w:r>
        <w:t>第42页 FCFE估值分解</w:t>
      </w:r>
    </w:p>
    <w:p>
      <w:pPr>
        <w:keepNext/>
        <w:spacing w:after="120"/>
      </w:pPr>
      <w:r>
        <w:t>建议时间 45:19 至 46:32</w:t>
      </w:r>
    </w:p>
    <w:p>
      <w:r>
        <w:t>按新增资产批次模型，十年显性FCFE现值仍约二千零五十六点二一亿元。原因是这里边际折旧税效应设为零，折旧进入利润后又在现金桥加回；仅仅更改资产年龄，没有自动创造现金。</w:t>
      </w:r>
    </w:p>
    <w:p>
      <w:r>
        <w:t>终值改用明确的维护更新现金预算九十五亿元，不再强制让现金维护等于旧的恒定折旧一百一十五点二亿元。稳定更新折旧按资本化和残值假设约八十二点七五亿元，归属等价利润约三百六十九点八九亿元。利润加折旧再扣九十五亿元，终值FCFE为三百五十七点六四亿元。所得平量每股价值约五十九点五零元。</w:t>
      </w:r>
    </w:p>
    <w:p>
      <w:r>
        <w:t>原恒定折旧、终值维护等于折旧的对照为五十八点一五元。两者约一点三五元差额来自终值维护现金预算的改变，不能说是折旧到期本身免费增加了这么多价值。实际应用还要验证九十五亿元是否足够长期更新同等产能，以及已经费用化的项目有没有再次扣除。</w:t>
      </w:r>
    </w:p>
    <w:p>
      <w:pPr>
        <w:spacing w:after="200"/>
      </w:pPr>
      <w:r>
        <w:rPr>
          <w:sz w:val="18"/>
        </w:rPr>
        <w:t>来源 报告§12.2.1</w:t>
        <w:br/>
        <w:t>数据与假设依据（不朗读） 显性期2027—2036、折现率10%、g0、股数57.72996144亿、现金维护95亿元为本次参照；年表见cohort_results.json，计算价值59.502314元/股。与恒定折旧对照58.153279的差来自终值维护预算，不是非现金折旧本身制造现金。</w:t>
      </w:r>
    </w:p>
    <w:p>
      <w:r>
        <w:rPr>
          <w:sz w:val="18"/>
        </w:rPr>
        <w:t>录制提示：本页预留约8秒供图表阅读或操作。</w:t>
      </w:r>
    </w:p>
    <w:p>
      <w:pPr>
        <w:pStyle w:val="Heading1"/>
      </w:pPr>
      <w:r>
        <w:t>第43页 长期价格与要求回报敏感性</w:t>
      </w:r>
    </w:p>
    <w:p>
      <w:pPr>
        <w:keepNext/>
        <w:spacing w:after="120"/>
      </w:pPr>
      <w:r>
        <w:t>建议时间 46:32 至 47:39</w:t>
      </w:r>
    </w:p>
    <w:p>
      <w:r>
        <w:t>长期价格和权益要求回报依然是重要参数。这张表保持二〇二七年需求价格不变，改变后续正常全国价，基础成本仍直接采用十一点八元。各格均使用当前修订模型重新计算。</w:t>
      </w:r>
    </w:p>
    <w:p>
      <w:r>
        <w:t>在百分之十权益回报要求下，可以沿中间一列比较十四、十五、十五点五、十六和十七元正常价格的价值变化。也可以固定十五点五元，横向比较百分之八、十和十二的要求回报。同样未来现金，要求回报越高，折回今天越少。</w:t>
      </w:r>
    </w:p>
    <w:p>
      <w:r>
        <w:t>这些格子是指定条件，不是统计置信界。判断差异应该说明来自长期猪价、实际成本、资金投入还是风险回报。公司份额提高也不能自动证明全行业总量更大，行业低成本供给增多时正常中枢还可能变化。这类长期价格判断需要独立证据，不能藏到公司成本栏里处理。</w:t>
      </w:r>
    </w:p>
    <w:p>
      <w:pPr>
        <w:spacing w:after="200"/>
      </w:pPr>
      <w:r>
        <w:rPr>
          <w:sz w:val="18"/>
        </w:rPr>
        <w:t>来源 报告§12.2.2、§13.3</w:t>
        <w:br/>
        <w:t>数据与假设依据（不朗读） 长期猪价14/15/15.5/16/17、股权回报8/10/12%为输入网格；所有曲线值见cohort_results.json matrices，其他条件保持一致。</w:t>
      </w:r>
    </w:p>
    <w:p>
      <w:r>
        <w:rPr>
          <w:sz w:val="18"/>
        </w:rPr>
        <w:t>录制提示：本页预留约10秒供图表阅读或操作。</w:t>
      </w:r>
    </w:p>
    <w:p>
      <w:pPr>
        <w:pStyle w:val="Heading1"/>
      </w:pPr>
      <w:r>
        <w:t>第44页 终值增长与再投资</w:t>
      </w:r>
    </w:p>
    <w:p>
      <w:pPr>
        <w:keepNext/>
        <w:spacing w:after="120"/>
      </w:pPr>
      <w:r>
        <w:t>建议时间 47:39 至 48:44</w:t>
      </w:r>
    </w:p>
    <w:p>
      <w:r>
        <w:t>终值增长仍需要付出资本。零增长下，维护等于折旧，终值现金流为正常利润三百三十七点四四亿元。若采用百分之一或百分之二增长，就按正利润乘增长率、再除以新增权益回报率，扣除支持增长所需的再投资。</w:t>
      </w:r>
    </w:p>
    <w:p>
      <w:r>
        <w:t>新增权益回报先设百分之十五。零增长每股五十九点五零元，百分之一约五十九点二二元，百分之二约六十点五二元。新增回报率属于独立条件，不能仅因为想提高估值就使用很高回报。</w:t>
      </w:r>
    </w:p>
    <w:p>
      <w:r>
        <w:t>如果增长来自纯销量，每新增年销量头的固定资本及营运资金还要和这项再投资匹配。建设先于产出时，显性期最后一年可能就要为终值第一年扩张付款。若增长来自既有资产效率改善，资本需求则可能不同。应先说明增长来自哪里，再选择与之对应的资本预算。</w:t>
      </w:r>
    </w:p>
    <w:p>
      <w:pPr>
        <w:spacing w:after="200"/>
      </w:pPr>
      <w:r>
        <w:rPr>
          <w:sz w:val="18"/>
        </w:rPr>
        <w:t>来源 报告§12.2.3；physicalTerminalExtension</w:t>
        <w:br/>
        <w:t>数据与假设依据（不朗读） g0/1/2%、新增权益ROE15%为设定，扣支持增长再投资后的价值见cohort_results.json terminal。</w:t>
      </w:r>
    </w:p>
    <w:p>
      <w:r>
        <w:rPr>
          <w:sz w:val="18"/>
        </w:rPr>
        <w:t>录制提示：本页预留约8秒供图表阅读或操作。</w:t>
      </w:r>
    </w:p>
    <w:p>
      <w:pPr>
        <w:pStyle w:val="Heading1"/>
      </w:pPr>
      <w:r>
        <w:t>第45页 PE PB 剩余收益与EV的口径</w:t>
      </w:r>
    </w:p>
    <w:p>
      <w:pPr>
        <w:keepNext/>
        <w:spacing w:after="120"/>
      </w:pPr>
      <w:r>
        <w:t>建议时间 48:44 至 49:51</w:t>
      </w:r>
    </w:p>
    <w:p>
      <w:r>
        <w:t>不同方法可以检查假设，比较时先统一正常利润。长期价格十五点五元、基础成本十一点八元、八千万头和百分之九十五折算，对应正常利润三百三十七点四四亿元，静态权益回报约百分之四十二点零八。把这一利润乘十倍，得到约五十八点四五元每股。</w:t>
      </w:r>
    </w:p>
    <w:p>
      <w:r>
        <w:t>如果另选百分之二十正常ROE乘当前权益，利润就只有一百六十点三七亿元。它与经营模型采用的正常利润不同，不能把估值差异都归因于PE或PB方法。在清洁盈余、同一盈利、增长及分配条件下，合理PB和剩余收益应与现金流结果相容。</w:t>
      </w:r>
    </w:p>
    <w:p>
      <w:r>
        <w:t>EV路线先取得同范围集团EBITDA，再扣净债和非控股价值。FCFE已经属于股权现金流，不能再扣净债。利润包含利息时恢复EBITDA需加回同范围利息和折旧，还要还原税费及少数股东范围。各方法应使用同一个经营账户后再比较。</w:t>
      </w:r>
    </w:p>
    <w:p>
      <w:pPr>
        <w:spacing w:after="200"/>
      </w:pPr>
      <w:r>
        <w:rPr>
          <w:sz w:val="18"/>
        </w:rPr>
        <w:t>来源 报告§12.3—§12.6</w:t>
        <w:br/>
        <w:t>数据与假设依据（不朗读） PE、PB、剩余收益和EV方程为恒等式或稳态假设表达；经营范围和资本条件需一致。</w:t>
      </w:r>
    </w:p>
    <w:p>
      <w:r>
        <w:rPr>
          <w:sz w:val="18"/>
        </w:rPr>
        <w:t>录制提示：本页预留约8秒供图表阅读或操作。</w:t>
      </w:r>
    </w:p>
    <w:p>
      <w:pPr>
        <w:pStyle w:val="Heading1"/>
      </w:pPr>
      <w:r>
        <w:t>第46页 销量成长的净增价值</w:t>
      </w:r>
    </w:p>
    <w:p>
      <w:pPr>
        <w:keepNext/>
        <w:spacing w:after="120"/>
      </w:pPr>
      <w:r>
        <w:t>建议时间 49:51 至 51:00</w:t>
      </w:r>
    </w:p>
    <w:p>
      <w:r>
        <w:t>在修订后的统一模型里，八千万头平量价值约五十九点五零元。百分之二增长三次、每新增年销量头一千元当年投资的配置，重算为六十一点九三元；相同销量路径改成两千元提前一年投入，约六十一点一六元。</w:t>
      </w:r>
    </w:p>
    <w:p>
      <w:r>
        <w:t>二〇三一年达到九千万头，价值约六十二点七四元；达到一亿头，约六十五点九七元。相对平量分别增加约三点二四和六点一三元。所有路径都使用同一单位价格和基础成本，区别在销量及配套资本，增长资本与营运资金仍要逐项扣除。</w:t>
      </w:r>
    </w:p>
    <w:p>
      <w:r>
        <w:t>正常基础成本从十一点八降到十一点三，且实现改进所需投入已包含在预算时，修订平量价值约六十六点零五元，增加约七点九零元。这仍是独立的成本改善情景，不能自动当成折旧到期预测。若要增加改造或研发支出，应继续从现金流扣除。</w:t>
      </w:r>
    </w:p>
    <w:p>
      <w:pPr>
        <w:spacing w:after="200"/>
      </w:pPr>
      <w:r>
        <w:rPr>
          <w:sz w:val="18"/>
        </w:rPr>
        <w:t>来源 报告§10.5、§12.7</w:t>
        <w:br/>
        <w:t>数据与假设依据（不朗读） 8000平量、2%增长三次、2031年9000/10000万为设定；1000元当年投资为旧资本对照，2000元提前投资为当前参照。新增价值等于所选FCFE减平量FCFE，非零成本扩张。</w:t>
      </w:r>
    </w:p>
    <w:p>
      <w:r>
        <w:rPr>
          <w:sz w:val="18"/>
        </w:rPr>
        <w:t>录制提示：本页预留约10秒供图表阅读或操作。</w:t>
      </w:r>
    </w:p>
    <w:p>
      <w:pPr>
        <w:pStyle w:val="Heading1"/>
      </w:pPr>
      <w:r>
        <w:t>第47页 峰值利润外推与周期回归</w:t>
      </w:r>
    </w:p>
    <w:p>
      <w:pPr>
        <w:keepNext/>
        <w:spacing w:after="120"/>
      </w:pPr>
      <w:r>
        <w:t>建议时间 51:00 至 52:14</w:t>
      </w:r>
    </w:p>
    <w:p>
      <w:r>
        <w:t>现在回到开头已经完成的主线，直接比较相同首年高价。全年二十元、成本十一点八元的利润，乘十倍得到每股一百二十九点五四元。如果只把这组高价放在首年，随后回到十五点五元，并逐年扣必要资本和营运资金，当前修订模型的现金流价值约七十一点二四元。</w:t>
      </w:r>
    </w:p>
    <w:p>
      <w:r>
        <w:t>十八元全年价对应的高位十倍PE约九十七点九五元，后续回归的现金流价值约六十七点零八元。十六元则分别约六十六点三五和六十二点九二元。这里没有另外改变公司正常基础成本，差异主要来自价格持续期和现金投入。</w:t>
      </w:r>
    </w:p>
    <w:p>
      <w:r>
        <w:t>这解释为什么同一个高位利润可以对应不同定价。某一季触及二十元，也还要重新计算全年销售公斤加权价格。高峰时低PE可能来自较高盈利分母，低谷时PE也可能无定义。我们先完整讲清一种外推，再比较其他经济条件，观众就能知道差异究竟来自哪一步。</w:t>
      </w:r>
    </w:p>
    <w:p>
      <w:pPr>
        <w:spacing w:after="200"/>
      </w:pPr>
      <w:r>
        <w:rPr>
          <w:sz w:val="18"/>
        </w:rPr>
        <w:t>来源 报告§12.8</w:t>
        <w:br/>
        <w:t>数据与假设依据（不朗读） 首年16/18/20元和PE10为输入；高位利润×10PE与后续价格回归15.5的FCFE结果见cohort_results.json peak。价格持续期和资本投入不同。</w:t>
      </w:r>
    </w:p>
    <w:p>
      <w:r>
        <w:rPr>
          <w:sz w:val="18"/>
        </w:rPr>
        <w:t>录制提示：本页预留约10秒供图表阅读或操作。</w:t>
      </w:r>
    </w:p>
    <w:p>
      <w:pPr>
        <w:pStyle w:val="Heading1"/>
      </w:pPr>
      <w:r>
        <w:t>第48页 主线与补充方法的结果对照</w:t>
      </w:r>
    </w:p>
    <w:p>
      <w:pPr>
        <w:keepNext/>
        <w:spacing w:after="120"/>
      </w:pPr>
      <w:r>
        <w:t>建议时间 52:14 至 53:22</w:t>
      </w:r>
    </w:p>
    <w:p>
      <w:r>
        <w:t>把本期各条推理放到同一页。主线先以必要产能成本得到十五点七三元正常中枢，额外指定全年二十元高位价格，转成七百四十七点八四亿元演示利润，再乘十倍PE，得到一百二十九点五四元外推定价。</w:t>
      </w:r>
    </w:p>
    <w:p>
      <w:r>
        <w:t>补充价格路线中，需求法二〇二七年均价约十四点三六元，历史振幅外推约二十点八一元。各自的锚点、函数和时间尺度不同。将需求价格逐年修复到十五点五元，并按十一点八元基础成本与必要资本投入计算，平量股权现金流价值约五十九点五零元；二〇三一年达到九千万头，则约六十二点七四元。</w:t>
      </w:r>
    </w:p>
    <w:p>
      <w:r>
        <w:t>这些结果都按统一股份范围表达，但经济条件并不相同，不能直接平均。需要先确定自己认可的价格及成本条件，再选择相应利润持续期和资本预算。现金流折现基准相当于二〇二六年末，实际交易日应用还要更新过渡现金、股本和融资。</w:t>
      </w:r>
    </w:p>
    <w:p>
      <w:pPr>
        <w:spacing w:after="200"/>
      </w:pPr>
      <w:r>
        <w:rPr>
          <w:sz w:val="18"/>
        </w:rPr>
        <w:t>来源 报告摘要、§12.2、§12.7</w:t>
        <w:br/>
        <w:t>数据与假设依据（不朗读） 复用第8、17、20、32、42、46页，保留各自设定，不新增或平均经济判断。</w:t>
      </w:r>
    </w:p>
    <w:p>
      <w:r>
        <w:rPr>
          <w:sz w:val="18"/>
        </w:rPr>
        <w:t>录制提示：本页预留约5秒供图表阅读或操作。</w:t>
      </w:r>
    </w:p>
    <w:p>
      <w:pPr>
        <w:pStyle w:val="Heading1"/>
      </w:pPr>
      <w:r>
        <w:t>第49页 观测清单与计算网页演示</w:t>
      </w:r>
    </w:p>
    <w:p>
      <w:pPr>
        <w:keepNext/>
        <w:spacing w:after="120"/>
      </w:pPr>
      <w:r>
        <w:t>建议时间 53:22 至 57:11</w:t>
      </w:r>
    </w:p>
    <w:p>
      <w:r>
        <w:t>整期的结论可以落在一张观测清单上。行业端，持续核对母猪与仔猪出生、实际重量、效率和进口；公司端，核对实现售价与全国口径差、完全成本、商品猪销量和资本支出；财务端，核对真正可用现金、债务到期、融资成本与股份变化。</w:t>
      </w:r>
    </w:p>
    <w:p>
      <w:r>
        <w:t>现在打开配套网页，先载入主线高位情景，确认二十元、七百四十七点八四亿元和一百二十九点五四元，再点击修订现金流参照，确认年均价约十四点三六元、首年利润约二百三十三点零八亿元、价值约五十九点五零元。再切换到二〇三一年九千万头，观察提前投资和每股价值变化。之后载入旧销量及投资配置，比较百分之二增长三次、每头一千元当年投资为何得到六十一点九三元。</w:t>
      </w:r>
    </w:p>
    <w:p>
      <w:r>
        <w:t>演示时再把公司成本提高一角，核对首年利润变化约九点一二亿元，然后恢复论文参照并导出结果。也可以尝试把折现率设到不高于终值增长率，观察网页提示错误而不保留旧结果。观众最终得到的是一套能复查、能修改、能被新证据否定的研究判断。每个数值都应与自己的成本、需求和资本条件一起被记住。</w:t>
      </w:r>
    </w:p>
    <w:p>
      <w:pPr>
        <w:spacing w:after="200"/>
      </w:pPr>
      <w:r>
        <w:rPr>
          <w:sz w:val="18"/>
        </w:rPr>
        <w:t>来源 报告§13—§15、附录A；配套网页</w:t>
        <w:br/>
        <w:t>数据与假设依据（不朗读） 747.84/129.54为主线演算，233.08/59.50为新批次FCFE参照，62.74为9000万情景；成本增加0.1导致首年利润减少9.12亿元=96×0.1×95%。</w:t>
      </w:r>
    </w:p>
    <w:p>
      <w:r>
        <w:rPr>
          <w:sz w:val="18"/>
        </w:rPr>
        <w:t>录制提示：本页预留约150秒供图表阅读或操作。</w:t>
      </w:r>
    </w:p>
    <w:p>
      <w:r>
        <w:br w:type="page"/>
      </w:r>
    </w:p>
    <w:p>
      <w:pPr>
        <w:pStyle w:val="Heading1"/>
      </w:pPr>
      <w:r>
        <w:t>第50页 附录A 名词与单位</w:t>
      </w:r>
    </w:p>
    <w:p>
      <w:pPr>
        <w:keepNext/>
        <w:spacing w:after="120"/>
      </w:pPr>
      <w:r>
        <w:t>查阅附录，不计主讲时长</w:t>
      </w:r>
    </w:p>
    <w:p>
      <w:r>
        <w:t>本页作为答疑查阅。重点解释生产阶段、母猪分母和价格环节，避免把活猪、零售、出栏活重和活重增量混用。主讲可略过。 资产批次折旧另列存量和新增部分，均使用归属等价金额。</w:t>
      </w:r>
    </w:p>
    <w:p>
      <w:pPr>
        <w:spacing w:after="200"/>
      </w:pPr>
      <w:r>
        <w:rPr>
          <w:sz w:val="18"/>
        </w:rPr>
        <w:t>来源 报告§2、附录C</w:t>
        <w:br/>
        <w:t>数据与假设依据（不朗读） 单位和符号定义，不属于额外预测。</w:t>
      </w:r>
    </w:p>
    <w:p>
      <w:pPr>
        <w:pStyle w:val="Heading1"/>
      </w:pPr>
      <w:r>
        <w:t>第51页 附录B 主要参照参数</w:t>
      </w:r>
    </w:p>
    <w:p>
      <w:pPr>
        <w:keepNext/>
        <w:spacing w:after="120"/>
      </w:pPr>
      <w:r>
        <w:t>查阅附录，不计主讲时长</w:t>
      </w:r>
    </w:p>
    <w:p>
      <w:r>
        <w:t>此页列最常用的参照参数。完整账本包括未在主讲中逐项展示的辅助输入，网页导出配置包含版本及全部字段。主讲可略过。</w:t>
      </w:r>
    </w:p>
    <w:p>
      <w:pPr>
        <w:spacing w:after="200"/>
      </w:pPr>
      <w:r>
        <w:rPr>
          <w:sz w:val="18"/>
        </w:rPr>
        <w:t>来源 报告附录C、附录E</w:t>
        <w:br/>
        <w:t>数据与假设依据（不朗读） 3750政策目标及3602万头为公开资料，其他显示经营、效率、折现、投资和折旧输入均为可修改情景；全部131字段见当前PARAMS。</w:t>
      </w:r>
    </w:p>
    <w:p>
      <w:pPr>
        <w:pStyle w:val="Heading1"/>
      </w:pPr>
      <w:r>
        <w:t>第52页 附录C 十年现金流参照</w:t>
      </w:r>
    </w:p>
    <w:p>
      <w:pPr>
        <w:keepNext/>
        <w:spacing w:after="120"/>
      </w:pPr>
      <w:r>
        <w:t>查阅附录，不计主讲时长</w:t>
      </w:r>
    </w:p>
    <w:p>
      <w:r>
        <w:t>本表采用存量到期及新增、更新资产的批次折旧情景。基础经营输入仍是首年完全成本十一点八元及其所含参考折旧，表中完全成本再按实际批次折旧重算，不能把十一点八永久不变与折旧下降同时用于同一利润账户。年龄分布不是公司披露台账。完整存量、新增和合计折旧见网页年度表及公开结果JSON。</w:t>
      </w:r>
    </w:p>
    <w:p>
      <w:pPr>
        <w:spacing w:after="200"/>
      </w:pPr>
      <w:r>
        <w:rPr>
          <w:sz w:val="18"/>
        </w:rPr>
        <w:t>来源 报告§12.2.1</w:t>
        <w:br/>
        <w:t>数据与假设依据（不朗读） 所有年份的价格、等价完全成本、利润、存量及新增折旧、维护、营运金和FCFE来自cohort_results.json base.annual；输入与限制见第41、42页。</w:t>
      </w:r>
    </w:p>
    <w:p>
      <w:pPr>
        <w:pStyle w:val="Heading1"/>
      </w:pPr>
      <w:r>
        <w:t>第53页 附录D 报告 网页与脚本对应</w:t>
      </w:r>
    </w:p>
    <w:p>
      <w:pPr>
        <w:keepNext/>
        <w:spacing w:after="120"/>
      </w:pPr>
      <w:r>
        <w:t>查阅附录，不计主讲时长</w:t>
      </w:r>
    </w:p>
    <w:p>
      <w:r>
        <w:t>补充计算的最低资金需求和终值物理扩张对照，不能假称已由网页主模型自动给出。配置、来源和计算结果分别保存，便于复核。</w:t>
      </w:r>
    </w:p>
    <w:p>
      <w:pPr>
        <w:spacing w:after="200"/>
      </w:pPr>
      <w:r>
        <w:rPr>
          <w:sz w:val="18"/>
        </w:rPr>
        <w:t>来源 报告附录A—B</w:t>
        <w:br/>
        <w:t>数据与假设依据（不朗读） 字段名与复算文件名来自当前源代码，不新增经济数据。</w:t>
      </w:r>
    </w:p>
    <w:p>
      <w:pPr>
        <w:pStyle w:val="Heading1"/>
      </w:pPr>
      <w:r>
        <w:t>第54页 附录E 算法核查结论</w:t>
      </w:r>
    </w:p>
    <w:p>
      <w:pPr>
        <w:keepNext/>
        <w:spacing w:after="120"/>
      </w:pPr>
      <w:r>
        <w:t>查阅附录，不计主讲时长</w:t>
      </w:r>
    </w:p>
    <w:p>
      <w:r>
        <w:t>本次按当前修订计算版本重算所有估值，原引擎的数值检查不再冒充新版测试结果。基础成本、折旧和现金支出分别列明，年度现金流及成长差额均可独立复算。</w:t>
      </w:r>
    </w:p>
    <w:p>
      <w:pPr>
        <w:spacing w:after="200"/>
      </w:pPr>
      <w:r>
        <w:rPr>
          <w:sz w:val="18"/>
        </w:rPr>
        <w:t>来源 修订audit.md、测试日志</w:t>
        <w:br/>
        <w:t>数据与假设依据（不朗读） 版本、字段数量、测试数及估值由当前代码与测试日志直接计数；不是外部研究结论。</w:t>
      </w:r>
    </w:p>
    <w:p>
      <w:pPr>
        <w:pStyle w:val="Heading1"/>
      </w:pPr>
      <w:r>
        <w:t>第55页 附录F 来源与研究材料</w:t>
      </w:r>
    </w:p>
    <w:p>
      <w:pPr>
        <w:keepNext/>
        <w:spacing w:after="120"/>
      </w:pPr>
      <w:r>
        <w:t>查阅附录，不计主讲时长</w:t>
      </w:r>
    </w:p>
    <w:p>
      <w:r>
        <w:t>本次讲解以用户提供的源材料为证据基础，报告及计算按当前修订条件重新组织。原始统计与公司披露来源继续保留，未来成本及折旧未披露部分明确作为情景。</w:t>
      </w:r>
    </w:p>
    <w:p>
      <w:pPr>
        <w:spacing w:after="200"/>
      </w:pPr>
      <w:r>
        <w:rPr>
          <w:sz w:val="18"/>
        </w:rPr>
        <w:t>来源 报告参考文献[1]—[65]</w:t>
        <w:br/>
        <w:t>数据与假设依据（不朗读） 65为报告直接引用编号数量；完整冻结来源登记sourceCount158另有辅助资料，不混作65项。</w:t>
      </w:r>
    </w:p>
    <w:p>
      <w:pPr>
        <w:pStyle w:val="Heading1"/>
      </w:pPr>
      <w:r>
        <w:t>第56页 附录G 美国经验的适用范围</w:t>
      </w:r>
    </w:p>
    <w:p>
      <w:pPr>
        <w:keepNext/>
        <w:spacing w:after="120"/>
      </w:pPr>
      <w:r>
        <w:t>查阅附录，不计主讲时长</w:t>
      </w:r>
    </w:p>
    <w:p>
      <w:r>
        <w:t>美国经验可以帮助我们思考成熟市场，但必须保持定义。五千头以上经营单位的存栏份额，从二〇〇二年的百分之五十三提高到二〇二二年的百分之七十五。这是按经营单位规模分组，成员会跨组迁移，不能直接当固定企业的所有权集中度。</w:t>
      </w:r>
    </w:p>
    <w:p>
      <w:r>
        <w:t>美国商业屠宰头数过去十年复合增速约百分之一点零六，说明行业总量成熟之后，头部仍可能通过份额变化增长。USDA育肥系统调查还显示，大规模组的经济成本点值更低，但单位是美元每一百磅活重增量，包含购入仔猪及合同双方相关成本，与中国每公斤出栏活重成本比较前要调整。</w:t>
      </w:r>
    </w:p>
    <w:p>
      <w:r>
        <w:t>Smithfield内部养猪量下降，也提示我们成长可以来自更有效地组织猪源和减少低回报资本占用。对国内养殖行业而言，自养、加工、技术服务和海外合作的扩张，都需要比较投入、资本占用和回收期，不能只看规模。</w:t>
      </w:r>
    </w:p>
    <w:p>
      <w:pPr>
        <w:spacing w:after="200"/>
      </w:pPr>
      <w:r>
        <w:rPr>
          <w:sz w:val="18"/>
        </w:rPr>
        <w:t>来源 报告§10.6—§10.8；参考[52]—[58]</w:t>
        <w:br/>
        <w:t>数据与假设依据（不朗读） 53/75%为美国规模组存栏份额；商业屠宰CAGR1.06%为2015—2025计算；85.85/61.21美元单位为100磅增重经济成本；Smithfield1760/1110万头为内部养殖量。参考[52]—[58]，不同生产阶段不可直接套中国成本。</w:t>
      </w:r>
    </w:p>
    <w:p>
      <w:r>
        <w:rPr>
          <w:sz w:val="18"/>
        </w:rPr>
        <w:t>录制提示：本页预留约7秒供图表阅读或操作。</w:t>
      </w:r>
    </w:p>
    <w:p>
      <w:pPr>
        <w:pStyle w:val="Heading1"/>
      </w:pPr>
      <w:r>
        <w:t>第57页 附录H 历史反应系数的敏感性</w:t>
      </w:r>
    </w:p>
    <w:p>
      <w:pPr>
        <w:keepNext/>
        <w:spacing w:after="120"/>
      </w:pPr>
      <w:r>
        <w:t>查阅附录，不计主讲时长</w:t>
      </w:r>
    </w:p>
    <w:p>
      <w:r>
        <w:t>历史振幅系数的构造，是用价格谷到峰的对数涨幅，除以历史有效供给收缩的负对数。默认假设历史MSY每年提高百分之二，两段MARA校准系数的中位数约七点五九。</w:t>
      </w:r>
    </w:p>
    <w:p>
      <w:r>
        <w:t>一个看起来反直觉的地方是：如果提高历史效率增长假设，算出的振幅系数反而更大。原因是同样的母猪减少，被效率改善抵消后，历史有效供给收缩更小；同样的价格上涨就被归因给更小的数量变化，系数自然上升。</w:t>
      </w:r>
    </w:p>
    <w:p>
      <w:r>
        <w:t>当有效供给收缩接近零，分母也接近零，系数会非常不稳定。代码因此对有效去化不足百分之二的阶段排除自动校准。这个阈值是数值稳定规则，不能当经济定律。表中高效率假设得到很高价格，主要反映外推函数的放大效应，其用途更接近压力测试，预测能力仍需要额外的样本外检验。</w:t>
      </w:r>
    </w:p>
    <w:p>
      <w:pPr>
        <w:spacing w:after="200"/>
      </w:pPr>
      <w:r>
        <w:rPr>
          <w:sz w:val="18"/>
        </w:rPr>
        <w:t>来源 报告§6.2—§6.3</w:t>
        <w:br/>
        <w:t>数据与假设依据（不朗读） 历史MSY年增0/2/5%或仅用某一阶段均为校准选择；β与2027均价/Q4价由独立价格脚本重算。不是已观测的未来价格或效率。</w:t>
      </w:r>
    </w:p>
    <w:p>
      <w:r>
        <w:rPr>
          <w:sz w:val="18"/>
        </w:rPr>
        <w:t>录制提示：本页预留约8秒供图表阅读或操作。</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逐页口播讲稿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60"/>
    </w:pPr>
    <w:rPr>
      <w:rFonts w:ascii="Microsoft YaHei" w:hAnsi="Microsoft YaHei" w:eastAsia="Microsoft YaHe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