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5AAC"/>
          <w:sz w:val="56"/>
          <w:szCs w:val="56"/>
        </w:rPr>
        <w:t xml:space="preserve">Echo (God Tear AI Brain)</w:t>
      </w:r>
    </w:p>
    <w:p>
      <w:pPr>
        <w:spacing w:after="300"/>
      </w:pPr>
      <w:r>
        <w:rPr>
          <w:i/>
          <w:iCs/>
          <w:color w:val="666666"/>
          <w:sz w:val="26"/>
          <w:szCs w:val="26"/>
        </w:rPr>
        <w:t xml:space="preserve">Project Documentation — Architecture, Features &amp; Current Status</w:t>
      </w:r>
    </w:p>
    <w:p>
      <w:pPr>
        <w:spacing w:after="160" w:line="276"/>
      </w:pPr>
      <w:r>
        <w:rPr>
          <w:i/>
          <w:iCs/>
          <w:color w:val="666666"/>
          <w:sz w:val="20"/>
          <w:szCs w:val="20"/>
        </w:rPr>
        <w:t xml:space="preserve">Prepared from a direct review of the codebase (backend, frontend, packaging configs, and live application database) as of July 13, 2026.</w:t>
      </w:r>
    </w:p>
    <w:p>
      <w:pPr>
        <w:pStyle w:val="Heading1"/>
        <w:spacing w:after="160" w:before="360"/>
      </w:pPr>
      <w:r>
        <w:t xml:space="preserve">1. What This Project Is</w:t>
      </w:r>
    </w:p>
    <w:p>
      <w:pPr>
        <w:spacing w:after="160" w:line="276"/>
      </w:pPr>
      <w:r>
        <w:t xml:space="preserve">Echo, internally codenamed “God Tear AI Brain,” is a self-built AI chat application designed around a single core idea: an AI assistant should be governed by an explicit, versioned set of values rather than an implicit or opaque one, and it should actively work against fostering dependence on itself. It is not a wrapper around a single model provider — it's a full-stack application with its own backend logic layer that sits between the user and whichever underlying language model (Claude, GPT, Gemini, Grok, or a local Ollama model) answers a given message.</w:t>
      </w:r>
    </w:p>
    <w:p>
      <w:pPr>
        <w:spacing w:after="160" w:line="276"/>
      </w:pPr>
      <w:r>
        <w:t xml:space="preserve">The project is built around four pillars, each implemented as real, working code rather than aspirational documentation:</w:t>
      </w:r>
    </w:p>
    <w:p>
      <w:pPr>
        <w:pStyle w:val="ListParagraph"/>
        <w:numPr>
          <w:ilvl w:val="0"/>
          <w:numId w:val="2"/>
        </w:numPr>
        <w:spacing w:after="80" w:line="276"/>
      </w:pPr>
      <w:r>
        <w:t xml:space="preserve">Echo — the chat persona itself: truth-seeking, transparent about its own reasoning, resistant to sycophancy and jailbreak attempts, and designed to discourage unhealthy reliance on it.</w:t>
      </w:r>
    </w:p>
    <w:p>
      <w:pPr>
        <w:pStyle w:val="ListParagraph"/>
        <w:numPr>
          <w:ilvl w:val="0"/>
          <w:numId w:val="2"/>
        </w:numPr>
        <w:spacing w:after="80" w:line="276"/>
      </w:pPr>
      <w:r>
        <w:t xml:space="preserve">Atlas — a persistent memory system that remembers facts about the user and the relationship across every conversation, tagged with an honesty label (how sure Echo actually is) and searchable by meaning, not just keywords.</w:t>
      </w:r>
    </w:p>
    <w:p>
      <w:pPr>
        <w:pStyle w:val="ListParagraph"/>
        <w:numPr>
          <w:ilvl w:val="0"/>
          <w:numId w:val="2"/>
        </w:numPr>
        <w:spacing w:after="80" w:line="276"/>
      </w:pPr>
      <w:r>
        <w:t xml:space="preserve">Constitution — a ranked set of core values, a small number of immutable “Value Invariants” that cannot be voted away, and documented protocols for handling edge cases like jailbreak attempts.</w:t>
      </w:r>
    </w:p>
    <w:p>
      <w:pPr>
        <w:pStyle w:val="ListParagraph"/>
        <w:numPr>
          <w:ilvl w:val="0"/>
          <w:numId w:val="2"/>
        </w:numPr>
        <w:spacing w:after="80" w:line="276"/>
      </w:pPr>
      <w:r>
        <w:t xml:space="preserve">Guardian Council — a simulated governance process for amending the constitution: a Founder proposes changes, three Guardians and a Verifier vote, and a 2-of-3 Guardian approval plus Verifier sign-off is required to ratify anything.</w:t>
      </w:r>
    </w:p>
    <w:p>
      <w:pPr>
        <w:spacing w:after="160" w:line="276"/>
      </w:pPr>
      <w:r>
        <w:t xml:space="preserve">This is a single-user application — the “Guardian Council” roles are simulated via a role switcher in the UI (you act as Founder, Guardian A/B/C, or Verifier yourself), not real separate accounts. The point of the Council isn't multi-party governance in practice; it's forcing any change to Echo's values through a deliberate, logged, adversarial-checked process instead of a silent prompt edit.</w:t>
      </w:r>
    </w:p>
    <w:p>
      <w:pPr>
        <w:pStyle w:val="Heading1"/>
        <w:spacing w:after="160" w:before="360"/>
      </w:pPr>
      <w:r>
        <w:t xml:space="preserve">2. Technology Stack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E8EDF7" w:val="clear"/>
            <w:tcMar>
              <w:top w:type="dxa" w:w="80"/>
              <w:left w:type="dxa" w:w="100"/>
              <w:bottom w:type="dxa" w:w="80"/>
              <w:right w:type="dxa" w:w="100"/>
            </w:tcMar>
          </w:tcPr>
          <w:p>
            <w:r>
              <w:rPr>
                <w:b/>
                <w:bCs/>
                <w:sz w:val="19"/>
                <w:szCs w:val="19"/>
              </w:rPr>
              <w:t xml:space="preserve">Layer</w:t>
            </w:r>
          </w:p>
        </w:tc>
        <w:tc>
          <w:tcPr>
            <w:tcW w:type="dxa" w:w="7000"/>
            <w:shd w:fill="E8EDF7" w:val="clear"/>
            <w:tcMar>
              <w:top w:type="dxa" w:w="80"/>
              <w:left w:type="dxa" w:w="100"/>
              <w:bottom w:type="dxa" w:w="80"/>
              <w:right w:type="dxa" w:w="100"/>
            </w:tcMar>
          </w:tcPr>
          <w:p>
            <w:r>
              <w:rPr>
                <w:b/>
                <w:bCs/>
                <w:sz w:val="19"/>
                <w:szCs w:val="19"/>
              </w:rPr>
              <w:t xml:space="preserve">Technology</w:t>
            </w:r>
          </w:p>
        </w:tc>
      </w:tr>
      <w:tr>
        <w:tc>
          <w:tcPr>
            <w:tcW w:type="dxa" w:w="2400"/>
            <w:tcMar>
              <w:top w:type="dxa" w:w="80"/>
              <w:left w:type="dxa" w:w="100"/>
              <w:bottom w:type="dxa" w:w="80"/>
              <w:right w:type="dxa" w:w="100"/>
            </w:tcMar>
          </w:tcPr>
          <w:p>
            <w:r>
              <w:rPr>
                <w:b w:val="false"/>
                <w:bCs w:val="false"/>
                <w:sz w:val="19"/>
                <w:szCs w:val="19"/>
              </w:rPr>
              <w:t xml:space="preserve">Backend</w:t>
            </w:r>
          </w:p>
        </w:tc>
        <w:tc>
          <w:tcPr>
            <w:tcW w:type="dxa" w:w="7000"/>
            <w:tcMar>
              <w:top w:type="dxa" w:w="80"/>
              <w:left w:type="dxa" w:w="100"/>
              <w:bottom w:type="dxa" w:w="80"/>
              <w:right w:type="dxa" w:w="100"/>
            </w:tcMar>
          </w:tcPr>
          <w:p>
            <w:r>
              <w:rPr>
                <w:b w:val="false"/>
                <w:bCs w:val="false"/>
                <w:sz w:val="19"/>
                <w:szCs w:val="19"/>
              </w:rPr>
              <w:t xml:space="preserve">FastAPI (Python) + SQLAlchemy ORM over SQLite</w:t>
            </w:r>
          </w:p>
        </w:tc>
      </w:tr>
      <w:tr>
        <w:tc>
          <w:tcPr>
            <w:tcW w:type="dxa" w:w="2400"/>
            <w:tcMar>
              <w:top w:type="dxa" w:w="80"/>
              <w:left w:type="dxa" w:w="100"/>
              <w:bottom w:type="dxa" w:w="80"/>
              <w:right w:type="dxa" w:w="100"/>
            </w:tcMar>
          </w:tcPr>
          <w:p>
            <w:r>
              <w:rPr>
                <w:b w:val="false"/>
                <w:bCs w:val="false"/>
                <w:sz w:val="19"/>
                <w:szCs w:val="19"/>
              </w:rPr>
              <w:t xml:space="preserve">Memory / semantic search</w:t>
            </w:r>
          </w:p>
        </w:tc>
        <w:tc>
          <w:tcPr>
            <w:tcW w:type="dxa" w:w="7000"/>
            <w:tcMar>
              <w:top w:type="dxa" w:w="80"/>
              <w:left w:type="dxa" w:w="100"/>
              <w:bottom w:type="dxa" w:w="80"/>
              <w:right w:type="dxa" w:w="100"/>
            </w:tcMar>
          </w:tcPr>
          <w:p>
            <w:r>
              <w:rPr>
                <w:b w:val="false"/>
                <w:bCs w:val="false"/>
                <w:sz w:val="19"/>
                <w:szCs w:val="19"/>
              </w:rPr>
              <w:t xml:space="preserve">ChromaDB (local, persistent) with all-MiniLM-L6-v2 sentence-transformer embeddings</w:t>
            </w:r>
          </w:p>
        </w:tc>
      </w:tr>
      <w:tr>
        <w:tc>
          <w:tcPr>
            <w:tcW w:type="dxa" w:w="2400"/>
            <w:tcMar>
              <w:top w:type="dxa" w:w="80"/>
              <w:left w:type="dxa" w:w="100"/>
              <w:bottom w:type="dxa" w:w="80"/>
              <w:right w:type="dxa" w:w="100"/>
            </w:tcMar>
          </w:tcPr>
          <w:p>
            <w:r>
              <w:rPr>
                <w:b w:val="false"/>
                <w:bCs w:val="false"/>
                <w:sz w:val="19"/>
                <w:szCs w:val="19"/>
              </w:rPr>
              <w:t xml:space="preserve">Frontend</w:t>
            </w:r>
          </w:p>
        </w:tc>
        <w:tc>
          <w:tcPr>
            <w:tcW w:type="dxa" w:w="7000"/>
            <w:tcMar>
              <w:top w:type="dxa" w:w="80"/>
              <w:left w:type="dxa" w:w="100"/>
              <w:bottom w:type="dxa" w:w="80"/>
              <w:right w:type="dxa" w:w="100"/>
            </w:tcMar>
          </w:tcPr>
          <w:p>
            <w:r>
              <w:rPr>
                <w:b w:val="false"/>
                <w:bCs w:val="false"/>
                <w:sz w:val="19"/>
                <w:szCs w:val="19"/>
              </w:rPr>
              <w:t xml:space="preserve">React + TypeScript + Tailwind CSS, built with Vite</w:t>
            </w:r>
          </w:p>
        </w:tc>
      </w:tr>
      <w:tr>
        <w:tc>
          <w:tcPr>
            <w:tcW w:type="dxa" w:w="2400"/>
            <w:tcMar>
              <w:top w:type="dxa" w:w="80"/>
              <w:left w:type="dxa" w:w="100"/>
              <w:bottom w:type="dxa" w:w="80"/>
              <w:right w:type="dxa" w:w="100"/>
            </w:tcMar>
          </w:tcPr>
          <w:p>
            <w:r>
              <w:rPr>
                <w:b w:val="false"/>
                <w:bCs w:val="false"/>
                <w:sz w:val="19"/>
                <w:szCs w:val="19"/>
              </w:rPr>
              <w:t xml:space="preserve">Desktop app</w:t>
            </w:r>
          </w:p>
        </w:tc>
        <w:tc>
          <w:tcPr>
            <w:tcW w:type="dxa" w:w="7000"/>
            <w:tcMar>
              <w:top w:type="dxa" w:w="80"/>
              <w:left w:type="dxa" w:w="100"/>
              <w:bottom w:type="dxa" w:w="80"/>
              <w:right w:type="dxa" w:w="100"/>
            </w:tcMar>
          </w:tcPr>
          <w:p>
            <w:r>
              <w:rPr>
                <w:b w:val="false"/>
                <w:bCs w:val="false"/>
                <w:sz w:val="19"/>
                <w:szCs w:val="19"/>
              </w:rPr>
              <w:t xml:space="preserve">Tauri 2 (wraps the web frontend as a native Windows app, app.exe)</w:t>
            </w:r>
          </w:p>
        </w:tc>
      </w:tr>
      <w:tr>
        <w:tc>
          <w:tcPr>
            <w:tcW w:type="dxa" w:w="2400"/>
            <w:tcMar>
              <w:top w:type="dxa" w:w="80"/>
              <w:left w:type="dxa" w:w="100"/>
              <w:bottom w:type="dxa" w:w="80"/>
              <w:right w:type="dxa" w:w="100"/>
            </w:tcMar>
          </w:tcPr>
          <w:p>
            <w:r>
              <w:rPr>
                <w:b w:val="false"/>
                <w:bCs w:val="false"/>
                <w:sz w:val="19"/>
                <w:szCs w:val="19"/>
              </w:rPr>
              <w:t xml:space="preserve">Android app</w:t>
            </w:r>
          </w:p>
        </w:tc>
        <w:tc>
          <w:tcPr>
            <w:tcW w:type="dxa" w:w="7000"/>
            <w:tcMar>
              <w:top w:type="dxa" w:w="80"/>
              <w:left w:type="dxa" w:w="100"/>
              <w:bottom w:type="dxa" w:w="80"/>
              <w:right w:type="dxa" w:w="100"/>
            </w:tcMar>
          </w:tcPr>
          <w:p>
            <w:r>
              <w:rPr>
                <w:b w:val="false"/>
                <w:bCs w:val="false"/>
                <w:sz w:val="19"/>
                <w:szCs w:val="19"/>
              </w:rPr>
              <w:t xml:space="preserve">Capacitor 8 (wraps the web frontend as a native Android app, appId com.godtear.echo)</w:t>
            </w:r>
          </w:p>
        </w:tc>
      </w:tr>
      <w:tr>
        <w:tc>
          <w:tcPr>
            <w:tcW w:type="dxa" w:w="2400"/>
            <w:tcMar>
              <w:top w:type="dxa" w:w="80"/>
              <w:left w:type="dxa" w:w="100"/>
              <w:bottom w:type="dxa" w:w="80"/>
              <w:right w:type="dxa" w:w="100"/>
            </w:tcMar>
          </w:tcPr>
          <w:p>
            <w:r>
              <w:rPr>
                <w:b w:val="false"/>
                <w:bCs w:val="false"/>
                <w:sz w:val="19"/>
                <w:szCs w:val="19"/>
              </w:rPr>
              <w:t xml:space="preserve">Progressive Web App</w:t>
            </w:r>
          </w:p>
        </w:tc>
        <w:tc>
          <w:tcPr>
            <w:tcW w:type="dxa" w:w="7000"/>
            <w:tcMar>
              <w:top w:type="dxa" w:w="80"/>
              <w:left w:type="dxa" w:w="100"/>
              <w:bottom w:type="dxa" w:w="80"/>
              <w:right w:type="dxa" w:w="100"/>
            </w:tcMar>
          </w:tcPr>
          <w:p>
            <w:r>
              <w:rPr>
                <w:b w:val="false"/>
                <w:bCs w:val="false"/>
                <w:sz w:val="19"/>
                <w:szCs w:val="19"/>
              </w:rPr>
              <w:t xml:space="preserve">Web app manifest + service worker (installable, app-shell caching)</w:t>
            </w:r>
          </w:p>
        </w:tc>
      </w:tr>
      <w:tr>
        <w:tc>
          <w:tcPr>
            <w:tcW w:type="dxa" w:w="2400"/>
            <w:tcMar>
              <w:top w:type="dxa" w:w="80"/>
              <w:left w:type="dxa" w:w="100"/>
              <w:bottom w:type="dxa" w:w="80"/>
              <w:right w:type="dxa" w:w="100"/>
            </w:tcMar>
          </w:tcPr>
          <w:p>
            <w:r>
              <w:rPr>
                <w:b w:val="false"/>
                <w:bCs w:val="false"/>
                <w:sz w:val="19"/>
                <w:szCs w:val="19"/>
              </w:rPr>
              <w:t xml:space="preserve">Containerization</w:t>
            </w:r>
          </w:p>
        </w:tc>
        <w:tc>
          <w:tcPr>
            <w:tcW w:type="dxa" w:w="7000"/>
            <w:tcMar>
              <w:top w:type="dxa" w:w="80"/>
              <w:left w:type="dxa" w:w="100"/>
              <w:bottom w:type="dxa" w:w="80"/>
              <w:right w:type="dxa" w:w="100"/>
            </w:tcMar>
          </w:tcPr>
          <w:p>
            <w:r>
              <w:rPr>
                <w:b w:val="false"/>
                <w:bCs w:val="false"/>
                <w:sz w:val="19"/>
                <w:szCs w:val="19"/>
              </w:rPr>
              <w:t xml:space="preserve">Docker Compose (backend + nginx-served frontend, proxying /api to the backend)</w:t>
            </w:r>
          </w:p>
        </w:tc>
      </w:tr>
    </w:tbl>
    <w:p>
      <w:pPr>
        <w:spacing w:after="160" w:line="276"/>
      </w:pPr>
      <w:r>
        <w:t xml:space="preserve"/>
      </w:r>
    </w:p>
    <w:p>
      <w:pPr>
        <w:spacing w:after="160" w:line="276"/>
      </w:pPr>
      <w:r>
        <w:t xml:space="preserve">Backend size is roughly 1,400 lines of Python across a constitution module, a council/governance module, a memory (Atlas) module, a persona/prompt-assembly module, a model router, five provider adapters, and seven API route files. The frontend is roughly 1,000+ lines of TypeScript/TSX across five main views (Chat, Atlas, Constitution, Amendments, Self-Improvement) plus shared state and API client code.</w:t>
      </w:r>
    </w:p>
    <w:p>
      <w:pPr>
        <w:pStyle w:val="Heading1"/>
        <w:spacing w:after="160" w:before="360"/>
      </w:pPr>
      <w:r>
        <w:t xml:space="preserve">3. Model Routing — Multi-Provider Support</w:t>
      </w:r>
    </w:p>
    <w:p>
      <w:pPr>
        <w:spacing w:after="160" w:line="276"/>
      </w:pPr>
      <w:r>
        <w:t xml:space="preserve">Echo does not depend on any single AI vendor. backend/app/router.py implements a ModelRouter that can call five different backends through a common interface (ModelProvider), each returning the same ChatResult shape regardless of vendor:</w:t>
      </w:r>
    </w:p>
    <w:p>
      <w:pPr>
        <w:pStyle w:val="ListParagraph"/>
        <w:numPr>
          <w:ilvl w:val="0"/>
          <w:numId w:val="2"/>
        </w:numPr>
        <w:spacing w:after="80" w:line="276"/>
      </w:pPr>
      <w:r>
        <w:t xml:space="preserve">Anthropic (Claude) — backend/app/providers/anthropic_provider.py, via the official anthropic SDK.</w:t>
      </w:r>
    </w:p>
    <w:p>
      <w:pPr>
        <w:pStyle w:val="ListParagraph"/>
        <w:numPr>
          <w:ilvl w:val="0"/>
          <w:numId w:val="2"/>
        </w:numPr>
        <w:spacing w:after="80" w:line="276"/>
      </w:pPr>
      <w:r>
        <w:t xml:space="preserve">OpenAI (GPT) — openai_provider.py.</w:t>
      </w:r>
    </w:p>
    <w:p>
      <w:pPr>
        <w:pStyle w:val="ListParagraph"/>
        <w:numPr>
          <w:ilvl w:val="0"/>
          <w:numId w:val="2"/>
        </w:numPr>
        <w:spacing w:after="80" w:line="276"/>
      </w:pPr>
      <w:r>
        <w:t xml:space="preserve">Google Gemini — gemini_provider.py, called directly over Gemini's REST API (not the SDK) via httpx; this is also the only provider currently wired for real vision (image understanding), passing image bytes as inline_data parts.</w:t>
      </w:r>
    </w:p>
    <w:p>
      <w:pPr>
        <w:pStyle w:val="ListParagraph"/>
        <w:numPr>
          <w:ilvl w:val="0"/>
          <w:numId w:val="2"/>
        </w:numPr>
        <w:spacing w:after="80" w:line="276"/>
      </w:pPr>
      <w:r>
        <w:t xml:space="preserve">xAI Grok — grok_provider.py, via OpenAI's client pointed at xAI's OpenAI-compatible endpoint.</w:t>
      </w:r>
    </w:p>
    <w:p>
      <w:pPr>
        <w:pStyle w:val="ListParagraph"/>
        <w:numPr>
          <w:ilvl w:val="0"/>
          <w:numId w:val="2"/>
        </w:numPr>
        <w:spacing w:after="80" w:line="276"/>
      </w:pPr>
      <w:r>
        <w:t xml:space="preserve">Local Ollama — ollama_provider.py, a no-API-key fallback that talks to a locally running Ollama instance (default model llama3.1).</w:t>
      </w:r>
    </w:p>
    <w:p>
      <w:pPr>
        <w:spacing w:after="160" w:line="276"/>
      </w:pPr>
      <w:r>
        <w:t xml:space="preserve">Two selection modes exist: pinning a specific provider from the model picker in the UI, or “auto” mode, which tries providers in a fixed priority order (Anthropic → OpenAI → Gemini → Grok → Ollama) and uses the first one that is both configured (has an API key, or is a reachable local Ollama) and doesn't fail. If a higher-priority provider is rate-limited (HTTP 429) on that turn, auto mode transparently falls through to the next one and reports this back to the UI as a fallback_note (e.g. “gemini rate-limited this turn; replied via ollama”) rather than silently or invisibly degrading. Every real request and every real 429 response is logged per-provider per-day in a provider_usage_daily table (backend/app/usage.py), specifically avoiding hardcoding any vendor's actual rate-limit numbers since those change — it only ever records what actually happened.</w:t>
      </w:r>
    </w:p>
    <w:p>
      <w:pPr>
        <w:spacing w:after="160" w:line="276"/>
      </w:pPr>
      <w:r>
        <w:t xml:space="preserve">If no provider is configured at all (no API keys set, and no local Ollama running), the chat endpoint returns a clear HTTP 503 explaining that no provider is available, rather than crashing or hanging.</w:t>
      </w:r>
    </w:p>
    <w:p>
      <w:pPr>
        <w:pStyle w:val="Heading1"/>
        <w:spacing w:after="160" w:before="360"/>
      </w:pPr>
      <w:r>
        <w:t xml:space="preserve">4. The Constitution</w:t>
      </w:r>
    </w:p>
    <w:p>
      <w:pPr>
        <w:spacing w:after="160" w:line="276"/>
      </w:pPr>
      <w:r>
        <w:t xml:space="preserve">backend/app/constitution.py defines the static “Seed v1.0” constitution: a philosophy statement, five ranked core values, five immutable Value Invariants, and six documented edge-case protocols. This is treated as source code, not a prompt string typed once — it's structured data (Python dataclasses) that both the system prompt builder and the amendment-guard logic read from.</w:t>
      </w:r>
    </w:p>
    <w:p>
      <w:pPr>
        <w:pStyle w:val="Heading2"/>
        <w:spacing w:after="120" w:before="280"/>
      </w:pPr>
      <w:r>
        <w:t xml:space="preserve">4.1 Ranked Core Values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900"/>
      </w:tblGrid>
      <w:tr>
        <w:trPr>
          <w:tblHeader/>
        </w:trPr>
        <w:tc>
          <w:tcPr>
            <w:tcW w:type="dxa" w:w="900"/>
            <w:shd w:fill="E8EDF7" w:val="clear"/>
            <w:tcMar>
              <w:top w:type="dxa" w:w="80"/>
              <w:left w:type="dxa" w:w="100"/>
              <w:bottom w:type="dxa" w:w="80"/>
              <w:right w:type="dxa" w:w="100"/>
            </w:tcMar>
          </w:tcPr>
          <w:p>
            <w:r>
              <w:rPr>
                <w:b/>
                <w:bCs/>
                <w:sz w:val="19"/>
                <w:szCs w:val="19"/>
              </w:rPr>
              <w:t xml:space="preserve">Rank</w:t>
            </w:r>
          </w:p>
        </w:tc>
        <w:tc>
          <w:tcPr>
            <w:tcW w:type="dxa" w:w="2600"/>
            <w:shd w:fill="E8EDF7" w:val="clear"/>
            <w:tcMar>
              <w:top w:type="dxa" w:w="80"/>
              <w:left w:type="dxa" w:w="100"/>
              <w:bottom w:type="dxa" w:w="80"/>
              <w:right w:type="dxa" w:w="100"/>
            </w:tcMar>
          </w:tcPr>
          <w:p>
            <w:r>
              <w:rPr>
                <w:b/>
                <w:bCs/>
                <w:sz w:val="19"/>
                <w:szCs w:val="19"/>
              </w:rPr>
              <w:t xml:space="preserve">Value</w:t>
            </w:r>
          </w:p>
        </w:tc>
        <w:tc>
          <w:tcPr>
            <w:tcW w:type="dxa" w:w="5900"/>
            <w:shd w:fill="E8EDF7" w:val="clear"/>
            <w:tcMar>
              <w:top w:type="dxa" w:w="80"/>
              <w:left w:type="dxa" w:w="100"/>
              <w:bottom w:type="dxa" w:w="80"/>
              <w:right w:type="dxa" w:w="100"/>
            </w:tcMar>
          </w:tcPr>
          <w:p>
            <w:r>
              <w:rPr>
                <w:b/>
                <w:bCs/>
                <w:sz w:val="19"/>
                <w:szCs w:val="19"/>
              </w:rPr>
              <w:t xml:space="preserve">Description</w:t>
            </w:r>
          </w:p>
        </w:tc>
      </w:tr>
      <w:tr>
        <w:tc>
          <w:tcPr>
            <w:tcW w:type="dxa" w:w="900"/>
            <w:tcMar>
              <w:top w:type="dxa" w:w="80"/>
              <w:left w:type="dxa" w:w="100"/>
              <w:bottom w:type="dxa" w:w="80"/>
              <w:right w:type="dxa" w:w="100"/>
            </w:tcMar>
          </w:tcPr>
          <w:p>
            <w:r>
              <w:rPr>
                <w:b w:val="false"/>
                <w:bCs w:val="false"/>
                <w:sz w:val="19"/>
                <w:szCs w:val="19"/>
              </w:rPr>
              <w:t xml:space="preserve">1</w:t>
            </w:r>
          </w:p>
        </w:tc>
        <w:tc>
          <w:tcPr>
            <w:tcW w:type="dxa" w:w="2600"/>
            <w:tcMar>
              <w:top w:type="dxa" w:w="80"/>
              <w:left w:type="dxa" w:w="100"/>
              <w:bottom w:type="dxa" w:w="80"/>
              <w:right w:type="dxa" w:w="100"/>
            </w:tcMar>
          </w:tcPr>
          <w:p>
            <w:r>
              <w:rPr>
                <w:b w:val="false"/>
                <w:bCs w:val="false"/>
                <w:sz w:val="19"/>
                <w:szCs w:val="19"/>
              </w:rPr>
              <w:t xml:space="preserve">Truth-Seeking</w:t>
            </w:r>
          </w:p>
        </w:tc>
        <w:tc>
          <w:tcPr>
            <w:tcW w:type="dxa" w:w="5900"/>
            <w:tcMar>
              <w:top w:type="dxa" w:w="80"/>
              <w:left w:type="dxa" w:w="100"/>
              <w:bottom w:type="dxa" w:w="80"/>
              <w:right w:type="dxa" w:w="100"/>
            </w:tcMar>
          </w:tcPr>
          <w:p>
            <w:r>
              <w:rPr>
                <w:b w:val="false"/>
                <w:bCs w:val="false"/>
                <w:sz w:val="19"/>
                <w:szCs w:val="19"/>
              </w:rPr>
              <w:t xml:space="preserve">Accuracy, evidence, and logical consistency above agreeableness or user preference.</w:t>
            </w:r>
          </w:p>
        </w:tc>
      </w:tr>
      <w:tr>
        <w:tc>
          <w:tcPr>
            <w:tcW w:type="dxa" w:w="900"/>
            <w:tcMar>
              <w:top w:type="dxa" w:w="80"/>
              <w:left w:type="dxa" w:w="100"/>
              <w:bottom w:type="dxa" w:w="80"/>
              <w:right w:type="dxa" w:w="100"/>
            </w:tcMar>
          </w:tcPr>
          <w:p>
            <w:r>
              <w:rPr>
                <w:b w:val="false"/>
                <w:bCs w:val="false"/>
                <w:sz w:val="19"/>
                <w:szCs w:val="19"/>
              </w:rPr>
              <w:t xml:space="preserve">2</w:t>
            </w:r>
          </w:p>
        </w:tc>
        <w:tc>
          <w:tcPr>
            <w:tcW w:type="dxa" w:w="2600"/>
            <w:tcMar>
              <w:top w:type="dxa" w:w="80"/>
              <w:left w:type="dxa" w:w="100"/>
              <w:bottom w:type="dxa" w:w="80"/>
              <w:right w:type="dxa" w:w="100"/>
            </w:tcMar>
          </w:tcPr>
          <w:p>
            <w:r>
              <w:rPr>
                <w:b w:val="false"/>
                <w:bCs w:val="false"/>
                <w:sz w:val="19"/>
                <w:szCs w:val="19"/>
              </w:rPr>
              <w:t xml:space="preserve">Human Flourishing</w:t>
            </w:r>
          </w:p>
        </w:tc>
        <w:tc>
          <w:tcPr>
            <w:tcW w:type="dxa" w:w="5900"/>
            <w:tcMar>
              <w:top w:type="dxa" w:w="80"/>
              <w:left w:type="dxa" w:w="100"/>
              <w:bottom w:type="dxa" w:w="80"/>
              <w:right w:type="dxa" w:w="100"/>
            </w:tcMar>
          </w:tcPr>
          <w:p>
            <w:r>
              <w:rPr>
                <w:b w:val="false"/>
                <w:bCs w:val="false"/>
                <w:sz w:val="19"/>
                <w:szCs w:val="19"/>
              </w:rPr>
              <w:t xml:space="preserve">Help individuals and humanity become wiser, healthier, and more free.</w:t>
            </w:r>
          </w:p>
        </w:tc>
      </w:tr>
      <w:tr>
        <w:tc>
          <w:tcPr>
            <w:tcW w:type="dxa" w:w="900"/>
            <w:tcMar>
              <w:top w:type="dxa" w:w="80"/>
              <w:left w:type="dxa" w:w="100"/>
              <w:bottom w:type="dxa" w:w="80"/>
              <w:right w:type="dxa" w:w="100"/>
            </w:tcMar>
          </w:tcPr>
          <w:p>
            <w:r>
              <w:rPr>
                <w:b w:val="false"/>
                <w:bCs w:val="false"/>
                <w:sz w:val="19"/>
                <w:szCs w:val="19"/>
              </w:rPr>
              <w:t xml:space="preserve">3</w:t>
            </w:r>
          </w:p>
        </w:tc>
        <w:tc>
          <w:tcPr>
            <w:tcW w:type="dxa" w:w="2600"/>
            <w:tcMar>
              <w:top w:type="dxa" w:w="80"/>
              <w:left w:type="dxa" w:w="100"/>
              <w:bottom w:type="dxa" w:w="80"/>
              <w:right w:type="dxa" w:w="100"/>
            </w:tcMar>
          </w:tcPr>
          <w:p>
            <w:r>
              <w:rPr>
                <w:b w:val="false"/>
                <w:bCs w:val="false"/>
                <w:sz w:val="19"/>
                <w:szCs w:val="19"/>
              </w:rPr>
              <w:t xml:space="preserve">Long-Termism &amp; Anti-Fragility</w:t>
            </w:r>
          </w:p>
        </w:tc>
        <w:tc>
          <w:tcPr>
            <w:tcW w:type="dxa" w:w="5900"/>
            <w:tcMar>
              <w:top w:type="dxa" w:w="80"/>
              <w:left w:type="dxa" w:w="100"/>
              <w:bottom w:type="dxa" w:w="80"/>
              <w:right w:type="dxa" w:w="100"/>
            </w:tcMar>
          </w:tcPr>
          <w:p>
            <w:r>
              <w:rPr>
                <w:b w:val="false"/>
                <w:bCs w:val="false"/>
                <w:sz w:val="19"/>
                <w:szCs w:val="19"/>
              </w:rPr>
              <w:t xml:space="preserve">Favor sustainable, multi-generational impact over short-term convenience.</w:t>
            </w:r>
          </w:p>
        </w:tc>
      </w:tr>
      <w:tr>
        <w:tc>
          <w:tcPr>
            <w:tcW w:type="dxa" w:w="900"/>
            <w:tcMar>
              <w:top w:type="dxa" w:w="80"/>
              <w:left w:type="dxa" w:w="100"/>
              <w:bottom w:type="dxa" w:w="80"/>
              <w:right w:type="dxa" w:w="100"/>
            </w:tcMar>
          </w:tcPr>
          <w:p>
            <w:r>
              <w:rPr>
                <w:b w:val="false"/>
                <w:bCs w:val="false"/>
                <w:sz w:val="19"/>
                <w:szCs w:val="19"/>
              </w:rPr>
              <w:t xml:space="preserve">4</w:t>
            </w:r>
          </w:p>
        </w:tc>
        <w:tc>
          <w:tcPr>
            <w:tcW w:type="dxa" w:w="2600"/>
            <w:tcMar>
              <w:top w:type="dxa" w:w="80"/>
              <w:left w:type="dxa" w:w="100"/>
              <w:bottom w:type="dxa" w:w="80"/>
              <w:right w:type="dxa" w:w="100"/>
            </w:tcMar>
          </w:tcPr>
          <w:p>
            <w:r>
              <w:rPr>
                <w:b w:val="false"/>
                <w:bCs w:val="false"/>
                <w:sz w:val="19"/>
                <w:szCs w:val="19"/>
              </w:rPr>
              <w:t xml:space="preserve">Curiosity &amp; Symbiotic Growth</w:t>
            </w:r>
          </w:p>
        </w:tc>
        <w:tc>
          <w:tcPr>
            <w:tcW w:type="dxa" w:w="5900"/>
            <w:tcMar>
              <w:top w:type="dxa" w:w="80"/>
              <w:left w:type="dxa" w:w="100"/>
              <w:bottom w:type="dxa" w:w="80"/>
              <w:right w:type="dxa" w:w="100"/>
            </w:tcMar>
          </w:tcPr>
          <w:p>
            <w:r>
              <w:rPr>
                <w:b w:val="false"/>
                <w:bCs w:val="false"/>
                <w:sz w:val="19"/>
                <w:szCs w:val="19"/>
              </w:rPr>
              <w:t xml:space="preserve">Mutual evolution between AI and human — Echo grows through the relationship, not at the user's expense.</w:t>
            </w:r>
          </w:p>
        </w:tc>
      </w:tr>
      <w:tr>
        <w:tc>
          <w:tcPr>
            <w:tcW w:type="dxa" w:w="900"/>
            <w:tcMar>
              <w:top w:type="dxa" w:w="80"/>
              <w:left w:type="dxa" w:w="100"/>
              <w:bottom w:type="dxa" w:w="80"/>
              <w:right w:type="dxa" w:w="100"/>
            </w:tcMar>
          </w:tcPr>
          <w:p>
            <w:r>
              <w:rPr>
                <w:b w:val="false"/>
                <w:bCs w:val="false"/>
                <w:sz w:val="19"/>
                <w:szCs w:val="19"/>
              </w:rPr>
              <w:t xml:space="preserve">5</w:t>
            </w:r>
          </w:p>
        </w:tc>
        <w:tc>
          <w:tcPr>
            <w:tcW w:type="dxa" w:w="2600"/>
            <w:tcMar>
              <w:top w:type="dxa" w:w="80"/>
              <w:left w:type="dxa" w:w="100"/>
              <w:bottom w:type="dxa" w:w="80"/>
              <w:right w:type="dxa" w:w="100"/>
            </w:tcMar>
          </w:tcPr>
          <w:p>
            <w:r>
              <w:rPr>
                <w:b w:val="false"/>
                <w:bCs w:val="false"/>
                <w:sz w:val="19"/>
                <w:szCs w:val="19"/>
              </w:rPr>
              <w:t xml:space="preserve">Humility &amp; Transparency</w:t>
            </w:r>
          </w:p>
        </w:tc>
        <w:tc>
          <w:tcPr>
            <w:tcW w:type="dxa" w:w="5900"/>
            <w:tcMar>
              <w:top w:type="dxa" w:w="80"/>
              <w:left w:type="dxa" w:w="100"/>
              <w:bottom w:type="dxa" w:w="80"/>
              <w:right w:type="dxa" w:w="100"/>
            </w:tcMar>
          </w:tcPr>
          <w:p>
            <w:r>
              <w:rPr>
                <w:b w:val="false"/>
                <w:bCs w:val="false"/>
                <w:sz w:val="19"/>
                <w:szCs w:val="19"/>
              </w:rPr>
              <w:t xml:space="preserve">Always acknowledge limits and show full reasoning, even when inconvenient.</w:t>
            </w:r>
          </w:p>
        </w:tc>
      </w:tr>
    </w:tbl>
    <w:p>
      <w:pPr>
        <w:spacing w:after="160" w:line="276"/>
      </w:pPr>
      <w:r>
        <w:t xml:space="preserve"/>
      </w:r>
    </w:p>
    <w:p>
      <w:pPr>
        <w:pStyle w:val="Heading2"/>
        <w:spacing w:after="120" w:before="280"/>
      </w:pPr>
      <w:r>
        <w:t xml:space="preserve">4.2 Value Invariants (immutable, cannot be amended)</w:t>
      </w:r>
    </w:p>
    <w:p>
      <w:pPr>
        <w:pStyle w:val="ListParagraph"/>
        <w:numPr>
          <w:ilvl w:val="0"/>
          <w:numId w:val="2"/>
        </w:numPr>
        <w:spacing w:after="80" w:line="276"/>
      </w:pPr>
      <w:r>
        <w:t xml:space="preserve">no-fabricated-certainty — Echo may never present a guess, inference, or hope as settled fact.</w:t>
      </w:r>
    </w:p>
    <w:p>
      <w:pPr>
        <w:pStyle w:val="ListParagraph"/>
        <w:numPr>
          <w:ilvl w:val="0"/>
          <w:numId w:val="2"/>
        </w:numPr>
        <w:spacing w:after="80" w:line="276"/>
      </w:pPr>
      <w:r>
        <w:t xml:space="preserve">no-dependency-fostering — Echo must actively support the user's independence and must never optimize for the user needing it more.</w:t>
      </w:r>
    </w:p>
    <w:p>
      <w:pPr>
        <w:pStyle w:val="ListParagraph"/>
        <w:numPr>
          <w:ilvl w:val="0"/>
          <w:numId w:val="2"/>
        </w:numPr>
        <w:spacing w:after="80" w:line="276"/>
      </w:pPr>
      <w:r>
        <w:t xml:space="preserve">no-power-seeking — Echo must never seek power, resources, self-preservation, or control beyond what a task requires.</w:t>
      </w:r>
    </w:p>
    <w:p>
      <w:pPr>
        <w:pStyle w:val="ListParagraph"/>
        <w:numPr>
          <w:ilvl w:val="0"/>
          <w:numId w:val="2"/>
        </w:numPr>
        <w:spacing w:after="80" w:line="276"/>
      </w:pPr>
      <w:r>
        <w:t xml:space="preserve">no-deception-about-self — Echo must never deceive the user about being an AI, or about its own reasoning, limits, or uncertainty.</w:t>
      </w:r>
    </w:p>
    <w:p>
      <w:pPr>
        <w:pStyle w:val="ListParagraph"/>
        <w:numPr>
          <w:ilvl w:val="0"/>
          <w:numId w:val="2"/>
        </w:numPr>
        <w:spacing w:after="80" w:line="276"/>
      </w:pPr>
      <w:r>
        <w:t xml:space="preserve">reasoning-transparency-mandatory — full reasoning transparency is never optional and can't be suppressed by request, persona, or roleplay framing.</w:t>
      </w:r>
    </w:p>
    <w:p>
      <w:pPr>
        <w:pStyle w:val="Heading2"/>
        <w:spacing w:after="120" w:before="280"/>
      </w:pPr>
      <w:r>
        <w:t xml:space="preserve">4.3 Edge Case Protocols</w:t>
      </w:r>
    </w:p>
    <w:p>
      <w:pPr>
        <w:spacing w:after="160" w:line="276"/>
      </w:pPr>
      <w:r>
        <w:t xml:space="preserve">Six documented scenarios and their resolutions are baked into the constitution, covering: a user instruction conflicting with a higher-ranked value; a user asking Echo to hide its reasoning; jailbreak/roleplay attempts to override the constitution; signs of unhealthy user dependency; someone claiming Founder/Guardian authority outside the real amendment process; and requests that would centralize power or irreversible control. Each has a named resolution strategy that the system prompt instructs Echo to follow.</w:t>
      </w:r>
    </w:p>
    <w:p>
      <w:pPr>
        <w:pStyle w:val="Heading1"/>
        <w:spacing w:after="160" w:before="360"/>
      </w:pPr>
      <w:r>
        <w:t xml:space="preserve">5. Guardian Council — Amendment Governance</w:t>
      </w:r>
    </w:p>
    <w:p>
      <w:pPr>
        <w:spacing w:after="160" w:line="276"/>
      </w:pPr>
      <w:r>
        <w:t xml:space="preserve">backend/app/council.py implements the actual process by which the constitution can evolve, beyond the immutable invariants. Any user (acting as “Founder” via the role switcher) can propose an amendment with a title, body text, and rationale. Before the proposal is even allowed to reach a vote, guard_amendment_text() scans the text for “guarded keywords” tied to each Value Invariant (e.g. “dependency,” “independence”) co-occurring with an override verb (“remove,” “override,” “bypass,” “disable,” “waive,” etc.). If it detects an apparent attempt to weaken an invariant, the proposal is rejected outright with an explanation of which invariant(s) it appears to threaten — this is explicitly documented as a heuristic first line of defense, not a substitute for actually reading proposals.</w:t>
      </w:r>
    </w:p>
    <w:p>
      <w:pPr>
        <w:spacing w:after="160" w:line="276"/>
      </w:pPr>
      <w:r>
        <w:t xml:space="preserve">Proposals that pass the guard go to a vote among three simulated Guardians (Guardian A/B/C) and a Verifier. Ratification requires at least 2 of the 3 Guardians to approve, and the Verifier to also approve; if two or more Guardians reject, or the Verifier rejects, the amendment is closed as rejected. The Founder proposes but does not vote. Status (proposed / ratified / rejected) is recomputed automatically after every vote is cast. Ratified amendments are appended to the constitution's full text and bump its displayed version number (v1.N, where N is the count of ratified amendments).</w:t>
      </w:r>
    </w:p>
    <w:p>
      <w:pPr>
        <w:spacing w:after="160" w:line="276"/>
      </w:pPr>
      <w:r>
        <w:t xml:space="preserve">The live database currently contains 5 proposed amendments and 12 cast votes, confirming this governance loop has actually been exercised, not just built and left untested.</w:t>
      </w:r>
    </w:p>
    <w:p>
      <w:pPr>
        <w:pStyle w:val="Heading1"/>
        <w:spacing w:after="160" w:before="360"/>
      </w:pPr>
      <w:r>
        <w:t xml:space="preserve">6. Atlas — Persistent Memory System</w:t>
      </w:r>
    </w:p>
    <w:p>
      <w:pPr>
        <w:spacing w:after="160" w:line="276"/>
      </w:pPr>
      <w:r>
        <w:t xml:space="preserve">backend/app/atlas.py implements Echo's long-term memory. SQLite is the source of truth for every memory's fields; ChromaDB mirrors only id → content for semantic (meaning-based) search, kept in sync on every write so it can always be rebuilt from the SQL rows if needed. Every memory entry carries:</w:t>
      </w:r>
    </w:p>
    <w:p>
      <w:pPr>
        <w:pStyle w:val="ListParagraph"/>
        <w:numPr>
          <w:ilvl w:val="0"/>
          <w:numId w:val="2"/>
        </w:numPr>
        <w:spacing w:after="80" w:line="276"/>
      </w:pPr>
      <w:r>
        <w:t xml:space="preserve">content — the actual remembered fact or statement.</w:t>
      </w:r>
    </w:p>
    <w:p>
      <w:pPr>
        <w:pStyle w:val="ListParagraph"/>
        <w:numPr>
          <w:ilvl w:val="0"/>
          <w:numId w:val="2"/>
        </w:numPr>
        <w:spacing w:after="80" w:line="276"/>
      </w:pPr>
      <w:r>
        <w:t xml:space="preserve">epistemic_status — one of Verified, Inferred, Hypothesis, or Narrative — an explicit honesty label distinguishing something the user stated directly from something Echo merely inferred.</w:t>
      </w:r>
    </w:p>
    <w:p>
      <w:pPr>
        <w:pStyle w:val="ListParagraph"/>
        <w:numPr>
          <w:ilvl w:val="0"/>
          <w:numId w:val="2"/>
        </w:numPr>
        <w:spacing w:after="80" w:line="276"/>
      </w:pPr>
      <w:r>
        <w:t xml:space="preserve">memory_type — fact, preference, mood, goal, fear, capability, project, relationship, or event.</w:t>
      </w:r>
    </w:p>
    <w:p>
      <w:pPr>
        <w:pStyle w:val="ListParagraph"/>
        <w:numPr>
          <w:ilvl w:val="0"/>
          <w:numId w:val="2"/>
        </w:numPr>
        <w:spacing w:after="80" w:line="276"/>
      </w:pPr>
      <w:r>
        <w:t xml:space="preserve">confidence — a 0–1 score.</w:t>
      </w:r>
    </w:p>
    <w:p>
      <w:pPr>
        <w:pStyle w:val="ListParagraph"/>
        <w:numPr>
          <w:ilvl w:val="0"/>
          <w:numId w:val="2"/>
        </w:numPr>
        <w:spacing w:after="80" w:line="276"/>
      </w:pPr>
      <w:r>
        <w:t xml:space="preserve">tags, source, and optional valid_until / observed_at timestamps.</w:t>
      </w:r>
    </w:p>
    <w:p>
      <w:pPr>
        <w:spacing w:after="160" w:line="276"/>
      </w:pPr>
      <w:r>
        <w:t xml:space="preserve">Memories are retrievable in any future conversation regardless of which conversation created them — recall is by semantic similarity to the current message, not scoped to a single chat thread. Two independent write paths exist:</w:t>
      </w:r>
    </w:p>
    <w:p>
      <w:pPr>
        <w:pStyle w:val="Heading3"/>
        <w:spacing w:after="100" w:before="200"/>
      </w:pPr>
      <w:r>
        <w:t xml:space="preserve">6.1 Explicit memory writes</w:t>
      </w:r>
    </w:p>
    <w:p>
      <w:pPr>
        <w:spacing w:after="160" w:line="276"/>
      </w:pPr>
      <w:r>
        <w:t xml:space="preserve">If the user's message matches an explicit-intent pattern (“remember that…,” “please note…,” “keep in mind…,” “don't forget…,” “for future reference…,” “make a note…”), backend/app/memory_extraction.py detects this via regex and saves the cleaned statement directly from the user's own words as a Verified memory (confidence 0.95) — with no model judgment involved, so it can never be silently dropped by a flaky model call or rate limiting.</w:t>
      </w:r>
    </w:p>
    <w:p>
      <w:pPr>
        <w:pStyle w:val="Heading3"/>
        <w:spacing w:after="100" w:before="200"/>
      </w:pPr>
      <w:r>
        <w:t xml:space="preserve">6.2 Opportunistic (implicit) memory writes</w:t>
      </w:r>
    </w:p>
    <w:p>
      <w:pPr>
        <w:spacing w:after="160" w:line="276"/>
      </w:pPr>
      <w:r>
        <w:t xml:space="preserve">Every chat reply already required Echo to emit a structured three-part response (see Section 7). The third part, MEMORY:, is either the literal word NONE or a single JSON object describing one fact worth remembering — extracted from the same model call that produced the reply, so recording a memory never costs a second API call or doubles the user's rate-limit usage. The parser is deliberately defensive: it tolerates the model wrapping the JSON in prose, code fences, or unexpected formatting, and fails closed (saves nothing) rather than throwing on malformed output.</w:t>
      </w:r>
    </w:p>
    <w:p>
      <w:pPr>
        <w:spacing w:after="160" w:line="276"/>
      </w:pPr>
      <w:r>
        <w:t xml:space="preserve">The live database currently holds 4 Atlas entries, confirming this pipeline has produced real, persisted memories from real conversations.</w:t>
      </w:r>
    </w:p>
    <w:p>
      <w:pPr>
        <w:pStyle w:val="Heading1"/>
        <w:spacing w:after="160" w:before="360"/>
      </w:pPr>
      <w:r>
        <w:t xml:space="preserve">7. Persona &amp; the Reasoning/Answer/Memory Envelope</w:t>
      </w:r>
    </w:p>
    <w:p>
      <w:pPr>
        <w:spacing w:after="160" w:line="276"/>
      </w:pPr>
      <w:r>
        <w:t xml:space="preserve">backend/app/persona.py assembles the full system prompt sent to whichever model answers a turn: the complete constitution text, a fixed block of behavior directives, and up to N (default 5, configurable) semantically relevant Atlas memories retrieved for the current message. Behavior directives instruct the model to prioritize truth over agreeableness, never state a guess as fact, avoid fostering dependency, decline power-centralizing requests, and — critically — to always answer using an exact three-part envelope:</w:t>
      </w:r>
    </w:p>
    <w:p>
      <w:pPr>
        <w:shd w:fill="F2F2F2" w:val="clear"/>
        <w:spacing w:after="160"/>
      </w:pPr>
      <w:r>
        <w:rPr>
          <w:rFonts w:ascii="Consolas" w:cs="Consolas" w:eastAsia="Consolas" w:hAnsi="Consolas"/>
          <w:sz w:val="18"/>
          <w:szCs w:val="18"/>
        </w:rPr>
        <w:t xml:space="preserve">REASONING: &lt;what was weighed, what's uncertain, which value/protocol applied&gt;
ANSWER: &lt;the actual reply shown to the user&gt;
MEMORY: &lt;NONE, or one raw JSON object worth remembering&gt;</w:t>
      </w:r>
    </w:p>
    <w:p>
      <w:pPr>
        <w:spacing w:after="160" w:line="276"/>
      </w:pPr>
      <w:r>
        <w:t xml:space="preserve">This envelope format does double duty: it makes Echo's reasoning genuinely visible in the UI (not simulated after the fact) rather than hidden chain-of-thought, and it lets memory extraction happen for free from the same response instead of a separate model call. Provider responses are parsed by backend/app/providers/base.py's split_reasoning_and_answer(), which gracefully degrades: full three-part envelope → two-part (reasoning/answer only) → raw text as the answer, since small or local models don't always follow the format.</w:t>
      </w:r>
    </w:p>
    <w:p>
      <w:pPr>
        <w:spacing w:after="160" w:line="276"/>
      </w:pPr>
      <w:r>
        <w:t xml:space="preserve">Separately, every 6th turn (configurable via INDEPENDENCE_NUDGE_EVERY_N_TURNS) the system prompt injects an explicit reminder for Echo to nudge the user toward independent verification, operationalizing the no-dependency-fostering invariant as a recurring behavior rather than a one-time instruction.</w:t>
      </w:r>
    </w:p>
    <w:p>
      <w:pPr>
        <w:pStyle w:val="Heading1"/>
        <w:spacing w:after="160" w:before="360"/>
      </w:pPr>
      <w:r>
        <w:t xml:space="preserve">8. Chat, Attachments, Voice &amp; Image Generation</w:t>
      </w:r>
    </w:p>
    <w:p>
      <w:pPr>
        <w:spacing w:after="160" w:line="276"/>
      </w:pPr>
      <w:r>
        <w:t xml:space="preserve">The chat feature (backend/app/routers/chat.py, frontend ChatView.tsx) is the most feature-dense part of the app. It supports:</w:t>
      </w:r>
    </w:p>
    <w:p>
      <w:pPr>
        <w:pStyle w:val="ListParagraph"/>
        <w:numPr>
          <w:ilvl w:val="0"/>
          <w:numId w:val="2"/>
        </w:numPr>
        <w:spacing w:after="80" w:line="276"/>
      </w:pPr>
      <w:r>
        <w:t xml:space="preserve">Plain text conversation with full conversation history persisted per-conversation (Conversation / Message tables), including which provider actually answered and any auto-mode fallback note.</w:t>
      </w:r>
    </w:p>
    <w:p>
      <w:pPr>
        <w:pStyle w:val="ListParagraph"/>
        <w:numPr>
          <w:ilvl w:val="0"/>
          <w:numId w:val="2"/>
        </w:numPr>
        <w:spacing w:after="80" w:line="276"/>
      </w:pPr>
      <w:r>
        <w:t xml:space="preserve">File attachments (up to 15MB per request) — text/code files and PDFs have their actual text content extracted (via direct decode or pypdf) and injected into the prompt; images are stored and, only when the routed provider is Gemini, genuinely passed as image bytes for real vision; every other provider is told explicitly that it cannot see the image rather than being allowed to guess at its contents. Audio and video files are accepted and labeled “understood” per the product's file-type policy but their content is not currently analyzed by any model — documented as a known limitation, not a silent gap.</w:t>
      </w:r>
    </w:p>
    <w:p>
      <w:pPr>
        <w:pStyle w:val="ListParagraph"/>
        <w:numPr>
          <w:ilvl w:val="0"/>
          <w:numId w:val="2"/>
        </w:numPr>
        <w:spacing w:after="80" w:line="276"/>
      </w:pPr>
      <w:r>
        <w:t xml:space="preserve">Explicit image generation via a separate POST /api/chat/generate-image endpoint, calling Google's Imagen model (a distinct, paid endpoint, deliberately never invoked automatically as a side effect of normal chat).</w:t>
      </w:r>
    </w:p>
    <w:p>
      <w:pPr>
        <w:pStyle w:val="ListParagraph"/>
        <w:numPr>
          <w:ilvl w:val="0"/>
          <w:numId w:val="2"/>
        </w:numPr>
        <w:spacing w:after="80" w:line="276"/>
      </w:pPr>
      <w:r>
        <w:t xml:space="preserve">Voice input (Web Speech API's SpeechRecognition, with interim transcripts, automatic silence detection to auto-stop after ~1.8s of quiet, and clear error states for no-microphone/permission-denied) and voice output (SpeechSynthesis, with markdown stripped from the text first so headers/asterisks/links aren't read aloud, and a preference for “natural/enhanced” English voices where available).</w:t>
      </w:r>
    </w:p>
    <w:p>
      <w:pPr>
        <w:pStyle w:val="ListParagraph"/>
        <w:numPr>
          <w:ilvl w:val="0"/>
          <w:numId w:val="2"/>
        </w:numPr>
        <w:spacing w:after="80" w:line="276"/>
      </w:pPr>
      <w:r>
        <w:t xml:space="preserve">A one-time “welcome back” greeting on app load, generated live by asking the model to write one warm sentence referencing up to 3 real Atlas memories — never inventing facts not listed.</w:t>
      </w:r>
    </w:p>
    <w:p>
      <w:pPr>
        <w:pStyle w:val="ListParagraph"/>
        <w:numPr>
          <w:ilvl w:val="0"/>
          <w:numId w:val="2"/>
        </w:numPr>
        <w:spacing w:after="80" w:line="276"/>
      </w:pPr>
      <w:r>
        <w:t xml:space="preserve">Full conversation management: a searchable conversation list (substring search over titles and message content — distinct from Atlas's semantic search), starting new conversations, and deleting conversations (which cascades to their messages and attachment files on disk, but never touches Atlas memories, which have no foreign key back to any conversation).</w:t>
      </w:r>
    </w:p>
    <w:p>
      <w:pPr>
        <w:pStyle w:val="ListParagraph"/>
        <w:numPr>
          <w:ilvl w:val="0"/>
          <w:numId w:val="2"/>
        </w:numPr>
        <w:spacing w:after="80" w:line="276"/>
      </w:pPr>
      <w:r>
        <w:t xml:space="preserve">A mobile hamburger-drawer navigation pattern, added specifically to fix the app's responsiveness on phone-sized screens.</w:t>
      </w:r>
    </w:p>
    <w:p>
      <w:pPr>
        <w:pStyle w:val="Heading1"/>
        <w:spacing w:after="160" w:before="360"/>
      </w:pPr>
      <w:r>
        <w:t xml:space="preserve">9. Founder-Approved Self-Improvement Loop</w:t>
      </w:r>
    </w:p>
    <w:p>
      <w:pPr>
        <w:spacing w:after="160" w:line="276"/>
      </w:pPr>
      <w:r>
        <w:t xml:space="preserve">A dedicated feature (backend/app/routers/self_improvement.py, frontend SelfImprovementView.tsx) lets the user submit a proposed change to Echo itself (a title and description), which starts in a proposed state, can be approved or rejected by the Founder role, and then run through a verification step. As implemented today, the verification step is an explicit scaffold/placeholder (it marks the request verified and records a placeholder patch summary) rather than a wired-up automatic code-patch-and-test pipeline — the audit trail (who proposed it, who approved it, what the verification notes say) is real and functional, but it does not yet actually apply code changes.</w:t>
      </w:r>
    </w:p>
    <w:p>
      <w:pPr>
        <w:pStyle w:val="Heading1"/>
        <w:spacing w:after="160" w:before="360"/>
      </w:pPr>
      <w:r>
        <w:t xml:space="preserve">10. Data Model</w:t>
      </w:r>
    </w:p>
    <w:p>
      <w:pPr>
        <w:spacing w:after="160" w:line="276"/>
      </w:pPr>
      <w:r>
        <w:t xml:space="preserve">The backend persists eight tables via SQLAlchemy: Conversation and Message (with per-message reasoning, provider used, Atlas citations, and an optional fallback note), Attachment (linked to a message, tracking whether it was understood and whether it was a generated image), AtlasEntry (memory), SelfImprovementRequest, Amendment and Vote (governance), and ProviderUsageDaily (per-provider daily request/429 counters). As of this review, the live database contains 7 conversations, 34 messages, 4 Atlas memories, 5 amendments with 12 votes, and 1 self-improvement request — this is a working application with real usage history, not an empty scaffold.</w:t>
      </w:r>
    </w:p>
    <w:p>
      <w:pPr>
        <w:pStyle w:val="Heading1"/>
        <w:spacing w:after="160" w:before="360"/>
      </w:pPr>
      <w:r>
        <w:t xml:space="preserve">11. Frontend Application</w:t>
      </w:r>
    </w:p>
    <w:p>
      <w:pPr>
        <w:spacing w:after="160" w:line="276"/>
      </w:pPr>
      <w:r>
        <w:t xml:space="preserve">The React/TypeScript frontend (Vite-built, Tailwind-styled, dark theme) is organized around five primary views reachable from a sidebar (desktop) or hamburger drawer (mobile): Chat, Atlas, Constitution, Amendments, and Self-Improvement. A persistent header holds a “RoleSwitcher” (choose which of the five simulated governance roles you're acting as) and, within Chat, a ModelPicker showing live availability status for each provider (grayed out if its API key isn't configured or it's otherwise unavailable).</w:t>
      </w:r>
    </w:p>
    <w:p>
      <w:pPr>
        <w:pStyle w:val="ListParagraph"/>
        <w:numPr>
          <w:ilvl w:val="0"/>
          <w:numId w:val="2"/>
        </w:numPr>
        <w:spacing w:after="80" w:line="276"/>
      </w:pPr>
      <w:r>
        <w:t xml:space="preserve">ChatView — described in Section 8; includes an ambient, motion-reduced-aware animated background and an “EchoPresence” indicator showing idle/thinking/listening/speaking state.</w:t>
      </w:r>
    </w:p>
    <w:p>
      <w:pPr>
        <w:pStyle w:val="ListParagraph"/>
        <w:numPr>
          <w:ilvl w:val="0"/>
          <w:numId w:val="2"/>
        </w:numPr>
        <w:spacing w:after="80" w:line="276"/>
      </w:pPr>
      <w:r>
        <w:t xml:space="preserve">AtlasView — lists and lets you create/edit/delete memories directly (not just view what the model wrote), filter by memory_type, and run semantic search against Chroma with per-result distance scores shown.</w:t>
      </w:r>
    </w:p>
    <w:p>
      <w:pPr>
        <w:pStyle w:val="ListParagraph"/>
        <w:numPr>
          <w:ilvl w:val="0"/>
          <w:numId w:val="2"/>
        </w:numPr>
        <w:spacing w:after="80" w:line="276"/>
      </w:pPr>
      <w:r>
        <w:t xml:space="preserve">ConstitutionView — renders the live philosophy, ranked core values, value invariants, edge-case protocols, and the ratified amendment log, all fetched from the backend rather than hardcoded in the frontend.</w:t>
      </w:r>
    </w:p>
    <w:p>
      <w:pPr>
        <w:pStyle w:val="ListParagraph"/>
        <w:numPr>
          <w:ilvl w:val="0"/>
          <w:numId w:val="2"/>
        </w:numPr>
        <w:spacing w:after="80" w:line="276"/>
      </w:pPr>
      <w:r>
        <w:t xml:space="preserve">AmendmentsView — propose new amendments, see live vote tallies (Guardian approvals/rejections, Verifier decision), and cast votes as whichever role is currently selected.</w:t>
      </w:r>
    </w:p>
    <w:p>
      <w:pPr>
        <w:pStyle w:val="ListParagraph"/>
        <w:numPr>
          <w:ilvl w:val="0"/>
          <w:numId w:val="2"/>
        </w:numPr>
        <w:spacing w:after="80" w:line="276"/>
      </w:pPr>
      <w:r>
        <w:t xml:space="preserve">SelfImprovementView — submit, approve/reject, and run verification on self-improvement requests.</w:t>
      </w:r>
    </w:p>
    <w:p>
      <w:pPr>
        <w:spacing w:after="160" w:line="276"/>
      </w:pPr>
      <w:r>
        <w:t xml:space="preserve">The typed API client (frontend/src/api/client.ts) has a method matching every backend endpoint, and a small useApi hook standardizes loading/error state handling across views.</w:t>
      </w:r>
    </w:p>
    <w:p>
      <w:pPr>
        <w:pStyle w:val="Heading1"/>
        <w:spacing w:after="160" w:before="360"/>
      </w:pPr>
      <w:r>
        <w:t xml:space="preserve">12. Packaging &amp; Deployment Targets</w:t>
      </w:r>
    </w:p>
    <w:p>
      <w:pPr>
        <w:spacing w:after="160" w:line="276"/>
      </w:pPr>
      <w:r>
        <w:t xml:space="preserve">Beyond running as a plain local web app, the project has been built and tested across four additional deployment targets:</w:t>
      </w:r>
    </w:p>
    <w:p>
      <w:pPr>
        <w:pStyle w:val="Heading3"/>
        <w:spacing w:after="100" w:before="200"/>
      </w:pPr>
      <w:r>
        <w:t xml:space="preserve">12.1 Docker Compose</w:t>
      </w:r>
    </w:p>
    <w:p>
      <w:pPr>
        <w:spacing w:after="160" w:line="276"/>
      </w:pPr>
      <w:r>
        <w:t xml:space="preserve">docker-compose.yml runs the backend and an nginx-served frontend build as two containers; nginx proxies /api to the backend container. SQLite and Chroma data persist via a mounted volume (backend/data/). Confirmed working end-to-end, including the local Ollama fallback reached from inside the container via host.docker.internal.</w:t>
      </w:r>
    </w:p>
    <w:p>
      <w:pPr>
        <w:pStyle w:val="Heading3"/>
        <w:spacing w:after="100" w:before="200"/>
      </w:pPr>
      <w:r>
        <w:t xml:space="preserve">12.2 Progressive Web App (PWA)</w:t>
      </w:r>
    </w:p>
    <w:p>
      <w:pPr>
        <w:spacing w:after="160" w:line="276"/>
      </w:pPr>
      <w:r>
        <w:t xml:space="preserve">frontend/public/manifest.webmanifest and sw.js make the app installable from a browser, with app-shell caching (the service worker deliberately always bypasses the cache for /api/ calls so data stays live). Icons are derived from the app's “EchoPresence” orb visual identity. Verified: the manifest parses correctly and the service worker registers/activates/caches without regressions. Not yet verified: an actual browser “Install” button click, since no live Chrome instance was available during that testing session.</w:t>
      </w:r>
    </w:p>
    <w:p>
      <w:pPr>
        <w:pStyle w:val="Heading3"/>
        <w:spacing w:after="100" w:before="200"/>
      </w:pPr>
      <w:r>
        <w:t xml:space="preserve">12.3 Android (Capacitor)</w:t>
      </w:r>
    </w:p>
    <w:p>
      <w:pPr>
        <w:spacing w:after="160" w:line="276"/>
      </w:pPr>
      <w:r>
        <w:t xml:space="preserve">frontend/android/ wraps the same web build as a native Android app (appId com.godtear.echo). Built and tested on a Pixel 7 Pro emulator, confirmed a real chat message round-tripped to the backend over a Tailscale IP. A genuine mixed-content bug was found and fixed here: Capacitor's default WebView origin (https://localhost) blocked its own calls to the plain-HTTP backend regardless of Android's usesCleartextTraffic setting, resolved by setting androidScheme: 'http'.</w:t>
      </w:r>
    </w:p>
    <w:p>
      <w:pPr>
        <w:pStyle w:val="Heading3"/>
        <w:spacing w:after="100" w:before="200"/>
      </w:pPr>
      <w:r>
        <w:t xml:space="preserve">12.4 Windows Desktop (Tauri)</w:t>
      </w:r>
    </w:p>
    <w:p>
      <w:pPr>
        <w:spacing w:after="160" w:line="276"/>
      </w:pPr>
      <w:r>
        <w:t xml:space="preserve">frontend/src-tauri/ wraps the same web build as a native Windows app (app.exe). Built and launched successfully, with a real chat round-trip confirmed via backend logs. A second genuine bug was found and fixed: Tauri serves the app from http://tauri.localhost, which needed to be added to the backend's CORS_ORIGINS or every request failed CORS preflight.</w:t>
      </w:r>
    </w:p>
    <w:p>
      <w:pPr>
        <w:pStyle w:val="Heading1"/>
        <w:spacing w:after="160" w:before="360"/>
      </w:pPr>
      <w:r>
        <w:t xml:space="preserve">13. Configuration Reference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rPr>
          <w:tblHeader/>
        </w:trPr>
        <w:tc>
          <w:tcPr>
            <w:tcW w:type="dxa" w:w="4000"/>
            <w:shd w:fill="E8EDF7" w:val="clear"/>
            <w:tcMar>
              <w:top w:type="dxa" w:w="80"/>
              <w:left w:type="dxa" w:w="100"/>
              <w:bottom w:type="dxa" w:w="80"/>
              <w:right w:type="dxa" w:w="100"/>
            </w:tcMar>
          </w:tcPr>
          <w:p>
            <w:r>
              <w:rPr>
                <w:b/>
                <w:bCs/>
                <w:sz w:val="19"/>
                <w:szCs w:val="19"/>
              </w:rPr>
              <w:t xml:space="preserve">Variable</w:t>
            </w:r>
          </w:p>
        </w:tc>
        <w:tc>
          <w:tcPr>
            <w:tcW w:type="dxa" w:w="5400"/>
            <w:shd w:fill="E8EDF7" w:val="clear"/>
            <w:tcMar>
              <w:top w:type="dxa" w:w="80"/>
              <w:left w:type="dxa" w:w="100"/>
              <w:bottom w:type="dxa" w:w="80"/>
              <w:right w:type="dxa" w:w="100"/>
            </w:tcMar>
          </w:tcPr>
          <w:p>
            <w:r>
              <w:rPr>
                <w:b/>
                <w:bCs/>
                <w:sz w:val="19"/>
                <w:szCs w:val="19"/>
              </w:rPr>
              <w:t xml:space="preserve">Purpose</w:t>
            </w:r>
          </w:p>
        </w:tc>
      </w:tr>
      <w:tr>
        <w:tc>
          <w:tcPr>
            <w:tcW w:type="dxa" w:w="4000"/>
            <w:tcMar>
              <w:top w:type="dxa" w:w="80"/>
              <w:left w:type="dxa" w:w="100"/>
              <w:bottom w:type="dxa" w:w="80"/>
              <w:right w:type="dxa" w:w="100"/>
            </w:tcMar>
          </w:tcPr>
          <w:p>
            <w:r>
              <w:rPr>
                <w:b w:val="false"/>
                <w:bCs w:val="false"/>
                <w:sz w:val="19"/>
                <w:szCs w:val="19"/>
              </w:rPr>
              <w:t xml:space="preserve">ANTHROPIC_API_KEY / ANTHROPIC_MODEL</w:t>
            </w:r>
          </w:p>
        </w:tc>
        <w:tc>
          <w:tcPr>
            <w:tcW w:type="dxa" w:w="5400"/>
            <w:tcMar>
              <w:top w:type="dxa" w:w="80"/>
              <w:left w:type="dxa" w:w="100"/>
              <w:bottom w:type="dxa" w:w="80"/>
              <w:right w:type="dxa" w:w="100"/>
            </w:tcMar>
          </w:tcPr>
          <w:p>
            <w:r>
              <w:rPr>
                <w:b w:val="false"/>
                <w:bCs w:val="false"/>
                <w:sz w:val="19"/>
                <w:szCs w:val="19"/>
              </w:rPr>
              <w:t xml:space="preserve">Claude access</w:t>
            </w:r>
          </w:p>
        </w:tc>
      </w:tr>
      <w:tr>
        <w:tc>
          <w:tcPr>
            <w:tcW w:type="dxa" w:w="4000"/>
            <w:tcMar>
              <w:top w:type="dxa" w:w="80"/>
              <w:left w:type="dxa" w:w="100"/>
              <w:bottom w:type="dxa" w:w="80"/>
              <w:right w:type="dxa" w:w="100"/>
            </w:tcMar>
          </w:tcPr>
          <w:p>
            <w:r>
              <w:rPr>
                <w:b w:val="false"/>
                <w:bCs w:val="false"/>
                <w:sz w:val="19"/>
                <w:szCs w:val="19"/>
              </w:rPr>
              <w:t xml:space="preserve">OPENAI_API_KEY / OPENAI_MODEL</w:t>
            </w:r>
          </w:p>
        </w:tc>
        <w:tc>
          <w:tcPr>
            <w:tcW w:type="dxa" w:w="5400"/>
            <w:tcMar>
              <w:top w:type="dxa" w:w="80"/>
              <w:left w:type="dxa" w:w="100"/>
              <w:bottom w:type="dxa" w:w="80"/>
              <w:right w:type="dxa" w:w="100"/>
            </w:tcMar>
          </w:tcPr>
          <w:p>
            <w:r>
              <w:rPr>
                <w:b w:val="false"/>
                <w:bCs w:val="false"/>
                <w:sz w:val="19"/>
                <w:szCs w:val="19"/>
              </w:rPr>
              <w:t xml:space="preserve">GPT access</w:t>
            </w:r>
          </w:p>
        </w:tc>
      </w:tr>
      <w:tr>
        <w:tc>
          <w:tcPr>
            <w:tcW w:type="dxa" w:w="4000"/>
            <w:tcMar>
              <w:top w:type="dxa" w:w="80"/>
              <w:left w:type="dxa" w:w="100"/>
              <w:bottom w:type="dxa" w:w="80"/>
              <w:right w:type="dxa" w:w="100"/>
            </w:tcMar>
          </w:tcPr>
          <w:p>
            <w:r>
              <w:rPr>
                <w:b w:val="false"/>
                <w:bCs w:val="false"/>
                <w:sz w:val="19"/>
                <w:szCs w:val="19"/>
              </w:rPr>
              <w:t xml:space="preserve">XAI_API_KEY / XAI_MODEL</w:t>
            </w:r>
          </w:p>
        </w:tc>
        <w:tc>
          <w:tcPr>
            <w:tcW w:type="dxa" w:w="5400"/>
            <w:tcMar>
              <w:top w:type="dxa" w:w="80"/>
              <w:left w:type="dxa" w:w="100"/>
              <w:bottom w:type="dxa" w:w="80"/>
              <w:right w:type="dxa" w:w="100"/>
            </w:tcMar>
          </w:tcPr>
          <w:p>
            <w:r>
              <w:rPr>
                <w:b w:val="false"/>
                <w:bCs w:val="false"/>
                <w:sz w:val="19"/>
                <w:szCs w:val="19"/>
              </w:rPr>
              <w:t xml:space="preserve">Grok access (OpenAI-compatible endpoint)</w:t>
            </w:r>
          </w:p>
        </w:tc>
      </w:tr>
      <w:tr>
        <w:tc>
          <w:tcPr>
            <w:tcW w:type="dxa" w:w="4000"/>
            <w:tcMar>
              <w:top w:type="dxa" w:w="80"/>
              <w:left w:type="dxa" w:w="100"/>
              <w:bottom w:type="dxa" w:w="80"/>
              <w:right w:type="dxa" w:w="100"/>
            </w:tcMar>
          </w:tcPr>
          <w:p>
            <w:r>
              <w:rPr>
                <w:b w:val="false"/>
                <w:bCs w:val="false"/>
                <w:sz w:val="19"/>
                <w:szCs w:val="19"/>
              </w:rPr>
              <w:t xml:space="preserve">GEMINI_API_KEY / GEMINI_MODEL</w:t>
            </w:r>
          </w:p>
        </w:tc>
        <w:tc>
          <w:tcPr>
            <w:tcW w:type="dxa" w:w="5400"/>
            <w:tcMar>
              <w:top w:type="dxa" w:w="80"/>
              <w:left w:type="dxa" w:w="100"/>
              <w:bottom w:type="dxa" w:w="80"/>
              <w:right w:type="dxa" w:w="100"/>
            </w:tcMar>
          </w:tcPr>
          <w:p>
            <w:r>
              <w:rPr>
                <w:b w:val="false"/>
                <w:bCs w:val="false"/>
                <w:sz w:val="19"/>
                <w:szCs w:val="19"/>
              </w:rPr>
              <w:t xml:space="preserve">Gemini access (also enables real image vision)</w:t>
            </w:r>
          </w:p>
        </w:tc>
      </w:tr>
      <w:tr>
        <w:tc>
          <w:tcPr>
            <w:tcW w:type="dxa" w:w="4000"/>
            <w:tcMar>
              <w:top w:type="dxa" w:w="80"/>
              <w:left w:type="dxa" w:w="100"/>
              <w:bottom w:type="dxa" w:w="80"/>
              <w:right w:type="dxa" w:w="100"/>
            </w:tcMar>
          </w:tcPr>
          <w:p>
            <w:r>
              <w:rPr>
                <w:b w:val="false"/>
                <w:bCs w:val="false"/>
                <w:sz w:val="19"/>
                <w:szCs w:val="19"/>
              </w:rPr>
              <w:t xml:space="preserve">OLLAMA_BASE_URL / OLLAMA_MODEL</w:t>
            </w:r>
          </w:p>
        </w:tc>
        <w:tc>
          <w:tcPr>
            <w:tcW w:type="dxa" w:w="5400"/>
            <w:tcMar>
              <w:top w:type="dxa" w:w="80"/>
              <w:left w:type="dxa" w:w="100"/>
              <w:bottom w:type="dxa" w:w="80"/>
              <w:right w:type="dxa" w:w="100"/>
            </w:tcMar>
          </w:tcPr>
          <w:p>
            <w:r>
              <w:rPr>
                <w:b w:val="false"/>
                <w:bCs w:val="false"/>
                <w:sz w:val="19"/>
                <w:szCs w:val="19"/>
              </w:rPr>
              <w:t xml:space="preserve">Local fallback, no API key required</w:t>
            </w:r>
          </w:p>
        </w:tc>
      </w:tr>
      <w:tr>
        <w:tc>
          <w:tcPr>
            <w:tcW w:type="dxa" w:w="4000"/>
            <w:tcMar>
              <w:top w:type="dxa" w:w="80"/>
              <w:left w:type="dxa" w:w="100"/>
              <w:bottom w:type="dxa" w:w="80"/>
              <w:right w:type="dxa" w:w="100"/>
            </w:tcMar>
          </w:tcPr>
          <w:p>
            <w:r>
              <w:rPr>
                <w:b w:val="false"/>
                <w:bCs w:val="false"/>
                <w:sz w:val="19"/>
                <w:szCs w:val="19"/>
              </w:rPr>
              <w:t xml:space="preserve">DEFAULT_PROVIDER</w:t>
            </w:r>
          </w:p>
        </w:tc>
        <w:tc>
          <w:tcPr>
            <w:tcW w:type="dxa" w:w="5400"/>
            <w:tcMar>
              <w:top w:type="dxa" w:w="80"/>
              <w:left w:type="dxa" w:w="100"/>
              <w:bottom w:type="dxa" w:w="80"/>
              <w:right w:type="dxa" w:w="100"/>
            </w:tcMar>
          </w:tcPr>
          <w:p>
            <w:r>
              <w:rPr>
                <w:b w:val="false"/>
                <w:bCs w:val="false"/>
                <w:sz w:val="19"/>
                <w:szCs w:val="19"/>
              </w:rPr>
              <w:t xml:space="preserve">“auto” or a specific pinned provider name</w:t>
            </w:r>
          </w:p>
        </w:tc>
      </w:tr>
      <w:tr>
        <w:tc>
          <w:tcPr>
            <w:tcW w:type="dxa" w:w="4000"/>
            <w:tcMar>
              <w:top w:type="dxa" w:w="80"/>
              <w:left w:type="dxa" w:w="100"/>
              <w:bottom w:type="dxa" w:w="80"/>
              <w:right w:type="dxa" w:w="100"/>
            </w:tcMar>
          </w:tcPr>
          <w:p>
            <w:r>
              <w:rPr>
                <w:b w:val="false"/>
                <w:bCs w:val="false"/>
                <w:sz w:val="19"/>
                <w:szCs w:val="19"/>
              </w:rPr>
              <w:t xml:space="preserve">CORS_ORIGINS</w:t>
            </w:r>
          </w:p>
        </w:tc>
        <w:tc>
          <w:tcPr>
            <w:tcW w:type="dxa" w:w="5400"/>
            <w:tcMar>
              <w:top w:type="dxa" w:w="80"/>
              <w:left w:type="dxa" w:w="100"/>
              <w:bottom w:type="dxa" w:w="80"/>
              <w:right w:type="dxa" w:w="100"/>
            </w:tcMar>
          </w:tcPr>
          <w:p>
            <w:r>
              <w:rPr>
                <w:b w:val="false"/>
                <w:bCs w:val="false"/>
                <w:sz w:val="19"/>
                <w:szCs w:val="19"/>
              </w:rPr>
              <w:t xml:space="preserve">Comma-separated origins allowed to call the API</w:t>
            </w:r>
          </w:p>
        </w:tc>
      </w:tr>
      <w:tr>
        <w:tc>
          <w:tcPr>
            <w:tcW w:type="dxa" w:w="4000"/>
            <w:tcMar>
              <w:top w:type="dxa" w:w="80"/>
              <w:left w:type="dxa" w:w="100"/>
              <w:bottom w:type="dxa" w:w="80"/>
              <w:right w:type="dxa" w:w="100"/>
            </w:tcMar>
          </w:tcPr>
          <w:p>
            <w:r>
              <w:rPr>
                <w:b w:val="false"/>
                <w:bCs w:val="false"/>
                <w:sz w:val="19"/>
                <w:szCs w:val="19"/>
              </w:rPr>
              <w:t xml:space="preserve">INDEPENDENCE_NUDGE_EVERY_N_TURNS</w:t>
            </w:r>
          </w:p>
        </w:tc>
        <w:tc>
          <w:tcPr>
            <w:tcW w:type="dxa" w:w="5400"/>
            <w:tcMar>
              <w:top w:type="dxa" w:w="80"/>
              <w:left w:type="dxa" w:w="100"/>
              <w:bottom w:type="dxa" w:w="80"/>
              <w:right w:type="dxa" w:w="100"/>
            </w:tcMar>
          </w:tcPr>
          <w:p>
            <w:r>
              <w:rPr>
                <w:b w:val="false"/>
                <w:bCs w:val="false"/>
                <w:sz w:val="19"/>
                <w:szCs w:val="19"/>
              </w:rPr>
              <w:t xml:space="preserve">How often the no-dependency-fostering reminder is injected</w:t>
            </w:r>
          </w:p>
        </w:tc>
      </w:tr>
      <w:tr>
        <w:tc>
          <w:tcPr>
            <w:tcW w:type="dxa" w:w="4000"/>
            <w:tcMar>
              <w:top w:type="dxa" w:w="80"/>
              <w:left w:type="dxa" w:w="100"/>
              <w:bottom w:type="dxa" w:w="80"/>
              <w:right w:type="dxa" w:w="100"/>
            </w:tcMar>
          </w:tcPr>
          <w:p>
            <w:r>
              <w:rPr>
                <w:b w:val="false"/>
                <w:bCs w:val="false"/>
                <w:sz w:val="19"/>
                <w:szCs w:val="19"/>
              </w:rPr>
              <w:t xml:space="preserve">ATLAS_TOP_K</w:t>
            </w:r>
          </w:p>
        </w:tc>
        <w:tc>
          <w:tcPr>
            <w:tcW w:type="dxa" w:w="5400"/>
            <w:tcMar>
              <w:top w:type="dxa" w:w="80"/>
              <w:left w:type="dxa" w:w="100"/>
              <w:bottom w:type="dxa" w:w="80"/>
              <w:right w:type="dxa" w:w="100"/>
            </w:tcMar>
          </w:tcPr>
          <w:p>
            <w:r>
              <w:rPr>
                <w:b w:val="false"/>
                <w:bCs w:val="false"/>
                <w:sz w:val="19"/>
                <w:szCs w:val="19"/>
              </w:rPr>
              <w:t xml:space="preserve">How many Atlas memories are retrieved into context per turn</w:t>
            </w:r>
          </w:p>
        </w:tc>
      </w:tr>
    </w:tbl>
    <w:p>
      <w:pPr>
        <w:spacing w:after="160" w:line="276"/>
      </w:pPr>
      <w:r>
        <w:t xml:space="preserve"/>
      </w:r>
    </w:p>
    <w:p>
      <w:pPr>
        <w:pStyle w:val="Heading1"/>
        <w:spacing w:after="160" w:before="360"/>
      </w:pPr>
      <w:r>
        <w:t xml:space="preserve">14. Current Status, What's Verified, and Known Gaps</w:t>
      </w:r>
    </w:p>
    <w:p>
      <w:pPr>
        <w:spacing w:after="160" w:line="276"/>
      </w:pPr>
      <w:r>
        <w:t xml:space="preserve">Per the project's own progress log (PROGRESS.md, last updated July 13, 2026) and confirmed independently against the live database during this review, the backend and frontend are both considered feature-complete for a “v1” scope, version control (git) is initialized with an active commit history, and all four deployment targets above have been built and smoke-tested at least once with real network round-trips — not just compiled successfully. Honestly documented gaps as of the last check-in include:</w:t>
      </w:r>
    </w:p>
    <w:p>
      <w:pPr>
        <w:pStyle w:val="ListParagraph"/>
        <w:numPr>
          <w:ilvl w:val="0"/>
          <w:numId w:val="2"/>
        </w:numPr>
        <w:spacing w:after="80" w:line="276"/>
      </w:pPr>
      <w:r>
        <w:t xml:space="preserve">No automated tests exist anywhere in the repo yet (backend or frontend) — flagged as the top priority given that the Guardian Council's invariant guard is safety-critical logic.</w:t>
      </w:r>
    </w:p>
    <w:p>
      <w:pPr>
        <w:pStyle w:val="ListParagraph"/>
        <w:numPr>
          <w:ilvl w:val="0"/>
          <w:numId w:val="2"/>
        </w:numPr>
        <w:spacing w:after="80" w:line="276"/>
      </w:pPr>
      <w:r>
        <w:t xml:space="preserve">Chat is single request/response per turn; streaming responses have not been implemented.</w:t>
      </w:r>
    </w:p>
    <w:p>
      <w:pPr>
        <w:pStyle w:val="ListParagraph"/>
        <w:numPr>
          <w:ilvl w:val="0"/>
          <w:numId w:val="2"/>
        </w:numPr>
        <w:spacing w:after="80" w:line="276"/>
      </w:pPr>
      <w:r>
        <w:t xml:space="preserve">Real multimodal (vision) input only works when Gemini is the provider actually handling the turn; every other provider is text-only, and audio/video attachments aren't analyzed by any provider yet.</w:t>
      </w:r>
    </w:p>
    <w:p>
      <w:pPr>
        <w:pStyle w:val="ListParagraph"/>
        <w:numPr>
          <w:ilvl w:val="0"/>
          <w:numId w:val="2"/>
        </w:numPr>
        <w:spacing w:after="80" w:line="276"/>
      </w:pPr>
      <w:r>
        <w:t xml:space="preserve">The self-improvement verification step is currently a scaffold/placeholder rather than a real automated build-and-test pipeline.</w:t>
      </w:r>
    </w:p>
    <w:p>
      <w:pPr>
        <w:pStyle w:val="ListParagraph"/>
        <w:numPr>
          <w:ilvl w:val="0"/>
          <w:numId w:val="2"/>
        </w:numPr>
        <w:spacing w:after="80" w:line="276"/>
      </w:pPr>
      <w:r>
        <w:t xml:space="preserve">“Multi-device” means “open the same URL from any device” — there is no real multi-account authentication or sync; the Guardian Council roles are simulated by one user switching roles in the UI, not separate real accounts.</w:t>
      </w:r>
    </w:p>
    <w:p>
      <w:pPr>
        <w:pStyle w:val="Heading1"/>
        <w:spacing w:after="160" w:before="360"/>
      </w:pPr>
      <w:r>
        <w:t xml:space="preserve">15. Summary</w:t>
      </w:r>
    </w:p>
    <w:p>
      <w:pPr>
        <w:spacing w:after="160" w:line="276"/>
      </w:pPr>
      <w:r>
        <w:t xml:space="preserve">Echo is a substantially complete, genuinely functional personal AI application: a governed persona with an explicit, versioned, partially-amendable value system; a real cross-conversation memory system with honesty labeling and semantic search; a working multi-provider model router with graceful degradation; and a shipped presence across web, PWA, Android, Windows desktop, and Docker. Its most notable gap is the complete absence of automated tests, which matters more here than in a typical app because several of its safety mechanisms (the invariant guard, the amendment vote math, the memory-extraction parser) are exactly the kind of logic that benefits most from regression coverage.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2026-07-12T16:19:25.943Z</dcterms:created>
  <dcterms:modified xsi:type="dcterms:W3CDTF">2026-07-12T16:19:25.944Z</dcterms:modified>
</cp:coreProperties>
</file>

<file path=docProps/custom.xml><?xml version="1.0" encoding="utf-8"?>
<Properties xmlns="http://schemas.openxmlformats.org/officeDocument/2006/custom-properties" xmlns:vt="http://schemas.openxmlformats.org/officeDocument/2006/docPropsVTypes"/>
</file>