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72830361"/>
    <w:p w14:paraId="0344B125" w14:textId="1FCFCF91" w:rsidR="007E02D2" w:rsidRDefault="006B0A7C" w:rsidP="003B5391">
      <w:pPr>
        <w:spacing w:line="360" w:lineRule="auto"/>
        <w:jc w:val="center"/>
        <w:rPr>
          <w:rFonts w:cs="Times New Roman"/>
          <w:b/>
          <w:bCs/>
          <w:sz w:val="28"/>
          <w:szCs w:val="22"/>
        </w:rPr>
      </w:pPr>
      <w:r>
        <w:rPr>
          <w:rFonts w:cs="Times New Roman"/>
          <w:b/>
          <w:bCs/>
          <w:sz w:val="28"/>
          <w:szCs w:val="22"/>
        </w:rPr>
        <w:fldChar w:fldCharType="begin"/>
      </w:r>
      <w:r>
        <w:rPr>
          <w:rFonts w:cs="Times New Roman"/>
          <w:b/>
          <w:bCs/>
          <w:sz w:val="28"/>
          <w:szCs w:val="22"/>
        </w:rPr>
        <w:instrText xml:space="preserve"> MACROBUTTON MTEditEquationSection2 </w:instrText>
      </w:r>
      <w:r w:rsidRPr="00407039">
        <w:rPr>
          <w:rStyle w:val="MTEquationSection"/>
          <w:rFonts w:hint="eastAsia"/>
        </w:rPr>
        <w:instrText>公式章</w:instrText>
      </w:r>
      <w:r w:rsidRPr="00407039">
        <w:rPr>
          <w:rStyle w:val="MTEquationSection"/>
        </w:rPr>
        <w:instrText xml:space="preserve"> 1 </w:instrText>
      </w:r>
      <w:r w:rsidRPr="00407039">
        <w:rPr>
          <w:rStyle w:val="MTEquationSection"/>
          <w:rFonts w:hint="eastAsia"/>
        </w:rPr>
        <w:instrText>节</w:instrText>
      </w:r>
      <w:r w:rsidRPr="00407039">
        <w:rPr>
          <w:rStyle w:val="MTEquationSection"/>
        </w:rPr>
        <w:instrText xml:space="preserve"> 1</w:instrText>
      </w:r>
      <w:r>
        <w:rPr>
          <w:rFonts w:cs="Times New Roman"/>
          <w:b/>
          <w:bCs/>
          <w:sz w:val="28"/>
          <w:szCs w:val="22"/>
        </w:rPr>
        <w:fldChar w:fldCharType="begin"/>
      </w:r>
      <w:r>
        <w:rPr>
          <w:rFonts w:cs="Times New Roman"/>
          <w:b/>
          <w:bCs/>
          <w:sz w:val="28"/>
          <w:szCs w:val="22"/>
        </w:rPr>
        <w:instrText xml:space="preserve"> </w:instrText>
      </w:r>
      <w:r>
        <w:rPr>
          <w:rFonts w:cs="Times New Roman" w:hint="eastAsia"/>
          <w:b/>
          <w:bCs/>
          <w:sz w:val="28"/>
          <w:szCs w:val="22"/>
        </w:rPr>
        <w:instrText>SEQ MTEqn \r \h \* MERGEFORMAT</w:instrText>
      </w:r>
      <w:r>
        <w:rPr>
          <w:rFonts w:cs="Times New Roman"/>
          <w:b/>
          <w:bCs/>
          <w:sz w:val="28"/>
          <w:szCs w:val="22"/>
        </w:rPr>
        <w:instrText xml:space="preserve"> </w:instrText>
      </w:r>
      <w:r>
        <w:rPr>
          <w:rFonts w:cs="Times New Roman"/>
          <w:b/>
          <w:bCs/>
          <w:sz w:val="28"/>
          <w:szCs w:val="22"/>
        </w:rPr>
        <w:fldChar w:fldCharType="end"/>
      </w:r>
      <w:r>
        <w:rPr>
          <w:rFonts w:cs="Times New Roman"/>
          <w:b/>
          <w:bCs/>
          <w:sz w:val="28"/>
          <w:szCs w:val="22"/>
        </w:rPr>
        <w:fldChar w:fldCharType="begin"/>
      </w:r>
      <w:r>
        <w:rPr>
          <w:rFonts w:cs="Times New Roman"/>
          <w:b/>
          <w:bCs/>
          <w:sz w:val="28"/>
          <w:szCs w:val="22"/>
        </w:rPr>
        <w:instrText xml:space="preserve"> SEQ MTSec \r 1 \h \* MERGEFORMAT </w:instrText>
      </w:r>
      <w:r>
        <w:rPr>
          <w:rFonts w:cs="Times New Roman"/>
          <w:b/>
          <w:bCs/>
          <w:sz w:val="28"/>
          <w:szCs w:val="22"/>
        </w:rPr>
        <w:fldChar w:fldCharType="end"/>
      </w:r>
      <w:r>
        <w:rPr>
          <w:rFonts w:cs="Times New Roman"/>
          <w:b/>
          <w:bCs/>
          <w:sz w:val="28"/>
          <w:szCs w:val="22"/>
        </w:rPr>
        <w:fldChar w:fldCharType="begin"/>
      </w:r>
      <w:r>
        <w:rPr>
          <w:rFonts w:cs="Times New Roman"/>
          <w:b/>
          <w:bCs/>
          <w:sz w:val="28"/>
          <w:szCs w:val="22"/>
        </w:rPr>
        <w:instrText xml:space="preserve"> SEQ MTChap \r 1 \h \* MERGEFORMAT </w:instrText>
      </w:r>
      <w:r>
        <w:rPr>
          <w:rFonts w:cs="Times New Roman"/>
          <w:b/>
          <w:bCs/>
          <w:sz w:val="28"/>
          <w:szCs w:val="22"/>
        </w:rPr>
        <w:fldChar w:fldCharType="end"/>
      </w:r>
      <w:r>
        <w:rPr>
          <w:rFonts w:cs="Times New Roman"/>
          <w:b/>
          <w:bCs/>
          <w:sz w:val="28"/>
          <w:szCs w:val="22"/>
        </w:rPr>
        <w:fldChar w:fldCharType="end"/>
      </w:r>
      <w:r w:rsidR="003B5391" w:rsidRPr="003B5391">
        <w:t xml:space="preserve"> </w:t>
      </w:r>
      <w:r w:rsidR="003B5391" w:rsidRPr="003B5391">
        <w:rPr>
          <w:rFonts w:cs="Times New Roman"/>
          <w:b/>
          <w:bCs/>
          <w:sz w:val="28"/>
          <w:szCs w:val="22"/>
        </w:rPr>
        <w:t>Climate warming not only amplify cooling demand but also undermine sleep quality</w:t>
      </w:r>
    </w:p>
    <w:p w14:paraId="4C39D841" w14:textId="77777777" w:rsidR="007E02D2" w:rsidRPr="007E02D2" w:rsidRDefault="007E02D2" w:rsidP="00CC15A6">
      <w:pPr>
        <w:spacing w:line="360" w:lineRule="auto"/>
        <w:jc w:val="center"/>
        <w:rPr>
          <w:rFonts w:cs="Times New Roman"/>
          <w:sz w:val="22"/>
          <w:szCs w:val="20"/>
        </w:rPr>
      </w:pPr>
    </w:p>
    <w:p w14:paraId="28FA3D1A" w14:textId="708140EC" w:rsidR="00AA2D15" w:rsidRDefault="00AA2D15" w:rsidP="00AA2D15">
      <w:pPr>
        <w:pStyle w:val="Heading1"/>
        <w:rPr>
          <w:rFonts w:cs="Times New Roman"/>
        </w:rPr>
      </w:pPr>
      <w:bookmarkStart w:id="1" w:name="OLE_LINK9"/>
      <w:r>
        <w:rPr>
          <w:rFonts w:cs="Times New Roman" w:hint="eastAsia"/>
        </w:rPr>
        <w:t>Abstract</w:t>
      </w:r>
    </w:p>
    <w:p w14:paraId="537A4872" w14:textId="0254637B" w:rsidR="00725F3C" w:rsidRPr="005C17BE" w:rsidRDefault="00847D70" w:rsidP="00AD3D65">
      <w:pPr>
        <w:spacing w:line="300" w:lineRule="auto"/>
        <w:rPr>
          <w:rFonts w:cs="Times New Roman"/>
          <w:szCs w:val="24"/>
        </w:rPr>
      </w:pPr>
      <w:r w:rsidRPr="005C17BE">
        <w:rPr>
          <w:rFonts w:cs="Times New Roman"/>
          <w:szCs w:val="24"/>
        </w:rPr>
        <w:t>The impact of rising ambient temperatures on sleep under climate change is becoming increasingly concerning but remains underexplored</w:t>
      </w:r>
      <w:r w:rsidRPr="005C17BE">
        <w:rPr>
          <w:rFonts w:cs="Times New Roman" w:hint="eastAsia"/>
          <w:szCs w:val="24"/>
        </w:rPr>
        <w:t>.</w:t>
      </w:r>
    </w:p>
    <w:p w14:paraId="2DFA9C8C" w14:textId="42231713" w:rsidR="00847D70" w:rsidRPr="005C17BE" w:rsidRDefault="00847D70" w:rsidP="00AD3D65">
      <w:pPr>
        <w:spacing w:line="300" w:lineRule="auto"/>
        <w:rPr>
          <w:rFonts w:cs="Times New Roman"/>
          <w:szCs w:val="24"/>
        </w:rPr>
      </w:pPr>
      <w:r w:rsidRPr="005C17BE">
        <w:rPr>
          <w:rFonts w:cs="Times New Roman"/>
          <w:szCs w:val="24"/>
        </w:rPr>
        <w:t>Urbanization is amplifying the challenge.</w:t>
      </w:r>
    </w:p>
    <w:p w14:paraId="7F62F840" w14:textId="77777777" w:rsidR="00847D70" w:rsidRPr="005C17BE" w:rsidRDefault="00847D70" w:rsidP="00847D70">
      <w:pPr>
        <w:spacing w:line="300" w:lineRule="auto"/>
        <w:rPr>
          <w:rFonts w:cs="Times New Roman"/>
          <w:szCs w:val="24"/>
        </w:rPr>
      </w:pPr>
    </w:p>
    <w:p w14:paraId="12796F10" w14:textId="12DA9C59" w:rsidR="00847D70" w:rsidRPr="005C17BE" w:rsidRDefault="00847D70" w:rsidP="00847D70">
      <w:pPr>
        <w:spacing w:line="300" w:lineRule="auto"/>
        <w:rPr>
          <w:rFonts w:cs="Times New Roman"/>
          <w:szCs w:val="24"/>
        </w:rPr>
      </w:pPr>
      <w:r w:rsidRPr="005C17BE">
        <w:rPr>
          <w:rFonts w:cs="Times New Roman"/>
          <w:szCs w:val="24"/>
        </w:rPr>
        <w:t xml:space="preserve"> Warmer nighttime temperatures caused considerable sleep disruption, with a total loss of 1383 min per person</w:t>
      </w:r>
    </w:p>
    <w:p w14:paraId="2963C43A" w14:textId="77777777" w:rsidR="00847D70" w:rsidRPr="005C17BE" w:rsidRDefault="00847D70" w:rsidP="00AD3D65">
      <w:pPr>
        <w:spacing w:line="300" w:lineRule="auto"/>
        <w:rPr>
          <w:rFonts w:cs="Times New Roman"/>
          <w:szCs w:val="24"/>
        </w:rPr>
      </w:pPr>
    </w:p>
    <w:p w14:paraId="669C0465" w14:textId="77777777" w:rsidR="00485B5D" w:rsidRDefault="00485B5D" w:rsidP="00AD3D65">
      <w:pPr>
        <w:spacing w:line="300" w:lineRule="auto"/>
        <w:rPr>
          <w:rFonts w:cs="Times New Roman"/>
        </w:rPr>
      </w:pPr>
    </w:p>
    <w:p w14:paraId="6FAB53FE" w14:textId="3DA920B6" w:rsidR="00725F3C" w:rsidRPr="00725F3C" w:rsidRDefault="00725F3C" w:rsidP="00725F3C">
      <w:pPr>
        <w:spacing w:line="300" w:lineRule="auto"/>
        <w:rPr>
          <w:rFonts w:cs="Times New Roman"/>
        </w:rPr>
      </w:pPr>
    </w:p>
    <w:bookmarkEnd w:id="1"/>
    <w:p w14:paraId="49C4B2E6" w14:textId="77777777" w:rsidR="00CA10FC" w:rsidRDefault="00CA10FC">
      <w:pPr>
        <w:spacing w:line="240" w:lineRule="auto"/>
        <w:rPr>
          <w:rFonts w:cs="Times New Roman"/>
          <w:szCs w:val="24"/>
        </w:rPr>
      </w:pPr>
    </w:p>
    <w:p w14:paraId="638518E0" w14:textId="42BF7F52" w:rsidR="00D47700" w:rsidRDefault="00D47700">
      <w:pPr>
        <w:spacing w:line="240" w:lineRule="auto"/>
        <w:jc w:val="center"/>
        <w:rPr>
          <w:rFonts w:cs="Times New Roman"/>
          <w:i/>
          <w:iCs/>
          <w:sz w:val="22"/>
          <w:szCs w:val="20"/>
        </w:rPr>
      </w:pPr>
      <w:r>
        <w:rPr>
          <w:rFonts w:cs="Times New Roman"/>
          <w:i/>
          <w:iCs/>
          <w:sz w:val="22"/>
          <w:szCs w:val="20"/>
        </w:rPr>
        <w:br w:type="page"/>
      </w:r>
    </w:p>
    <w:bookmarkEnd w:id="0"/>
    <w:p w14:paraId="71DA1F73" w14:textId="77777777" w:rsidR="009747FC" w:rsidRPr="009747FC" w:rsidRDefault="009747FC" w:rsidP="009747FC">
      <w:pPr>
        <w:pStyle w:val="Heading1"/>
        <w:rPr>
          <w:rFonts w:ascii="Arial" w:hAnsi="Arial" w:cs="Arial"/>
        </w:rPr>
      </w:pPr>
      <w:commentRangeStart w:id="2"/>
      <w:r w:rsidRPr="009747FC">
        <w:rPr>
          <w:rFonts w:ascii="Arial" w:hAnsi="Arial" w:cs="Arial"/>
        </w:rPr>
        <w:lastRenderedPageBreak/>
        <w:t xml:space="preserve">Main </w:t>
      </w:r>
      <w:commentRangeEnd w:id="2"/>
      <w:r w:rsidR="006726B1" w:rsidRPr="009747FC">
        <w:rPr>
          <w:rStyle w:val="CommentReference"/>
          <w:rFonts w:ascii="Arial" w:hAnsi="Arial" w:cs="Arial"/>
          <w:sz w:val="28"/>
          <w:szCs w:val="28"/>
        </w:rPr>
        <w:commentReference w:id="2"/>
      </w:r>
    </w:p>
    <w:p w14:paraId="2B074AB6" w14:textId="070A3D8C" w:rsidR="00D24D1F" w:rsidRPr="00D24D1F" w:rsidRDefault="00D24D1F" w:rsidP="00B415B3">
      <w:pPr>
        <w:spacing w:afterLines="50" w:after="163" w:line="300" w:lineRule="auto"/>
        <w:ind w:firstLine="420"/>
        <w:rPr>
          <w:rFonts w:ascii="Arial" w:hAnsi="Arial" w:cs="Arial"/>
          <w:szCs w:val="24"/>
        </w:rPr>
      </w:pPr>
      <w:r w:rsidRPr="00D24D1F">
        <w:rPr>
          <w:rFonts w:ascii="Arial" w:hAnsi="Arial" w:cs="Arial"/>
          <w:szCs w:val="24"/>
        </w:rPr>
        <w:t>Adequate sleep is a fundamental biological imperative for human physical and cognitive resilience</w:t>
      </w:r>
      <w:r w:rsidR="004A6879">
        <w:rPr>
          <w:rFonts w:ascii="Arial" w:hAnsi="Arial" w:cs="Arial" w:hint="eastAsia"/>
          <w:szCs w:val="24"/>
        </w:rPr>
        <w:t>.</w:t>
      </w:r>
      <w:r w:rsidRPr="00D24D1F">
        <w:rPr>
          <w:rFonts w:ascii="Arial" w:hAnsi="Arial" w:cs="Arial"/>
          <w:szCs w:val="24"/>
        </w:rPr>
        <w:t xml:space="preserve"> </w:t>
      </w:r>
      <w:r w:rsidR="004A6879">
        <w:rPr>
          <w:rFonts w:ascii="Arial" w:hAnsi="Arial" w:cs="Arial" w:hint="eastAsia"/>
          <w:szCs w:val="24"/>
        </w:rPr>
        <w:t>A</w:t>
      </w:r>
      <w:r w:rsidRPr="00D24D1F">
        <w:rPr>
          <w:rFonts w:ascii="Arial" w:hAnsi="Arial" w:cs="Arial"/>
          <w:szCs w:val="24"/>
        </w:rPr>
        <w:t>ny systemic disruption cascade into profound public health consequences, precipitating chronic respiratory diseases, metabolic and mental health disorders, and elevated mortality</w:t>
      </w:r>
      <w:r>
        <w:rPr>
          <w:rFonts w:ascii="Arial" w:hAnsi="Arial" w:cs="Arial" w:hint="eastAsia"/>
          <w:szCs w:val="24"/>
        </w:rPr>
        <w:t xml:space="preserve"> [</w:t>
      </w:r>
      <w:commentRangeStart w:id="3"/>
      <w:r>
        <w:rPr>
          <w:rFonts w:ascii="Arial" w:hAnsi="Arial" w:cs="Arial" w:hint="eastAsia"/>
          <w:szCs w:val="24"/>
        </w:rPr>
        <w:t>XX</w:t>
      </w:r>
      <w:commentRangeEnd w:id="3"/>
      <w:r>
        <w:rPr>
          <w:rStyle w:val="CommentReference"/>
          <w:rFonts w:ascii="Arial" w:hAnsi="Arial" w:cs="Arial" w:hint="eastAsia"/>
          <w:sz w:val="24"/>
          <w:szCs w:val="24"/>
        </w:rPr>
        <w:commentReference w:id="3"/>
      </w:r>
      <w:r>
        <w:rPr>
          <w:rFonts w:ascii="Arial" w:hAnsi="Arial" w:cs="Arial" w:hint="eastAsia"/>
          <w:szCs w:val="24"/>
        </w:rPr>
        <w:t>]</w:t>
      </w:r>
      <w:r w:rsidRPr="00D24D1F">
        <w:rPr>
          <w:rFonts w:ascii="Arial" w:hAnsi="Arial" w:cs="Arial"/>
          <w:szCs w:val="24"/>
        </w:rPr>
        <w:t xml:space="preserve">. As the global climate warms, </w:t>
      </w:r>
      <w:r w:rsidR="004A6879" w:rsidRPr="004A6879">
        <w:rPr>
          <w:rFonts w:ascii="Arial" w:hAnsi="Arial" w:cs="Arial"/>
          <w:szCs w:val="24"/>
        </w:rPr>
        <w:t>temperatures are rising disproportionately fast, directly compromising the human body’s thermoregulatory capacity during sleep</w:t>
      </w:r>
      <w:r w:rsidRPr="00D24D1F">
        <w:rPr>
          <w:rFonts w:ascii="Arial" w:hAnsi="Arial" w:cs="Arial"/>
          <w:szCs w:val="24"/>
        </w:rPr>
        <w:t>. Recent projections indicate that unabated climate-driven temperature anomalies could inflict severe sleep loss</w:t>
      </w:r>
      <w:r>
        <w:rPr>
          <w:rFonts w:ascii="Arial" w:hAnsi="Arial" w:cs="Arial" w:hint="eastAsia"/>
          <w:szCs w:val="24"/>
        </w:rPr>
        <w:t xml:space="preserve">, </w:t>
      </w:r>
      <w:r w:rsidRPr="00D24D1F">
        <w:rPr>
          <w:rFonts w:ascii="Arial" w:hAnsi="Arial" w:cs="Arial"/>
          <w:szCs w:val="24"/>
        </w:rPr>
        <w:t xml:space="preserve">already manifesting as a 14.9% increase in sleep deprivation in China compared to historical </w:t>
      </w:r>
      <w:commentRangeStart w:id="4"/>
      <w:r w:rsidRPr="00D24D1F">
        <w:rPr>
          <w:rFonts w:ascii="Arial" w:hAnsi="Arial" w:cs="Arial"/>
          <w:szCs w:val="24"/>
        </w:rPr>
        <w:t>baselines</w:t>
      </w:r>
      <w:commentRangeEnd w:id="4"/>
      <w:r>
        <w:rPr>
          <w:rStyle w:val="CommentReference"/>
          <w:rFonts w:ascii="Arial" w:hAnsi="Arial" w:cs="Arial" w:hint="eastAsia"/>
          <w:sz w:val="24"/>
          <w:szCs w:val="24"/>
        </w:rPr>
        <w:commentReference w:id="4"/>
      </w:r>
      <w:r>
        <w:rPr>
          <w:rFonts w:ascii="Arial" w:hAnsi="Arial" w:cs="Arial" w:hint="eastAsia"/>
          <w:szCs w:val="24"/>
        </w:rPr>
        <w:t xml:space="preserve">. Such warming climate combined </w:t>
      </w:r>
      <w:r w:rsidR="00B415B3">
        <w:rPr>
          <w:rFonts w:ascii="Arial" w:hAnsi="Arial" w:cs="Arial" w:hint="eastAsia"/>
          <w:szCs w:val="24"/>
        </w:rPr>
        <w:t xml:space="preserve">with dense population in cities </w:t>
      </w:r>
      <w:r w:rsidRPr="00D24D1F">
        <w:rPr>
          <w:rFonts w:ascii="Arial" w:hAnsi="Arial" w:cs="Arial"/>
          <w:szCs w:val="24"/>
        </w:rPr>
        <w:t>transform</w:t>
      </w:r>
      <w:r w:rsidR="00B415B3">
        <w:rPr>
          <w:rFonts w:ascii="Arial" w:hAnsi="Arial" w:cs="Arial" w:hint="eastAsia"/>
          <w:szCs w:val="24"/>
        </w:rPr>
        <w:t>s</w:t>
      </w:r>
      <w:r w:rsidRPr="00D24D1F">
        <w:rPr>
          <w:rFonts w:ascii="Arial" w:hAnsi="Arial" w:cs="Arial"/>
          <w:szCs w:val="24"/>
        </w:rPr>
        <w:t xml:space="preserve"> nighttime heat exposure into an insidious and escalating global health crisis.</w:t>
      </w:r>
    </w:p>
    <w:p w14:paraId="67B39EF4" w14:textId="12D528FF" w:rsidR="001248DE" w:rsidRPr="00D24D1F" w:rsidRDefault="00F078C8" w:rsidP="001248DE">
      <w:pPr>
        <w:spacing w:afterLines="50" w:after="163" w:line="300" w:lineRule="auto"/>
        <w:ind w:firstLine="420"/>
        <w:rPr>
          <w:rFonts w:ascii="Arial" w:hAnsi="Arial" w:cs="Arial"/>
          <w:szCs w:val="24"/>
        </w:rPr>
      </w:pPr>
      <w:r w:rsidRPr="00F078C8">
        <w:rPr>
          <w:rFonts w:ascii="Arial" w:hAnsi="Arial" w:cs="Arial"/>
          <w:szCs w:val="24"/>
        </w:rPr>
        <w:t>Despite growing recognition of heat-induced sleep disruption, current climate-health macro-assessments harbor a critical mechanistic blind spot: they predominantly extrapolate human health outcome</w:t>
      </w:r>
      <w:r w:rsidRPr="007672E0">
        <w:rPr>
          <w:rFonts w:ascii="Arial" w:hAnsi="Arial" w:cs="Arial"/>
          <w:szCs w:val="24"/>
        </w:rPr>
        <w:t xml:space="preserve">s directly from outdoor meteorological weather </w:t>
      </w:r>
      <w:commentRangeStart w:id="5"/>
      <w:r w:rsidRPr="007672E0">
        <w:rPr>
          <w:rFonts w:ascii="Arial" w:hAnsi="Arial" w:cs="Arial"/>
          <w:szCs w:val="24"/>
        </w:rPr>
        <w:t>data</w:t>
      </w:r>
      <w:commentRangeEnd w:id="5"/>
      <w:r w:rsidR="001248DE" w:rsidRPr="007672E0">
        <w:rPr>
          <w:rStyle w:val="CommentReference"/>
          <w:rFonts w:ascii="Arial" w:hAnsi="Arial" w:cs="Arial"/>
          <w:sz w:val="24"/>
          <w:szCs w:val="24"/>
        </w:rPr>
        <w:commentReference w:id="5"/>
      </w:r>
      <w:r w:rsidRPr="007672E0">
        <w:rPr>
          <w:rFonts w:ascii="Arial" w:hAnsi="Arial" w:cs="Arial"/>
          <w:szCs w:val="24"/>
        </w:rPr>
        <w:t>. This paradigm fundamentally overlooks the</w:t>
      </w:r>
      <w:r w:rsidRPr="007672E0">
        <w:rPr>
          <w:rFonts w:ascii="Arial" w:hAnsi="Arial" w:cs="Arial" w:hint="eastAsia"/>
          <w:szCs w:val="24"/>
        </w:rPr>
        <w:t xml:space="preserve"> </w:t>
      </w:r>
      <w:r w:rsidRPr="007672E0">
        <w:rPr>
          <w:rFonts w:ascii="Arial" w:hAnsi="Arial" w:cs="Arial"/>
          <w:szCs w:val="24"/>
        </w:rPr>
        <w:t>"invisible building buffering effect”</w:t>
      </w:r>
      <w:r w:rsidRPr="007672E0">
        <w:rPr>
          <w:rFonts w:ascii="Arial" w:hAnsi="Arial" w:cs="Arial" w:hint="eastAsia"/>
          <w:szCs w:val="24"/>
        </w:rPr>
        <w:t xml:space="preserve">, </w:t>
      </w:r>
      <w:r w:rsidRPr="007672E0">
        <w:rPr>
          <w:rFonts w:ascii="Arial" w:hAnsi="Arial" w:cs="Arial"/>
          <w:szCs w:val="24"/>
        </w:rPr>
        <w:t>a complex indoor thermal mediation governed jointly by</w:t>
      </w:r>
      <w:r w:rsidRPr="007672E0">
        <w:rPr>
          <w:rFonts w:ascii="Arial" w:hAnsi="Arial" w:cs="Arial" w:hint="eastAsia"/>
          <w:szCs w:val="24"/>
        </w:rPr>
        <w:t xml:space="preserve"> </w:t>
      </w:r>
      <w:r w:rsidRPr="007672E0">
        <w:rPr>
          <w:rFonts w:ascii="Arial" w:hAnsi="Arial" w:cs="Arial"/>
          <w:szCs w:val="24"/>
        </w:rPr>
        <w:t>passive structural sheltering</w:t>
      </w:r>
      <w:r w:rsidRPr="007672E0">
        <w:rPr>
          <w:rFonts w:ascii="Arial" w:hAnsi="Arial" w:cs="Arial" w:hint="eastAsia"/>
          <w:szCs w:val="24"/>
        </w:rPr>
        <w:t xml:space="preserve"> </w:t>
      </w:r>
      <w:r w:rsidRPr="007672E0">
        <w:rPr>
          <w:rFonts w:ascii="Arial" w:hAnsi="Arial" w:cs="Arial"/>
          <w:szCs w:val="24"/>
        </w:rPr>
        <w:t>and</w:t>
      </w:r>
      <w:r w:rsidRPr="007672E0">
        <w:rPr>
          <w:rFonts w:ascii="Arial" w:hAnsi="Arial" w:cs="Arial" w:hint="eastAsia"/>
          <w:szCs w:val="24"/>
        </w:rPr>
        <w:t xml:space="preserve"> </w:t>
      </w:r>
      <w:r w:rsidRPr="007672E0">
        <w:rPr>
          <w:rFonts w:ascii="Arial" w:hAnsi="Arial" w:cs="Arial"/>
          <w:szCs w:val="24"/>
        </w:rPr>
        <w:t>active mechanical cooling (AC)</w:t>
      </w:r>
      <w:r w:rsidR="0030240F">
        <w:rPr>
          <w:rFonts w:ascii="Arial" w:hAnsi="Arial" w:cs="Arial" w:hint="eastAsia"/>
          <w:szCs w:val="24"/>
        </w:rPr>
        <w:t xml:space="preserve">, as illustrated in </w:t>
      </w:r>
      <w:r w:rsidR="0030240F" w:rsidRPr="0030240F">
        <w:rPr>
          <w:rFonts w:ascii="Arial" w:hAnsi="Arial" w:cs="Arial" w:hint="eastAsia"/>
          <w:b/>
          <w:bCs/>
          <w:szCs w:val="24"/>
        </w:rPr>
        <w:t>Fig. 1a</w:t>
      </w:r>
      <w:r w:rsidRPr="007672E0">
        <w:rPr>
          <w:rFonts w:ascii="Arial" w:hAnsi="Arial" w:cs="Arial"/>
          <w:szCs w:val="24"/>
        </w:rPr>
        <w:t xml:space="preserve">. </w:t>
      </w:r>
      <w:r w:rsidR="004A6879" w:rsidRPr="007672E0">
        <w:rPr>
          <w:rFonts w:ascii="Arial" w:hAnsi="Arial" w:cs="Arial" w:hint="eastAsia"/>
          <w:szCs w:val="24"/>
        </w:rPr>
        <w:t>Since</w:t>
      </w:r>
      <w:r w:rsidR="001248DE" w:rsidRPr="007672E0">
        <w:rPr>
          <w:rFonts w:ascii="Arial" w:hAnsi="Arial" w:cs="Arial" w:hint="eastAsia"/>
          <w:szCs w:val="24"/>
        </w:rPr>
        <w:t xml:space="preserve"> h</w:t>
      </w:r>
      <w:r w:rsidR="001248DE" w:rsidRPr="00D24D1F">
        <w:rPr>
          <w:rFonts w:ascii="Arial" w:hAnsi="Arial" w:cs="Arial"/>
          <w:szCs w:val="24"/>
        </w:rPr>
        <w:t xml:space="preserve">umans </w:t>
      </w:r>
      <w:r w:rsidR="004A6879" w:rsidRPr="007672E0">
        <w:rPr>
          <w:rFonts w:ascii="Arial" w:hAnsi="Arial" w:cs="Arial"/>
          <w:szCs w:val="24"/>
        </w:rPr>
        <w:t>spend the vast majority</w:t>
      </w:r>
      <w:r w:rsidR="004A6879" w:rsidRPr="007672E0">
        <w:rPr>
          <w:rFonts w:ascii="Arial" w:hAnsi="Arial" w:cs="Arial" w:hint="eastAsia"/>
          <w:szCs w:val="24"/>
        </w:rPr>
        <w:t xml:space="preserve"> of time (including </w:t>
      </w:r>
      <w:r w:rsidR="001248DE" w:rsidRPr="00D24D1F">
        <w:rPr>
          <w:rFonts w:ascii="Arial" w:hAnsi="Arial" w:cs="Arial"/>
          <w:szCs w:val="24"/>
        </w:rPr>
        <w:t>sleep</w:t>
      </w:r>
      <w:r w:rsidR="004A6879" w:rsidRPr="007672E0">
        <w:rPr>
          <w:rFonts w:ascii="Arial" w:hAnsi="Arial" w:cs="Arial" w:hint="eastAsia"/>
          <w:szCs w:val="24"/>
        </w:rPr>
        <w:t>)</w:t>
      </w:r>
      <w:r w:rsidR="001248DE" w:rsidRPr="00D24D1F">
        <w:rPr>
          <w:rFonts w:ascii="Arial" w:hAnsi="Arial" w:cs="Arial"/>
          <w:szCs w:val="24"/>
        </w:rPr>
        <w:t xml:space="preserve"> </w:t>
      </w:r>
      <w:r w:rsidR="001248DE" w:rsidRPr="007672E0">
        <w:rPr>
          <w:rFonts w:ascii="Arial" w:hAnsi="Arial" w:cs="Arial" w:hint="eastAsia"/>
          <w:szCs w:val="24"/>
        </w:rPr>
        <w:t>in</w:t>
      </w:r>
      <w:r w:rsidR="001248DE" w:rsidRPr="00D24D1F">
        <w:rPr>
          <w:rFonts w:ascii="Arial" w:hAnsi="Arial" w:cs="Arial"/>
          <w:szCs w:val="24"/>
        </w:rPr>
        <w:t>doors</w:t>
      </w:r>
      <w:r w:rsidR="004A6879" w:rsidRPr="007672E0">
        <w:rPr>
          <w:rFonts w:ascii="Arial" w:hAnsi="Arial" w:cs="Arial" w:hint="eastAsia"/>
          <w:szCs w:val="24"/>
        </w:rPr>
        <w:t>,</w:t>
      </w:r>
      <w:r w:rsidR="001248DE" w:rsidRPr="00D24D1F">
        <w:rPr>
          <w:rFonts w:ascii="Arial" w:hAnsi="Arial" w:cs="Arial"/>
          <w:szCs w:val="24"/>
        </w:rPr>
        <w:t xml:space="preserve"> the </w:t>
      </w:r>
      <w:r w:rsidR="001248DE" w:rsidRPr="007672E0">
        <w:rPr>
          <w:rFonts w:ascii="Arial" w:hAnsi="Arial" w:cs="Arial" w:hint="eastAsia"/>
          <w:szCs w:val="24"/>
        </w:rPr>
        <w:t>building</w:t>
      </w:r>
      <w:r w:rsidR="001248DE" w:rsidRPr="007672E0">
        <w:rPr>
          <w:rFonts w:ascii="Arial" w:hAnsi="Arial" w:cs="Arial"/>
          <w:szCs w:val="24"/>
        </w:rPr>
        <w:t>’</w:t>
      </w:r>
      <w:r w:rsidR="001248DE" w:rsidRPr="007672E0">
        <w:rPr>
          <w:rFonts w:ascii="Arial" w:hAnsi="Arial" w:cs="Arial" w:hint="eastAsia"/>
          <w:szCs w:val="24"/>
        </w:rPr>
        <w:t>s</w:t>
      </w:r>
      <w:r w:rsidR="001248DE" w:rsidRPr="00D24D1F">
        <w:rPr>
          <w:rFonts w:ascii="Arial" w:hAnsi="Arial" w:cs="Arial"/>
          <w:szCs w:val="24"/>
        </w:rPr>
        <w:t xml:space="preserve"> envelope acts as a </w:t>
      </w:r>
      <w:r w:rsidR="001248DE" w:rsidRPr="007672E0">
        <w:rPr>
          <w:rFonts w:ascii="Arial" w:hAnsi="Arial" w:cs="Arial" w:hint="eastAsia"/>
          <w:szCs w:val="24"/>
        </w:rPr>
        <w:t xml:space="preserve">critical </w:t>
      </w:r>
      <w:r w:rsidR="001248DE" w:rsidRPr="00D24D1F">
        <w:rPr>
          <w:rFonts w:ascii="Arial" w:hAnsi="Arial" w:cs="Arial"/>
          <w:szCs w:val="24"/>
        </w:rPr>
        <w:t xml:space="preserve">thermal mediator that fundamentally </w:t>
      </w:r>
      <w:r w:rsidR="004A6879" w:rsidRPr="007672E0">
        <w:rPr>
          <w:rFonts w:ascii="Arial" w:hAnsi="Arial" w:cs="Arial" w:hint="eastAsia"/>
          <w:szCs w:val="24"/>
        </w:rPr>
        <w:t>reshape</w:t>
      </w:r>
      <w:r w:rsidR="001248DE" w:rsidRPr="00D24D1F">
        <w:rPr>
          <w:rFonts w:ascii="Arial" w:hAnsi="Arial" w:cs="Arial"/>
          <w:szCs w:val="24"/>
        </w:rPr>
        <w:t xml:space="preserve"> the magnitude, timing, and spatial distribution of heat exposure.</w:t>
      </w:r>
      <w:r w:rsidR="001248DE" w:rsidRPr="001248DE">
        <w:rPr>
          <w:rFonts w:ascii="Arial" w:hAnsi="Arial" w:cs="Arial"/>
          <w:szCs w:val="24"/>
        </w:rPr>
        <w:t xml:space="preserve"> </w:t>
      </w:r>
      <w:r w:rsidR="001248DE" w:rsidRPr="00D24D1F">
        <w:rPr>
          <w:rFonts w:ascii="Arial" w:hAnsi="Arial" w:cs="Arial"/>
          <w:szCs w:val="24"/>
        </w:rPr>
        <w:t xml:space="preserve">As demonstrated by the physics of explicit structural heat transfer, buildings introduce a </w:t>
      </w:r>
      <w:r w:rsidR="001248DE">
        <w:rPr>
          <w:rFonts w:ascii="Arial" w:hAnsi="Arial" w:cs="Arial" w:hint="eastAsia"/>
          <w:szCs w:val="24"/>
        </w:rPr>
        <w:t>temporal</w:t>
      </w:r>
      <w:r w:rsidR="001248DE" w:rsidRPr="00D24D1F">
        <w:rPr>
          <w:rFonts w:ascii="Arial" w:hAnsi="Arial" w:cs="Arial"/>
          <w:szCs w:val="24"/>
        </w:rPr>
        <w:t xml:space="preserve"> lag</w:t>
      </w:r>
      <w:r w:rsidR="001248DE">
        <w:rPr>
          <w:rFonts w:ascii="Arial" w:hAnsi="Arial" w:cs="Arial" w:hint="eastAsia"/>
          <w:szCs w:val="24"/>
        </w:rPr>
        <w:t xml:space="preserve"> by </w:t>
      </w:r>
      <w:r w:rsidR="001248DE" w:rsidRPr="00D24D1F">
        <w:rPr>
          <w:rFonts w:ascii="Arial" w:hAnsi="Arial" w:cs="Arial"/>
          <w:szCs w:val="24"/>
        </w:rPr>
        <w:t xml:space="preserve">absorbing solar radiation during daytime hours and trapping it as delayed terrestrial heat release precisely during the nocturnal sleep </w:t>
      </w:r>
      <w:r w:rsidR="001248DE">
        <w:rPr>
          <w:rFonts w:ascii="Arial" w:hAnsi="Arial" w:cs="Arial" w:hint="eastAsia"/>
          <w:szCs w:val="24"/>
        </w:rPr>
        <w:t>period [XX]</w:t>
      </w:r>
      <w:r w:rsidR="001248DE" w:rsidRPr="00D24D1F">
        <w:rPr>
          <w:rFonts w:ascii="Arial" w:hAnsi="Arial" w:cs="Arial"/>
          <w:szCs w:val="24"/>
        </w:rPr>
        <w:t>.</w:t>
      </w:r>
      <w:r w:rsidR="001248DE" w:rsidRPr="001248DE">
        <w:rPr>
          <w:rFonts w:ascii="Arial" w:hAnsi="Arial" w:cs="Arial"/>
          <w:szCs w:val="24"/>
        </w:rPr>
        <w:t xml:space="preserve"> </w:t>
      </w:r>
      <w:r w:rsidR="001248DE" w:rsidRPr="00D24D1F">
        <w:rPr>
          <w:rFonts w:ascii="Arial" w:hAnsi="Arial" w:cs="Arial"/>
          <w:szCs w:val="24"/>
        </w:rPr>
        <w:t>Bypassing this indoor reality obscures the true spatial heterogeneity of thermal stress and severely miscalculates actual human vulnerability.</w:t>
      </w:r>
      <w:r w:rsidR="001248DE">
        <w:rPr>
          <w:rFonts w:ascii="Arial" w:hAnsi="Arial" w:cs="Arial" w:hint="eastAsia"/>
          <w:szCs w:val="24"/>
        </w:rPr>
        <w:t xml:space="preserve"> W</w:t>
      </w:r>
      <w:r w:rsidR="001248DE" w:rsidRPr="00F078C8">
        <w:rPr>
          <w:rFonts w:ascii="Arial" w:hAnsi="Arial" w:cs="Arial"/>
          <w:szCs w:val="24"/>
        </w:rPr>
        <w:t xml:space="preserve">hile recent micro-level epidemiological studies utilizing wearable devices (e.g., smartwatches) have attempted to track actual indoor sleep exposures, these observational approaches </w:t>
      </w:r>
      <w:r w:rsidR="007672E0">
        <w:rPr>
          <w:rFonts w:ascii="Arial" w:hAnsi="Arial" w:cs="Arial" w:hint="eastAsia"/>
          <w:szCs w:val="24"/>
        </w:rPr>
        <w:t>remain</w:t>
      </w:r>
      <w:r w:rsidR="001248DE" w:rsidRPr="00F078C8">
        <w:rPr>
          <w:rFonts w:ascii="Arial" w:hAnsi="Arial" w:cs="Arial"/>
          <w:szCs w:val="24"/>
        </w:rPr>
        <w:t xml:space="preserve"> </w:t>
      </w:r>
      <w:r w:rsidR="007672E0" w:rsidRPr="007672E0">
        <w:rPr>
          <w:rFonts w:ascii="Arial" w:hAnsi="Arial" w:cs="Arial"/>
          <w:szCs w:val="24"/>
        </w:rPr>
        <w:t>confounded</w:t>
      </w:r>
      <w:r w:rsidR="007672E0">
        <w:rPr>
          <w:rFonts w:ascii="Arial" w:hAnsi="Arial" w:cs="Arial" w:hint="eastAsia"/>
          <w:szCs w:val="24"/>
        </w:rPr>
        <w:t xml:space="preserve"> by </w:t>
      </w:r>
      <w:r w:rsidR="007672E0" w:rsidRPr="007672E0">
        <w:rPr>
          <w:rFonts w:ascii="Arial" w:hAnsi="Arial" w:cs="Arial"/>
          <w:szCs w:val="24"/>
        </w:rPr>
        <w:t>stochastic human behaviors</w:t>
      </w:r>
      <w:r w:rsidR="001248DE" w:rsidRPr="00F078C8">
        <w:rPr>
          <w:rFonts w:ascii="Arial" w:hAnsi="Arial" w:cs="Arial"/>
          <w:szCs w:val="24"/>
        </w:rPr>
        <w:t xml:space="preserve"> </w:t>
      </w:r>
      <w:r w:rsidR="007672E0">
        <w:rPr>
          <w:rFonts w:ascii="Arial" w:hAnsi="Arial" w:cs="Arial" w:hint="eastAsia"/>
          <w:szCs w:val="24"/>
        </w:rPr>
        <w:t>and</w:t>
      </w:r>
      <w:r w:rsidR="001248DE" w:rsidRPr="00F078C8">
        <w:rPr>
          <w:rFonts w:ascii="Arial" w:hAnsi="Arial" w:cs="Arial"/>
          <w:szCs w:val="24"/>
        </w:rPr>
        <w:t xml:space="preserve"> can</w:t>
      </w:r>
      <w:r w:rsidR="007672E0">
        <w:rPr>
          <w:rFonts w:ascii="Arial" w:hAnsi="Arial" w:cs="Arial" w:hint="eastAsia"/>
          <w:szCs w:val="24"/>
        </w:rPr>
        <w:t>not</w:t>
      </w:r>
      <w:r w:rsidR="001248DE" w:rsidRPr="00F078C8">
        <w:rPr>
          <w:rFonts w:ascii="Arial" w:hAnsi="Arial" w:cs="Arial"/>
          <w:szCs w:val="24"/>
        </w:rPr>
        <w:t xml:space="preserve"> feasibly scaled up to map city-wide heterogeneities</w:t>
      </w:r>
      <w:r w:rsidR="001248DE">
        <w:rPr>
          <w:rFonts w:ascii="Arial" w:hAnsi="Arial" w:cs="Arial" w:hint="eastAsia"/>
          <w:szCs w:val="24"/>
        </w:rPr>
        <w:t xml:space="preserve"> due to the data coverage limits</w:t>
      </w:r>
      <w:r w:rsidR="001248DE" w:rsidRPr="00F078C8">
        <w:rPr>
          <w:rFonts w:ascii="Arial" w:hAnsi="Arial" w:cs="Arial"/>
          <w:szCs w:val="24"/>
        </w:rPr>
        <w:t xml:space="preserve">. </w:t>
      </w:r>
      <w:r w:rsidR="001248DE">
        <w:rPr>
          <w:rFonts w:ascii="Arial" w:hAnsi="Arial" w:cs="Arial" w:hint="eastAsia"/>
          <w:szCs w:val="24"/>
        </w:rPr>
        <w:t>Consequen</w:t>
      </w:r>
      <w:r w:rsidR="001248DE" w:rsidRPr="007672E0">
        <w:rPr>
          <w:rFonts w:ascii="Arial" w:hAnsi="Arial" w:cs="Arial" w:hint="eastAsia"/>
          <w:szCs w:val="24"/>
        </w:rPr>
        <w:t xml:space="preserve">tly, quantifying </w:t>
      </w:r>
      <w:r w:rsidR="007672E0" w:rsidRPr="007672E0">
        <w:rPr>
          <w:rFonts w:ascii="Arial" w:hAnsi="Arial" w:cs="Arial" w:hint="eastAsia"/>
          <w:szCs w:val="24"/>
        </w:rPr>
        <w:t>this</w:t>
      </w:r>
      <w:r w:rsidR="001248DE" w:rsidRPr="007672E0">
        <w:rPr>
          <w:rFonts w:ascii="Arial" w:hAnsi="Arial" w:cs="Arial" w:hint="eastAsia"/>
          <w:szCs w:val="24"/>
        </w:rPr>
        <w:t xml:space="preserve"> </w:t>
      </w:r>
      <w:r w:rsidR="001248DE" w:rsidRPr="007672E0">
        <w:rPr>
          <w:rFonts w:ascii="Arial" w:hAnsi="Arial" w:cs="Arial"/>
          <w:szCs w:val="24"/>
        </w:rPr>
        <w:t>building buffering effect</w:t>
      </w:r>
      <w:r w:rsidR="001248DE" w:rsidRPr="007672E0">
        <w:rPr>
          <w:rFonts w:ascii="Arial" w:hAnsi="Arial" w:cs="Arial" w:hint="eastAsia"/>
          <w:szCs w:val="24"/>
        </w:rPr>
        <w:t xml:space="preserve"> </w:t>
      </w:r>
      <w:r w:rsidR="007672E0" w:rsidRPr="007672E0">
        <w:rPr>
          <w:rFonts w:ascii="Arial" w:hAnsi="Arial" w:cs="Arial"/>
          <w:szCs w:val="24"/>
        </w:rPr>
        <w:t>across vast urban scales remains a formidable challenge</w:t>
      </w:r>
      <w:r w:rsidR="001248DE" w:rsidRPr="007672E0">
        <w:rPr>
          <w:rFonts w:ascii="Arial" w:hAnsi="Arial" w:cs="Arial" w:hint="eastAsia"/>
          <w:szCs w:val="24"/>
        </w:rPr>
        <w:t>.</w:t>
      </w:r>
    </w:p>
    <w:p w14:paraId="0531DCBD" w14:textId="568C8D25" w:rsidR="00FF767C" w:rsidRPr="00D24D1F" w:rsidRDefault="001248DE" w:rsidP="00FF767C">
      <w:pPr>
        <w:spacing w:afterLines="50" w:after="163" w:line="300" w:lineRule="auto"/>
        <w:ind w:firstLine="420"/>
        <w:rPr>
          <w:rFonts w:ascii="Arial" w:hAnsi="Arial" w:cs="Arial"/>
          <w:szCs w:val="24"/>
        </w:rPr>
      </w:pPr>
      <w:r w:rsidRPr="001248DE">
        <w:rPr>
          <w:rFonts w:ascii="Arial" w:hAnsi="Arial" w:cs="Arial"/>
          <w:szCs w:val="24"/>
        </w:rPr>
        <w:t xml:space="preserve">This methodological </w:t>
      </w:r>
      <w:r w:rsidRPr="00D24D1F">
        <w:rPr>
          <w:rFonts w:ascii="Arial" w:hAnsi="Arial" w:cs="Arial"/>
          <w:szCs w:val="24"/>
        </w:rPr>
        <w:t>blind spot</w:t>
      </w:r>
      <w:r w:rsidRPr="001248DE">
        <w:rPr>
          <w:rFonts w:ascii="Arial" w:hAnsi="Arial" w:cs="Arial"/>
          <w:szCs w:val="24"/>
        </w:rPr>
        <w:t xml:space="preserve"> is particularly perilous in densely populated urban centers, which concurrently house over 50% of the global population</w:t>
      </w:r>
      <w:r>
        <w:rPr>
          <w:rFonts w:ascii="Arial" w:hAnsi="Arial" w:cs="Arial" w:hint="eastAsia"/>
          <w:szCs w:val="24"/>
        </w:rPr>
        <w:t xml:space="preserve"> [XX]</w:t>
      </w:r>
      <w:r w:rsidRPr="00D24D1F">
        <w:rPr>
          <w:rFonts w:ascii="Arial" w:hAnsi="Arial" w:cs="Arial"/>
          <w:szCs w:val="24"/>
        </w:rPr>
        <w:t>.</w:t>
      </w:r>
      <w:r w:rsidRPr="001248DE">
        <w:rPr>
          <w:rFonts w:ascii="Arial" w:hAnsi="Arial" w:cs="Arial"/>
          <w:szCs w:val="24"/>
        </w:rPr>
        <w:t xml:space="preserve"> </w:t>
      </w:r>
      <w:r w:rsidR="00FF767C" w:rsidRPr="00D24D1F">
        <w:rPr>
          <w:rFonts w:ascii="Arial" w:hAnsi="Arial" w:cs="Arial"/>
          <w:szCs w:val="24"/>
        </w:rPr>
        <w:t xml:space="preserve">When passive </w:t>
      </w:r>
      <w:r w:rsidR="00FF767C">
        <w:rPr>
          <w:rFonts w:ascii="Arial" w:hAnsi="Arial" w:cs="Arial" w:hint="eastAsia"/>
          <w:szCs w:val="24"/>
        </w:rPr>
        <w:t>building</w:t>
      </w:r>
      <w:r w:rsidR="00FF767C" w:rsidRPr="00D24D1F">
        <w:rPr>
          <w:rFonts w:ascii="Arial" w:hAnsi="Arial" w:cs="Arial"/>
          <w:szCs w:val="24"/>
        </w:rPr>
        <w:t xml:space="preserve"> buffering fails under worsening heatwaves, populations are forced to retreat to active mechanical cooling (i.e., air conditioning, AC). Relying on AC to secure physiological comfort </w:t>
      </w:r>
      <w:r w:rsidR="00FF767C" w:rsidRPr="00D24D1F">
        <w:rPr>
          <w:rFonts w:ascii="Arial" w:hAnsi="Arial" w:cs="Arial"/>
          <w:szCs w:val="24"/>
        </w:rPr>
        <w:lastRenderedPageBreak/>
        <w:t xml:space="preserve">creates a </w:t>
      </w:r>
      <w:r w:rsidR="007672E0" w:rsidRPr="007672E0">
        <w:rPr>
          <w:rFonts w:ascii="Arial" w:hAnsi="Arial" w:cs="Arial"/>
          <w:szCs w:val="24"/>
        </w:rPr>
        <w:t>volatile</w:t>
      </w:r>
      <w:r w:rsidR="007672E0">
        <w:rPr>
          <w:rFonts w:ascii="Arial" w:hAnsi="Arial" w:cs="Arial" w:hint="eastAsia"/>
          <w:szCs w:val="24"/>
        </w:rPr>
        <w:t xml:space="preserve"> </w:t>
      </w:r>
      <w:r w:rsidR="00FF767C" w:rsidRPr="00D24D1F">
        <w:rPr>
          <w:rFonts w:ascii="Arial" w:hAnsi="Arial" w:cs="Arial"/>
          <w:szCs w:val="24"/>
        </w:rPr>
        <w:t>Climate-Energy-Health Nexus</w:t>
      </w:r>
      <w:r w:rsidR="00FF767C" w:rsidRPr="00986D92">
        <w:rPr>
          <w:rFonts w:ascii="Arial" w:hAnsi="Arial" w:cs="Arial" w:hint="eastAsia"/>
          <w:szCs w:val="24"/>
        </w:rPr>
        <w:t xml:space="preserve"> that</w:t>
      </w:r>
      <w:r w:rsidR="00FF767C" w:rsidRPr="00D24D1F">
        <w:rPr>
          <w:rFonts w:ascii="Arial" w:hAnsi="Arial" w:cs="Arial"/>
          <w:szCs w:val="24"/>
        </w:rPr>
        <w:t xml:space="preserve"> </w:t>
      </w:r>
      <w:r w:rsidR="007672E0" w:rsidRPr="007672E0">
        <w:rPr>
          <w:rFonts w:ascii="Arial" w:hAnsi="Arial" w:cs="Arial"/>
          <w:szCs w:val="24"/>
        </w:rPr>
        <w:t>escalating heat</w:t>
      </w:r>
      <w:r w:rsidR="007672E0">
        <w:rPr>
          <w:rFonts w:ascii="Arial" w:hAnsi="Arial" w:cs="Arial" w:hint="eastAsia"/>
          <w:szCs w:val="24"/>
        </w:rPr>
        <w:t xml:space="preserve"> triggers more </w:t>
      </w:r>
      <w:r w:rsidR="00FF767C" w:rsidRPr="00D24D1F">
        <w:rPr>
          <w:rFonts w:ascii="Arial" w:hAnsi="Arial" w:cs="Arial"/>
          <w:szCs w:val="24"/>
        </w:rPr>
        <w:t>intensive cooling</w:t>
      </w:r>
      <w:r w:rsidR="007672E0">
        <w:rPr>
          <w:rFonts w:ascii="Arial" w:hAnsi="Arial" w:cs="Arial" w:hint="eastAsia"/>
          <w:szCs w:val="24"/>
        </w:rPr>
        <w:t>,</w:t>
      </w:r>
      <w:r w:rsidR="00FF767C" w:rsidRPr="00D24D1F">
        <w:rPr>
          <w:rFonts w:ascii="Arial" w:hAnsi="Arial" w:cs="Arial"/>
          <w:szCs w:val="24"/>
        </w:rPr>
        <w:t xml:space="preserve"> </w:t>
      </w:r>
      <w:r w:rsidR="007672E0">
        <w:rPr>
          <w:rFonts w:ascii="Arial" w:hAnsi="Arial" w:cs="Arial" w:hint="eastAsia"/>
          <w:szCs w:val="24"/>
        </w:rPr>
        <w:t>resulting surge in electrical demand strains</w:t>
      </w:r>
      <w:r w:rsidR="00FF767C" w:rsidRPr="00D24D1F">
        <w:rPr>
          <w:rFonts w:ascii="Arial" w:hAnsi="Arial" w:cs="Arial"/>
          <w:szCs w:val="24"/>
        </w:rPr>
        <w:t xml:space="preserve"> urban power grids, trapping cities in a vicious cycle of maladaptation. Untangling this nexus requires shifting the </w:t>
      </w:r>
      <w:r w:rsidR="007672E0">
        <w:rPr>
          <w:rFonts w:ascii="Arial" w:hAnsi="Arial" w:cs="Arial" w:hint="eastAsia"/>
          <w:szCs w:val="24"/>
        </w:rPr>
        <w:t xml:space="preserve">present </w:t>
      </w:r>
      <w:r w:rsidR="00FF767C" w:rsidRPr="00D24D1F">
        <w:rPr>
          <w:rFonts w:ascii="Arial" w:hAnsi="Arial" w:cs="Arial"/>
          <w:szCs w:val="24"/>
        </w:rPr>
        <w:t>analytical framework from outdoor weather exposures to the high-resolution internal realities of where actual sleeping occurs.</w:t>
      </w:r>
    </w:p>
    <w:p w14:paraId="003A57EE" w14:textId="7DB83ABA" w:rsidR="00D24D1F" w:rsidRPr="00D24D1F" w:rsidRDefault="00D24D1F" w:rsidP="00986D92">
      <w:pPr>
        <w:spacing w:afterLines="50" w:after="163" w:line="300" w:lineRule="auto"/>
        <w:ind w:firstLine="420"/>
        <w:rPr>
          <w:rFonts w:ascii="Arial" w:hAnsi="Arial" w:cs="Arial"/>
          <w:szCs w:val="24"/>
        </w:rPr>
      </w:pPr>
      <w:r w:rsidRPr="00D24D1F">
        <w:rPr>
          <w:rFonts w:ascii="Arial" w:hAnsi="Arial" w:cs="Arial"/>
          <w:szCs w:val="24"/>
        </w:rPr>
        <w:t xml:space="preserve">To bridge this critical spatial and mechanistic gap, we present a highly resolved, physics-based </w:t>
      </w:r>
      <w:r w:rsidR="0030240F">
        <w:rPr>
          <w:rFonts w:ascii="Arial" w:hAnsi="Arial" w:cs="Arial" w:hint="eastAsia"/>
          <w:szCs w:val="24"/>
        </w:rPr>
        <w:t>analytic engine</w:t>
      </w:r>
      <w:r w:rsidRPr="00D24D1F">
        <w:rPr>
          <w:rFonts w:ascii="Arial" w:hAnsi="Arial" w:cs="Arial"/>
          <w:szCs w:val="24"/>
        </w:rPr>
        <w:t xml:space="preserve"> powered by the</w:t>
      </w:r>
      <w:r w:rsidR="00986D92" w:rsidRPr="00986D92">
        <w:rPr>
          <w:rFonts w:ascii="Arial" w:hAnsi="Arial" w:cs="Arial" w:hint="eastAsia"/>
          <w:szCs w:val="24"/>
        </w:rPr>
        <w:t xml:space="preserve"> </w:t>
      </w:r>
      <w:r w:rsidRPr="00D24D1F">
        <w:rPr>
          <w:rFonts w:ascii="Arial" w:hAnsi="Arial" w:cs="Arial"/>
          <w:szCs w:val="24"/>
        </w:rPr>
        <w:t xml:space="preserve">Building Energy Sand Table (BEST). Moving decisively beyond empirical statistical correlations, BEST employs a bottom-up, mechanistic simulation approach to reconstruct realistic thermal environments and energy performances across a massive national portfolio of over </w:t>
      </w:r>
      <w:r w:rsidR="00986D92">
        <w:rPr>
          <w:rFonts w:ascii="Arial" w:hAnsi="Arial" w:cs="Arial" w:hint="eastAsia"/>
          <w:szCs w:val="24"/>
        </w:rPr>
        <w:t xml:space="preserve">40 </w:t>
      </w:r>
      <w:r w:rsidRPr="00D24D1F">
        <w:rPr>
          <w:rFonts w:ascii="Arial" w:hAnsi="Arial" w:cs="Arial"/>
          <w:szCs w:val="24"/>
        </w:rPr>
        <w:t xml:space="preserve">million </w:t>
      </w:r>
      <w:r w:rsidR="00986D92">
        <w:rPr>
          <w:rFonts w:ascii="Arial" w:hAnsi="Arial" w:cs="Arial" w:hint="eastAsia"/>
          <w:szCs w:val="24"/>
        </w:rPr>
        <w:t>individual</w:t>
      </w:r>
      <w:r w:rsidRPr="00D24D1F">
        <w:rPr>
          <w:rFonts w:ascii="Arial" w:hAnsi="Arial" w:cs="Arial"/>
          <w:szCs w:val="24"/>
        </w:rPr>
        <w:t xml:space="preserve"> buildings spanning more than 300 megacities</w:t>
      </w:r>
      <w:r w:rsidR="00986D92">
        <w:rPr>
          <w:rFonts w:ascii="Arial" w:hAnsi="Arial" w:cs="Arial" w:hint="eastAsia"/>
          <w:szCs w:val="24"/>
        </w:rPr>
        <w:t xml:space="preserve"> in China</w:t>
      </w:r>
      <w:r w:rsidRPr="00D24D1F">
        <w:rPr>
          <w:rFonts w:ascii="Arial" w:hAnsi="Arial" w:cs="Arial"/>
          <w:szCs w:val="24"/>
        </w:rPr>
        <w:t xml:space="preserve">. By operating at an hourly resolution over full-year cycles, this </w:t>
      </w:r>
      <w:r w:rsidR="0030240F">
        <w:rPr>
          <w:rFonts w:ascii="Arial" w:hAnsi="Arial" w:cs="Arial" w:hint="eastAsia"/>
          <w:szCs w:val="24"/>
        </w:rPr>
        <w:t>analytic engine</w:t>
      </w:r>
      <w:r w:rsidR="0030240F" w:rsidRPr="00D24D1F">
        <w:rPr>
          <w:rFonts w:ascii="Arial" w:hAnsi="Arial" w:cs="Arial"/>
          <w:szCs w:val="24"/>
        </w:rPr>
        <w:t xml:space="preserve"> </w:t>
      </w:r>
      <w:r w:rsidRPr="00D24D1F">
        <w:rPr>
          <w:rFonts w:ascii="Arial" w:hAnsi="Arial" w:cs="Arial"/>
          <w:szCs w:val="24"/>
        </w:rPr>
        <w:t>captures the nuanced heat transfer physics of individual building archetypes. We subsequently integrate these high-fidelity physical simulations with a physiologically informed indoor discomfort metric (Predicted Mean Vote, PMV) to precisely quantify sleep-disruptive hours</w:t>
      </w:r>
      <w:r w:rsidR="0030240F">
        <w:rPr>
          <w:rFonts w:ascii="Arial" w:hAnsi="Arial" w:cs="Arial" w:hint="eastAsia"/>
          <w:szCs w:val="24"/>
        </w:rPr>
        <w:t xml:space="preserve"> (</w:t>
      </w:r>
      <w:r w:rsidR="0030240F" w:rsidRPr="0030240F">
        <w:rPr>
          <w:rFonts w:ascii="Arial" w:hAnsi="Arial" w:cs="Arial" w:hint="eastAsia"/>
          <w:b/>
          <w:bCs/>
          <w:szCs w:val="24"/>
        </w:rPr>
        <w:t>Fig. 1b</w:t>
      </w:r>
      <w:r w:rsidR="0030240F">
        <w:rPr>
          <w:rFonts w:ascii="Arial" w:hAnsi="Arial" w:cs="Arial" w:hint="eastAsia"/>
          <w:szCs w:val="24"/>
        </w:rPr>
        <w:t>)</w:t>
      </w:r>
      <w:r w:rsidRPr="00D24D1F">
        <w:rPr>
          <w:rFonts w:ascii="Arial" w:hAnsi="Arial" w:cs="Arial"/>
          <w:szCs w:val="24"/>
        </w:rPr>
        <w:t>.</w:t>
      </w:r>
    </w:p>
    <w:p w14:paraId="6C4DF87A" w14:textId="79F7432F" w:rsidR="00FF767C" w:rsidRDefault="00986D92" w:rsidP="00FF767C">
      <w:pPr>
        <w:spacing w:line="300" w:lineRule="auto"/>
        <w:ind w:firstLine="420"/>
        <w:rPr>
          <w:rFonts w:ascii="Arial" w:hAnsi="Arial" w:cs="Arial"/>
          <w:szCs w:val="24"/>
        </w:rPr>
      </w:pPr>
      <w:r>
        <w:rPr>
          <w:rFonts w:ascii="Arial" w:hAnsi="Arial" w:cs="Arial" w:hint="eastAsia"/>
          <w:szCs w:val="24"/>
        </w:rPr>
        <w:t>W</w:t>
      </w:r>
      <w:r w:rsidR="00D24D1F" w:rsidRPr="00D24D1F">
        <w:rPr>
          <w:rFonts w:ascii="Arial" w:hAnsi="Arial" w:cs="Arial"/>
          <w:szCs w:val="24"/>
        </w:rPr>
        <w:t xml:space="preserve">e </w:t>
      </w:r>
      <w:r>
        <w:rPr>
          <w:rFonts w:ascii="Arial" w:hAnsi="Arial" w:cs="Arial" w:hint="eastAsia"/>
          <w:szCs w:val="24"/>
        </w:rPr>
        <w:t xml:space="preserve">further </w:t>
      </w:r>
      <w:r w:rsidR="00D24D1F" w:rsidRPr="00D24D1F">
        <w:rPr>
          <w:rFonts w:ascii="Arial" w:hAnsi="Arial" w:cs="Arial"/>
          <w:szCs w:val="24"/>
        </w:rPr>
        <w:t>trace the granular spatiotemporal evolution of sleep-period discomfort driven by projected warming scenarios (SSP126, SSP245, and SSP585)</w:t>
      </w:r>
      <w:r w:rsidR="00FF767C">
        <w:rPr>
          <w:rFonts w:ascii="Arial" w:hAnsi="Arial" w:cs="Arial" w:hint="eastAsia"/>
          <w:szCs w:val="24"/>
        </w:rPr>
        <w:t xml:space="preserve"> </w:t>
      </w:r>
      <w:r w:rsidR="007672E0" w:rsidRPr="007672E0">
        <w:rPr>
          <w:rFonts w:ascii="Arial" w:hAnsi="Arial" w:cs="Arial"/>
          <w:szCs w:val="24"/>
        </w:rPr>
        <w:t>through</w:t>
      </w:r>
      <w:r w:rsidR="007672E0">
        <w:rPr>
          <w:rFonts w:ascii="Arial" w:hAnsi="Arial" w:cs="Arial" w:hint="eastAsia"/>
          <w:szCs w:val="24"/>
        </w:rPr>
        <w:t xml:space="preserve"> the </w:t>
      </w:r>
      <w:r w:rsidR="00FF767C">
        <w:rPr>
          <w:rFonts w:ascii="Arial" w:hAnsi="Arial" w:cs="Arial" w:hint="eastAsia"/>
          <w:szCs w:val="24"/>
        </w:rPr>
        <w:t>mid-century</w:t>
      </w:r>
      <w:r w:rsidR="00D24D1F" w:rsidRPr="00D24D1F">
        <w:rPr>
          <w:rFonts w:ascii="Arial" w:hAnsi="Arial" w:cs="Arial"/>
          <w:szCs w:val="24"/>
        </w:rPr>
        <w:t xml:space="preserve">. By dissecting the thermal </w:t>
      </w:r>
      <w:r>
        <w:rPr>
          <w:rFonts w:ascii="Arial" w:hAnsi="Arial" w:cs="Arial" w:hint="eastAsia"/>
          <w:szCs w:val="24"/>
        </w:rPr>
        <w:t xml:space="preserve">discomfort </w:t>
      </w:r>
      <w:r w:rsidR="00D24D1F" w:rsidRPr="00D24D1F">
        <w:rPr>
          <w:rFonts w:ascii="Arial" w:hAnsi="Arial" w:cs="Arial"/>
          <w:szCs w:val="24"/>
        </w:rPr>
        <w:t xml:space="preserve">landscape from the macro-urban scale down to the intra-building vertical stratification (the top-floor penalty) and superimposing demographic structures, we map the emerging dual-threat of aging and overheating. Ultimately, we quantify the systemic cooling energy penalties strictly required to neutralize these indoor thermal distresses. </w:t>
      </w:r>
      <w:r w:rsidR="007672E0">
        <w:rPr>
          <w:rFonts w:ascii="Arial" w:hAnsi="Arial" w:cs="Arial" w:hint="eastAsia"/>
          <w:szCs w:val="24"/>
        </w:rPr>
        <w:t>In doing so</w:t>
      </w:r>
      <w:r w:rsidR="00FF767C" w:rsidRPr="00FF767C">
        <w:rPr>
          <w:rFonts w:ascii="Arial" w:hAnsi="Arial" w:cs="Arial" w:hint="eastAsia"/>
          <w:szCs w:val="24"/>
        </w:rPr>
        <w:t>, we</w:t>
      </w:r>
      <w:r w:rsidR="00FF767C" w:rsidRPr="00FF767C">
        <w:rPr>
          <w:rFonts w:ascii="Arial" w:hAnsi="Arial" w:cs="Arial"/>
          <w:szCs w:val="24"/>
        </w:rPr>
        <w:t xml:space="preserve"> establish a robustly validated, physics-based </w:t>
      </w:r>
      <w:r w:rsidR="007672E0" w:rsidRPr="007672E0">
        <w:rPr>
          <w:rFonts w:ascii="Arial" w:hAnsi="Arial" w:cs="Arial"/>
          <w:szCs w:val="24"/>
        </w:rPr>
        <w:t>analytical engine</w:t>
      </w:r>
      <w:r w:rsidR="007672E0">
        <w:rPr>
          <w:rFonts w:ascii="Arial" w:hAnsi="Arial" w:cs="Arial" w:hint="eastAsia"/>
          <w:szCs w:val="24"/>
        </w:rPr>
        <w:t xml:space="preserve"> </w:t>
      </w:r>
      <w:r w:rsidR="00FF767C" w:rsidRPr="00FF767C">
        <w:rPr>
          <w:rFonts w:ascii="Arial" w:hAnsi="Arial" w:cs="Arial"/>
          <w:szCs w:val="24"/>
        </w:rPr>
        <w:t xml:space="preserve">capable of </w:t>
      </w:r>
      <w:r w:rsidR="007672E0">
        <w:rPr>
          <w:rFonts w:ascii="Arial" w:hAnsi="Arial" w:cs="Arial" w:hint="eastAsia"/>
          <w:szCs w:val="24"/>
        </w:rPr>
        <w:t>resolving</w:t>
      </w:r>
      <w:r w:rsidR="00FF767C" w:rsidRPr="00FF767C">
        <w:rPr>
          <w:rFonts w:ascii="Arial" w:hAnsi="Arial" w:cs="Arial"/>
          <w:szCs w:val="24"/>
        </w:rPr>
        <w:t xml:space="preserve"> the coupled thermal-</w:t>
      </w:r>
      <w:r w:rsidR="00FF767C">
        <w:rPr>
          <w:rFonts w:ascii="Arial" w:hAnsi="Arial" w:cs="Arial" w:hint="eastAsia"/>
          <w:szCs w:val="24"/>
        </w:rPr>
        <w:t>health-</w:t>
      </w:r>
      <w:r w:rsidR="00FF767C" w:rsidRPr="00FF767C">
        <w:rPr>
          <w:rFonts w:ascii="Arial" w:hAnsi="Arial" w:cs="Arial"/>
          <w:szCs w:val="24"/>
        </w:rPr>
        <w:t>energy dynamics at a</w:t>
      </w:r>
      <w:r w:rsidR="007672E0">
        <w:rPr>
          <w:rFonts w:ascii="Arial" w:hAnsi="Arial" w:cs="Arial" w:hint="eastAsia"/>
          <w:szCs w:val="24"/>
        </w:rPr>
        <w:t>n</w:t>
      </w:r>
      <w:r w:rsidR="00FF767C" w:rsidRPr="00FF767C">
        <w:rPr>
          <w:rFonts w:ascii="Arial" w:hAnsi="Arial" w:cs="Arial"/>
          <w:szCs w:val="24"/>
        </w:rPr>
        <w:t xml:space="preserve"> </w:t>
      </w:r>
      <w:r w:rsidR="007672E0" w:rsidRPr="007672E0">
        <w:rPr>
          <w:rFonts w:ascii="Arial" w:hAnsi="Arial" w:cs="Arial"/>
          <w:szCs w:val="24"/>
        </w:rPr>
        <w:t xml:space="preserve">unparalleled </w:t>
      </w:r>
      <w:r w:rsidR="00FF767C" w:rsidRPr="00FF767C">
        <w:rPr>
          <w:rFonts w:ascii="Arial" w:hAnsi="Arial" w:cs="Arial"/>
          <w:szCs w:val="24"/>
        </w:rPr>
        <w:t>building</w:t>
      </w:r>
      <w:r w:rsidR="007672E0">
        <w:rPr>
          <w:rFonts w:ascii="Arial" w:hAnsi="Arial" w:cs="Arial" w:hint="eastAsia"/>
          <w:szCs w:val="24"/>
        </w:rPr>
        <w:t>-by-building,</w:t>
      </w:r>
      <w:r w:rsidR="00FF767C" w:rsidRPr="00FF767C">
        <w:rPr>
          <w:rFonts w:ascii="Arial" w:hAnsi="Arial" w:cs="Arial"/>
          <w:szCs w:val="24"/>
        </w:rPr>
        <w:t xml:space="preserve"> floor</w:t>
      </w:r>
      <w:r w:rsidR="007672E0">
        <w:rPr>
          <w:rFonts w:ascii="Arial" w:hAnsi="Arial" w:cs="Arial" w:hint="eastAsia"/>
          <w:szCs w:val="24"/>
        </w:rPr>
        <w:t>-by-floor</w:t>
      </w:r>
      <w:r w:rsidR="00FF767C" w:rsidRPr="00FF767C">
        <w:rPr>
          <w:rFonts w:ascii="Arial" w:hAnsi="Arial" w:cs="Arial"/>
          <w:szCs w:val="24"/>
        </w:rPr>
        <w:t xml:space="preserve"> and hour</w:t>
      </w:r>
      <w:r w:rsidR="007672E0">
        <w:rPr>
          <w:rFonts w:ascii="Arial" w:hAnsi="Arial" w:cs="Arial" w:hint="eastAsia"/>
          <w:szCs w:val="24"/>
        </w:rPr>
        <w:t>-by-hour</w:t>
      </w:r>
      <w:r w:rsidR="00FF767C" w:rsidRPr="00FF767C">
        <w:rPr>
          <w:rFonts w:ascii="Arial" w:hAnsi="Arial" w:cs="Arial" w:hint="eastAsia"/>
          <w:szCs w:val="24"/>
        </w:rPr>
        <w:t xml:space="preserve"> </w:t>
      </w:r>
      <w:r w:rsidR="00FF767C" w:rsidRPr="00FF767C">
        <w:rPr>
          <w:rFonts w:ascii="Arial" w:hAnsi="Arial" w:cs="Arial"/>
          <w:szCs w:val="24"/>
        </w:rPr>
        <w:t xml:space="preserve">granularity across </w:t>
      </w:r>
      <w:r w:rsidR="007672E0" w:rsidRPr="007672E0">
        <w:rPr>
          <w:rFonts w:ascii="Arial" w:hAnsi="Arial" w:cs="Arial"/>
          <w:szCs w:val="24"/>
        </w:rPr>
        <w:t>entire megacity landscapes</w:t>
      </w:r>
      <w:r w:rsidR="00FF767C" w:rsidRPr="00FF767C">
        <w:rPr>
          <w:rFonts w:ascii="Arial" w:hAnsi="Arial" w:cs="Arial" w:hint="eastAsia"/>
          <w:szCs w:val="24"/>
        </w:rPr>
        <w:t xml:space="preserve">. </w:t>
      </w:r>
      <w:r w:rsidR="00FF767C">
        <w:rPr>
          <w:rFonts w:ascii="Arial" w:hAnsi="Arial" w:cs="Arial" w:hint="eastAsia"/>
          <w:szCs w:val="24"/>
        </w:rPr>
        <w:t xml:space="preserve">Overall, </w:t>
      </w:r>
      <w:r w:rsidR="00FF767C" w:rsidRPr="00D24D1F">
        <w:rPr>
          <w:rFonts w:ascii="Arial" w:hAnsi="Arial" w:cs="Arial"/>
          <w:szCs w:val="24"/>
        </w:rPr>
        <w:t xml:space="preserve">our findings provide </w:t>
      </w:r>
      <w:r w:rsidR="00FF767C" w:rsidRPr="00FF767C">
        <w:rPr>
          <w:rFonts w:ascii="Arial" w:hAnsi="Arial" w:cs="Arial"/>
          <w:szCs w:val="24"/>
        </w:rPr>
        <w:t xml:space="preserve">high-fidelity </w:t>
      </w:r>
      <w:r w:rsidR="00FF767C">
        <w:rPr>
          <w:rFonts w:ascii="Arial" w:hAnsi="Arial" w:cs="Arial" w:hint="eastAsia"/>
          <w:szCs w:val="24"/>
        </w:rPr>
        <w:t xml:space="preserve">and </w:t>
      </w:r>
      <w:r w:rsidR="00FF767C" w:rsidRPr="00FF767C">
        <w:rPr>
          <w:rFonts w:ascii="Arial" w:hAnsi="Arial" w:cs="Arial"/>
          <w:szCs w:val="24"/>
        </w:rPr>
        <w:t xml:space="preserve">actionable </w:t>
      </w:r>
      <w:r w:rsidR="00FF767C" w:rsidRPr="00D24D1F">
        <w:rPr>
          <w:rFonts w:ascii="Arial" w:hAnsi="Arial" w:cs="Arial"/>
          <w:szCs w:val="24"/>
        </w:rPr>
        <w:t xml:space="preserve">insights for </w:t>
      </w:r>
      <w:r w:rsidR="00FF767C">
        <w:rPr>
          <w:rFonts w:ascii="Arial" w:hAnsi="Arial" w:cs="Arial" w:hint="eastAsia"/>
          <w:szCs w:val="24"/>
        </w:rPr>
        <w:t>quantifying the sleep-period thermal discomfort</w:t>
      </w:r>
      <w:r w:rsidR="00FF767C" w:rsidRPr="00D24D1F">
        <w:rPr>
          <w:rFonts w:ascii="Arial" w:hAnsi="Arial" w:cs="Arial"/>
          <w:szCs w:val="24"/>
        </w:rPr>
        <w:t xml:space="preserve">, </w:t>
      </w:r>
      <w:r w:rsidR="00FF767C" w:rsidRPr="00FF767C">
        <w:rPr>
          <w:rFonts w:ascii="Arial" w:hAnsi="Arial" w:cs="Arial"/>
          <w:szCs w:val="24"/>
        </w:rPr>
        <w:t>safeguarding vulnerable demography</w:t>
      </w:r>
      <w:r w:rsidR="00FF767C">
        <w:rPr>
          <w:rFonts w:ascii="Arial" w:hAnsi="Arial" w:cs="Arial" w:hint="eastAsia"/>
          <w:szCs w:val="24"/>
        </w:rPr>
        <w:t>,</w:t>
      </w:r>
      <w:r w:rsidR="00FF767C" w:rsidRPr="00D24D1F">
        <w:rPr>
          <w:rFonts w:ascii="Arial" w:hAnsi="Arial" w:cs="Arial"/>
          <w:szCs w:val="24"/>
        </w:rPr>
        <w:t xml:space="preserve"> </w:t>
      </w:r>
      <w:r w:rsidR="00FF767C">
        <w:rPr>
          <w:rFonts w:ascii="Arial" w:hAnsi="Arial" w:cs="Arial" w:hint="eastAsia"/>
          <w:szCs w:val="24"/>
        </w:rPr>
        <w:t xml:space="preserve">and </w:t>
      </w:r>
      <w:r w:rsidR="00FF767C" w:rsidRPr="00FF767C">
        <w:rPr>
          <w:rFonts w:ascii="Arial" w:hAnsi="Arial" w:cs="Arial"/>
          <w:szCs w:val="24"/>
        </w:rPr>
        <w:t>proactively breaking the feedback loop of urban extreme heat and excessive operational energy demand.</w:t>
      </w:r>
    </w:p>
    <w:p w14:paraId="1AC6AB47" w14:textId="77777777" w:rsidR="00D24D1F" w:rsidRPr="00D24D1F" w:rsidRDefault="00D24D1F" w:rsidP="005E3BE4">
      <w:pPr>
        <w:spacing w:line="300" w:lineRule="auto"/>
        <w:ind w:firstLine="420"/>
        <w:rPr>
          <w:rFonts w:ascii="Arial" w:hAnsi="Arial" w:cs="Arial"/>
          <w:szCs w:val="24"/>
        </w:rPr>
      </w:pPr>
    </w:p>
    <w:p w14:paraId="7C9AD15C" w14:textId="1F77A173" w:rsidR="009747FC" w:rsidRDefault="009747FC" w:rsidP="000A4BC4">
      <w:pPr>
        <w:ind w:firstLine="420"/>
        <w:rPr>
          <w:rFonts w:ascii="Arial" w:hAnsi="Arial" w:cs="Arial"/>
        </w:rPr>
        <w:sectPr w:rsidR="009747FC">
          <w:footerReference w:type="default" r:id="rId12"/>
          <w:pgSz w:w="11906" w:h="16838"/>
          <w:pgMar w:top="1440" w:right="1080" w:bottom="1440" w:left="1080" w:header="851" w:footer="992" w:gutter="0"/>
          <w:cols w:space="425"/>
          <w:docGrid w:type="lines" w:linePitch="326"/>
        </w:sectPr>
      </w:pPr>
    </w:p>
    <w:p w14:paraId="2C567780" w14:textId="09F20B09" w:rsidR="00A36F8C" w:rsidRDefault="009747FC" w:rsidP="009747FC">
      <w:pPr>
        <w:spacing w:line="240" w:lineRule="auto"/>
        <w:jc w:val="center"/>
        <w:rPr>
          <w:rFonts w:cs="Times New Roman"/>
        </w:rPr>
      </w:pPr>
      <w:r>
        <w:rPr>
          <w:rFonts w:cs="Times New Roman"/>
          <w:noProof/>
        </w:rPr>
        <w:lastRenderedPageBreak/>
        <w:drawing>
          <wp:inline distT="0" distB="0" distL="0" distR="0" wp14:anchorId="633F0DE9" wp14:editId="42C59714">
            <wp:extent cx="7790229" cy="3856684"/>
            <wp:effectExtent l="0" t="0" r="1270" b="0"/>
            <wp:docPr id="21000691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824740" cy="3873769"/>
                    </a:xfrm>
                    <a:prstGeom prst="rect">
                      <a:avLst/>
                    </a:prstGeom>
                    <a:noFill/>
                  </pic:spPr>
                </pic:pic>
              </a:graphicData>
            </a:graphic>
          </wp:inline>
        </w:drawing>
      </w:r>
    </w:p>
    <w:p w14:paraId="11C0572D" w14:textId="2597145C" w:rsidR="00E12E1E" w:rsidRPr="00021F3E" w:rsidRDefault="00021F3E" w:rsidP="00021F3E">
      <w:pPr>
        <w:spacing w:line="240" w:lineRule="auto"/>
        <w:rPr>
          <w:rFonts w:ascii="Arial" w:hAnsi="Arial" w:cs="Arial"/>
        </w:rPr>
      </w:pPr>
      <w:r w:rsidRPr="00021F3E">
        <w:rPr>
          <w:rFonts w:ascii="Arial" w:hAnsi="Arial" w:cs="Arial"/>
          <w:b/>
          <w:bCs/>
          <w:sz w:val="22"/>
          <w:szCs w:val="20"/>
        </w:rPr>
        <w:t xml:space="preserve">Fig. 1 Integrated modeling framework resolving building-buffered indoor heat exposure during </w:t>
      </w:r>
      <w:r w:rsidR="001D75BE">
        <w:rPr>
          <w:rFonts w:ascii="Arial" w:hAnsi="Arial" w:cs="Arial" w:hint="eastAsia"/>
          <w:b/>
          <w:bCs/>
          <w:sz w:val="22"/>
          <w:szCs w:val="20"/>
        </w:rPr>
        <w:t xml:space="preserve">the </w:t>
      </w:r>
      <w:r w:rsidRPr="00021F3E">
        <w:rPr>
          <w:rFonts w:ascii="Arial" w:hAnsi="Arial" w:cs="Arial"/>
          <w:b/>
          <w:bCs/>
          <w:sz w:val="22"/>
          <w:szCs w:val="20"/>
        </w:rPr>
        <w:t>sleep</w:t>
      </w:r>
      <w:r w:rsidR="001D75BE">
        <w:rPr>
          <w:rFonts w:ascii="Arial" w:hAnsi="Arial" w:cs="Arial" w:hint="eastAsia"/>
          <w:b/>
          <w:bCs/>
          <w:sz w:val="22"/>
          <w:szCs w:val="20"/>
        </w:rPr>
        <w:t xml:space="preserve"> </w:t>
      </w:r>
      <w:r w:rsidRPr="00021F3E">
        <w:rPr>
          <w:rFonts w:ascii="Arial" w:hAnsi="Arial" w:cs="Arial"/>
          <w:b/>
          <w:bCs/>
          <w:sz w:val="22"/>
          <w:szCs w:val="20"/>
        </w:rPr>
        <w:t>period and the energy-health nexus. a,</w:t>
      </w:r>
      <w:r w:rsidRPr="00021F3E">
        <w:rPr>
          <w:rFonts w:ascii="Arial" w:hAnsi="Arial" w:cs="Arial"/>
          <w:sz w:val="22"/>
          <w:szCs w:val="20"/>
        </w:rPr>
        <w:t xml:space="preserve"> Conceptual distinction between outdoor meteorological forcing and actual human exposure. The schematic illustrates how building envelopes and mechanical cooling </w:t>
      </w:r>
      <w:r w:rsidR="00B7497D">
        <w:rPr>
          <w:rFonts w:ascii="Arial" w:hAnsi="Arial" w:cs="Arial" w:hint="eastAsia"/>
          <w:sz w:val="22"/>
          <w:szCs w:val="20"/>
        </w:rPr>
        <w:t xml:space="preserve">buffer the </w:t>
      </w:r>
      <w:r w:rsidR="00B7497D" w:rsidRPr="00B7497D">
        <w:rPr>
          <w:rFonts w:ascii="Arial" w:hAnsi="Arial" w:cs="Arial"/>
          <w:sz w:val="22"/>
          <w:szCs w:val="20"/>
        </w:rPr>
        <w:t>indoor heat exposure</w:t>
      </w:r>
      <w:r w:rsidRPr="00B7497D">
        <w:rPr>
          <w:rFonts w:ascii="Arial" w:hAnsi="Arial" w:cs="Arial"/>
          <w:sz w:val="22"/>
          <w:szCs w:val="20"/>
        </w:rPr>
        <w:t xml:space="preserve">, </w:t>
      </w:r>
      <w:r w:rsidRPr="00021F3E">
        <w:rPr>
          <w:rFonts w:ascii="Arial" w:hAnsi="Arial" w:cs="Arial"/>
          <w:sz w:val="22"/>
          <w:szCs w:val="20"/>
        </w:rPr>
        <w:t xml:space="preserve">emphasizing the limitations of </w:t>
      </w:r>
      <w:r w:rsidR="00B7497D">
        <w:rPr>
          <w:rFonts w:ascii="Arial" w:hAnsi="Arial" w:cs="Arial" w:hint="eastAsia"/>
          <w:sz w:val="22"/>
          <w:szCs w:val="20"/>
        </w:rPr>
        <w:t xml:space="preserve">most urban </w:t>
      </w:r>
      <w:r w:rsidRPr="00021F3E">
        <w:rPr>
          <w:rFonts w:ascii="Arial" w:hAnsi="Arial" w:cs="Arial"/>
          <w:sz w:val="22"/>
          <w:szCs w:val="20"/>
        </w:rPr>
        <w:t>epidemiolog</w:t>
      </w:r>
      <w:r w:rsidR="001D75BE">
        <w:rPr>
          <w:rFonts w:ascii="Arial" w:hAnsi="Arial" w:cs="Arial" w:hint="eastAsia"/>
          <w:sz w:val="22"/>
          <w:szCs w:val="20"/>
        </w:rPr>
        <w:t>ical</w:t>
      </w:r>
      <w:r w:rsidRPr="00021F3E">
        <w:rPr>
          <w:rFonts w:ascii="Arial" w:hAnsi="Arial" w:cs="Arial"/>
          <w:sz w:val="22"/>
          <w:szCs w:val="20"/>
        </w:rPr>
        <w:t xml:space="preserve"> assessments solely driven by outdoor temperatures. </w:t>
      </w:r>
      <w:r w:rsidRPr="00B7497D">
        <w:rPr>
          <w:rFonts w:ascii="Arial" w:hAnsi="Arial" w:cs="Arial"/>
          <w:b/>
          <w:bCs/>
          <w:sz w:val="22"/>
          <w:szCs w:val="20"/>
        </w:rPr>
        <w:t>b</w:t>
      </w:r>
      <w:r w:rsidRPr="00021F3E">
        <w:rPr>
          <w:rFonts w:ascii="Arial" w:hAnsi="Arial" w:cs="Arial"/>
          <w:sz w:val="22"/>
          <w:szCs w:val="20"/>
        </w:rPr>
        <w:t xml:space="preserve">, The bottom-up thermodynamic and physiological simulation </w:t>
      </w:r>
      <w:r w:rsidR="00B7497D">
        <w:rPr>
          <w:rFonts w:ascii="Arial" w:hAnsi="Arial" w:cs="Arial" w:hint="eastAsia"/>
          <w:sz w:val="22"/>
          <w:szCs w:val="20"/>
        </w:rPr>
        <w:t>approach</w:t>
      </w:r>
      <w:r w:rsidRPr="00021F3E">
        <w:rPr>
          <w:rFonts w:ascii="Arial" w:hAnsi="Arial" w:cs="Arial"/>
          <w:sz w:val="22"/>
          <w:szCs w:val="20"/>
        </w:rPr>
        <w:t xml:space="preserve">. Downscaled </w:t>
      </w:r>
      <w:r w:rsidR="001D75BE" w:rsidRPr="001D75BE">
        <w:rPr>
          <w:rFonts w:ascii="Arial" w:hAnsi="Arial" w:cs="Arial"/>
          <w:sz w:val="22"/>
          <w:szCs w:val="20"/>
        </w:rPr>
        <w:t>meteorological projections</w:t>
      </w:r>
      <w:r w:rsidR="00B7497D">
        <w:rPr>
          <w:rFonts w:ascii="Arial" w:hAnsi="Arial" w:cs="Arial" w:hint="eastAsia"/>
          <w:sz w:val="22"/>
          <w:szCs w:val="20"/>
        </w:rPr>
        <w:t xml:space="preserve">, </w:t>
      </w:r>
      <w:r w:rsidR="00B7497D" w:rsidRPr="00021F3E">
        <w:rPr>
          <w:rFonts w:ascii="Arial" w:hAnsi="Arial" w:cs="Arial"/>
          <w:sz w:val="22"/>
          <w:szCs w:val="20"/>
        </w:rPr>
        <w:t>building physical properties</w:t>
      </w:r>
      <w:r w:rsidR="00B7497D">
        <w:rPr>
          <w:rFonts w:ascii="Arial" w:hAnsi="Arial" w:cs="Arial" w:hint="eastAsia"/>
          <w:sz w:val="22"/>
          <w:szCs w:val="20"/>
        </w:rPr>
        <w:t>, and</w:t>
      </w:r>
      <w:r w:rsidRPr="00021F3E">
        <w:rPr>
          <w:rFonts w:ascii="Arial" w:hAnsi="Arial" w:cs="Arial"/>
          <w:sz w:val="22"/>
          <w:szCs w:val="20"/>
        </w:rPr>
        <w:t xml:space="preserve"> </w:t>
      </w:r>
      <w:r w:rsidR="00B7497D" w:rsidRPr="00021F3E">
        <w:rPr>
          <w:rFonts w:ascii="Arial" w:hAnsi="Arial" w:cs="Arial"/>
          <w:sz w:val="22"/>
          <w:szCs w:val="20"/>
        </w:rPr>
        <w:t xml:space="preserve">human sleep-state physiological variables </w:t>
      </w:r>
      <w:r w:rsidRPr="00021F3E">
        <w:rPr>
          <w:rFonts w:ascii="Arial" w:hAnsi="Arial" w:cs="Arial"/>
          <w:sz w:val="22"/>
          <w:szCs w:val="20"/>
        </w:rPr>
        <w:t xml:space="preserve">are </w:t>
      </w:r>
      <w:r w:rsidR="001D75BE">
        <w:rPr>
          <w:rFonts w:ascii="Arial" w:hAnsi="Arial" w:cs="Arial" w:hint="eastAsia"/>
          <w:sz w:val="22"/>
          <w:szCs w:val="20"/>
        </w:rPr>
        <w:t>integrated</w:t>
      </w:r>
      <w:r w:rsidRPr="00021F3E">
        <w:rPr>
          <w:rFonts w:ascii="Arial" w:hAnsi="Arial" w:cs="Arial"/>
          <w:sz w:val="22"/>
          <w:szCs w:val="20"/>
        </w:rPr>
        <w:t xml:space="preserve"> to resolve </w:t>
      </w:r>
      <w:r w:rsidR="001D75BE">
        <w:rPr>
          <w:rFonts w:ascii="Arial" w:hAnsi="Arial" w:cs="Arial" w:hint="eastAsia"/>
          <w:sz w:val="22"/>
          <w:szCs w:val="20"/>
        </w:rPr>
        <w:t>the dynamics of</w:t>
      </w:r>
      <w:r w:rsidRPr="00021F3E">
        <w:rPr>
          <w:rFonts w:ascii="Arial" w:hAnsi="Arial" w:cs="Arial"/>
          <w:sz w:val="22"/>
          <w:szCs w:val="20"/>
        </w:rPr>
        <w:t xml:space="preserve"> </w:t>
      </w:r>
      <w:r w:rsidR="001D75BE" w:rsidRPr="001D75BE">
        <w:rPr>
          <w:rFonts w:ascii="Arial" w:hAnsi="Arial" w:cs="Arial"/>
          <w:sz w:val="22"/>
          <w:szCs w:val="20"/>
        </w:rPr>
        <w:t xml:space="preserve">heat exchanges and </w:t>
      </w:r>
      <w:r w:rsidRPr="00021F3E">
        <w:rPr>
          <w:rFonts w:ascii="Arial" w:hAnsi="Arial" w:cs="Arial"/>
          <w:sz w:val="22"/>
          <w:szCs w:val="20"/>
        </w:rPr>
        <w:t>indoor microclimates</w:t>
      </w:r>
      <w:r w:rsidR="00B7497D">
        <w:rPr>
          <w:rFonts w:ascii="Arial" w:hAnsi="Arial" w:cs="Arial" w:hint="eastAsia"/>
          <w:sz w:val="22"/>
          <w:szCs w:val="20"/>
        </w:rPr>
        <w:t xml:space="preserve">. The sleep-period discomfort is </w:t>
      </w:r>
      <w:r w:rsidR="001D75BE">
        <w:rPr>
          <w:rFonts w:ascii="Arial" w:hAnsi="Arial" w:cs="Arial" w:hint="eastAsia"/>
          <w:sz w:val="22"/>
          <w:szCs w:val="20"/>
        </w:rPr>
        <w:t xml:space="preserve">then </w:t>
      </w:r>
      <w:r w:rsidR="001D75BE" w:rsidRPr="001D75BE">
        <w:rPr>
          <w:rFonts w:ascii="Arial" w:hAnsi="Arial" w:cs="Arial"/>
          <w:sz w:val="22"/>
          <w:szCs w:val="20"/>
        </w:rPr>
        <w:t>quantified</w:t>
      </w:r>
      <w:r w:rsidR="001D75BE">
        <w:rPr>
          <w:rFonts w:ascii="Arial" w:hAnsi="Arial" w:cs="Arial" w:hint="eastAsia"/>
          <w:sz w:val="22"/>
          <w:szCs w:val="20"/>
        </w:rPr>
        <w:t xml:space="preserve"> against</w:t>
      </w:r>
      <w:r w:rsidR="00B7497D">
        <w:rPr>
          <w:rFonts w:ascii="Arial" w:hAnsi="Arial" w:cs="Arial" w:hint="eastAsia"/>
          <w:sz w:val="22"/>
          <w:szCs w:val="20"/>
        </w:rPr>
        <w:t xml:space="preserve"> </w:t>
      </w:r>
      <w:r w:rsidR="00B7497D" w:rsidRPr="00021F3E">
        <w:rPr>
          <w:rFonts w:ascii="Arial" w:hAnsi="Arial" w:cs="Arial"/>
          <w:sz w:val="22"/>
          <w:szCs w:val="20"/>
        </w:rPr>
        <w:t>physiological distress threshold (Standard Effective Temperature &gt; 30 °C)</w:t>
      </w:r>
      <w:r w:rsidR="00B7497D">
        <w:rPr>
          <w:rFonts w:ascii="Arial" w:hAnsi="Arial" w:cs="Arial" w:hint="eastAsia"/>
          <w:sz w:val="22"/>
          <w:szCs w:val="20"/>
        </w:rPr>
        <w:t xml:space="preserve">. </w:t>
      </w:r>
      <w:r w:rsidR="001D75BE">
        <w:rPr>
          <w:rFonts w:ascii="Arial" w:hAnsi="Arial" w:cs="Arial" w:hint="eastAsia"/>
          <w:sz w:val="22"/>
          <w:szCs w:val="20"/>
        </w:rPr>
        <w:t>Based on this threshold, the framework</w:t>
      </w:r>
      <w:r w:rsidRPr="00021F3E">
        <w:rPr>
          <w:rFonts w:ascii="Arial" w:hAnsi="Arial" w:cs="Arial"/>
          <w:sz w:val="22"/>
          <w:szCs w:val="20"/>
        </w:rPr>
        <w:t xml:space="preserve"> simulate</w:t>
      </w:r>
      <w:r w:rsidR="001D75BE">
        <w:rPr>
          <w:rFonts w:ascii="Arial" w:hAnsi="Arial" w:cs="Arial" w:hint="eastAsia"/>
          <w:sz w:val="22"/>
          <w:szCs w:val="20"/>
        </w:rPr>
        <w:t>s</w:t>
      </w:r>
      <w:r w:rsidRPr="00021F3E">
        <w:rPr>
          <w:rFonts w:ascii="Arial" w:hAnsi="Arial" w:cs="Arial"/>
          <w:sz w:val="22"/>
          <w:szCs w:val="20"/>
        </w:rPr>
        <w:t xml:space="preserve"> </w:t>
      </w:r>
      <w:r w:rsidR="00B7497D">
        <w:rPr>
          <w:rFonts w:ascii="Arial" w:hAnsi="Arial" w:cs="Arial" w:hint="eastAsia"/>
          <w:sz w:val="22"/>
          <w:szCs w:val="20"/>
        </w:rPr>
        <w:t xml:space="preserve">two </w:t>
      </w:r>
      <w:r w:rsidRPr="00021F3E">
        <w:rPr>
          <w:rFonts w:ascii="Arial" w:hAnsi="Arial" w:cs="Arial"/>
          <w:sz w:val="22"/>
          <w:szCs w:val="20"/>
        </w:rPr>
        <w:t>pathways of indoor thermal adaptation</w:t>
      </w:r>
      <w:r w:rsidR="00B7497D">
        <w:rPr>
          <w:rFonts w:ascii="Arial" w:hAnsi="Arial" w:cs="Arial" w:hint="eastAsia"/>
          <w:sz w:val="22"/>
          <w:szCs w:val="20"/>
        </w:rPr>
        <w:t>:</w:t>
      </w:r>
      <w:r w:rsidRPr="00021F3E">
        <w:rPr>
          <w:rFonts w:ascii="Arial" w:hAnsi="Arial" w:cs="Arial"/>
          <w:sz w:val="22"/>
          <w:szCs w:val="20"/>
        </w:rPr>
        <w:t xml:space="preserve"> </w:t>
      </w:r>
      <w:r w:rsidR="00B7497D">
        <w:rPr>
          <w:rFonts w:ascii="Arial" w:hAnsi="Arial" w:cs="Arial" w:hint="eastAsia"/>
          <w:sz w:val="22"/>
          <w:szCs w:val="20"/>
        </w:rPr>
        <w:t>(</w:t>
      </w:r>
      <w:r w:rsidR="00B7497D" w:rsidRPr="009747FC">
        <w:rPr>
          <w:rFonts w:ascii="Arial" w:hAnsi="Arial" w:cs="Arial" w:hint="eastAsia"/>
          <w:b/>
          <w:bCs/>
          <w:sz w:val="22"/>
          <w:szCs w:val="20"/>
        </w:rPr>
        <w:t>i</w:t>
      </w:r>
      <w:r w:rsidR="00B7497D">
        <w:rPr>
          <w:rFonts w:ascii="Arial" w:hAnsi="Arial" w:cs="Arial" w:hint="eastAsia"/>
          <w:sz w:val="22"/>
          <w:szCs w:val="20"/>
        </w:rPr>
        <w:t xml:space="preserve">) </w:t>
      </w:r>
      <w:r w:rsidR="001D75BE" w:rsidRPr="001D75BE">
        <w:rPr>
          <w:rFonts w:ascii="Arial" w:hAnsi="Arial" w:cs="Arial"/>
          <w:sz w:val="22"/>
          <w:szCs w:val="20"/>
        </w:rPr>
        <w:t xml:space="preserve">exacerbated </w:t>
      </w:r>
      <w:r w:rsidRPr="00021F3E">
        <w:rPr>
          <w:rFonts w:ascii="Arial" w:hAnsi="Arial" w:cs="Arial"/>
          <w:sz w:val="22"/>
          <w:szCs w:val="20"/>
        </w:rPr>
        <w:t xml:space="preserve">human discomfort under constrained cooling, </w:t>
      </w:r>
      <w:r w:rsidR="00B7497D">
        <w:rPr>
          <w:rFonts w:ascii="Arial" w:hAnsi="Arial" w:cs="Arial" w:hint="eastAsia"/>
          <w:sz w:val="22"/>
          <w:szCs w:val="20"/>
        </w:rPr>
        <w:t>(</w:t>
      </w:r>
      <w:r w:rsidR="00B7497D" w:rsidRPr="009747FC">
        <w:rPr>
          <w:rFonts w:ascii="Arial" w:hAnsi="Arial" w:cs="Arial" w:hint="eastAsia"/>
          <w:b/>
          <w:bCs/>
          <w:sz w:val="22"/>
          <w:szCs w:val="20"/>
        </w:rPr>
        <w:t>ii</w:t>
      </w:r>
      <w:r w:rsidR="00B7497D">
        <w:rPr>
          <w:rFonts w:ascii="Arial" w:hAnsi="Arial" w:cs="Arial" w:hint="eastAsia"/>
          <w:sz w:val="22"/>
          <w:szCs w:val="20"/>
        </w:rPr>
        <w:t xml:space="preserve">) </w:t>
      </w:r>
      <w:r w:rsidR="001D75BE">
        <w:rPr>
          <w:rFonts w:ascii="Arial" w:hAnsi="Arial" w:cs="Arial" w:hint="eastAsia"/>
          <w:sz w:val="22"/>
          <w:szCs w:val="20"/>
        </w:rPr>
        <w:t xml:space="preserve">the </w:t>
      </w:r>
      <w:r w:rsidRPr="00021F3E">
        <w:rPr>
          <w:rFonts w:ascii="Arial" w:hAnsi="Arial" w:cs="Arial"/>
          <w:sz w:val="22"/>
          <w:szCs w:val="20"/>
        </w:rPr>
        <w:t xml:space="preserve">translation of health risks into systemic cooling energy demands via active </w:t>
      </w:r>
      <w:r w:rsidR="00B7497D">
        <w:rPr>
          <w:rFonts w:ascii="Arial" w:hAnsi="Arial" w:cs="Arial" w:hint="eastAsia"/>
          <w:sz w:val="22"/>
          <w:szCs w:val="20"/>
        </w:rPr>
        <w:t>AC</w:t>
      </w:r>
      <w:r w:rsidRPr="00021F3E">
        <w:rPr>
          <w:rFonts w:ascii="Arial" w:hAnsi="Arial" w:cs="Arial"/>
          <w:sz w:val="22"/>
          <w:szCs w:val="20"/>
        </w:rPr>
        <w:t xml:space="preserve"> adaptation. </w:t>
      </w:r>
      <w:r w:rsidR="001D75BE">
        <w:rPr>
          <w:rFonts w:ascii="Arial" w:hAnsi="Arial" w:cs="Arial" w:hint="eastAsia"/>
          <w:sz w:val="22"/>
          <w:szCs w:val="20"/>
        </w:rPr>
        <w:t>The b</w:t>
      </w:r>
      <w:r w:rsidRPr="00021F3E">
        <w:rPr>
          <w:rFonts w:ascii="Arial" w:hAnsi="Arial" w:cs="Arial"/>
          <w:sz w:val="22"/>
          <w:szCs w:val="20"/>
        </w:rPr>
        <w:t xml:space="preserve">ottom-left </w:t>
      </w:r>
      <w:r w:rsidR="001D75BE">
        <w:rPr>
          <w:rFonts w:ascii="Arial" w:hAnsi="Arial" w:cs="Arial" w:hint="eastAsia"/>
          <w:sz w:val="22"/>
          <w:szCs w:val="20"/>
        </w:rPr>
        <w:t>inset</w:t>
      </w:r>
      <w:r w:rsidRPr="00021F3E">
        <w:rPr>
          <w:rFonts w:ascii="Arial" w:hAnsi="Arial" w:cs="Arial"/>
          <w:sz w:val="22"/>
          <w:szCs w:val="20"/>
        </w:rPr>
        <w:t xml:space="preserve"> shows the projected regional variations of aggregate thermal penalties</w:t>
      </w:r>
      <w:r w:rsidR="001D75BE">
        <w:rPr>
          <w:rFonts w:ascii="Arial" w:hAnsi="Arial" w:cs="Arial" w:hint="eastAsia"/>
          <w:sz w:val="22"/>
          <w:szCs w:val="20"/>
        </w:rPr>
        <w:t xml:space="preserve"> </w:t>
      </w:r>
      <w:r w:rsidR="001D75BE" w:rsidRPr="001D75BE">
        <w:rPr>
          <w:rFonts w:ascii="Arial" w:hAnsi="Arial" w:cs="Arial"/>
          <w:sz w:val="22"/>
          <w:szCs w:val="20"/>
        </w:rPr>
        <w:t>under current and future climatic scenarios</w:t>
      </w:r>
      <w:r w:rsidRPr="00021F3E">
        <w:rPr>
          <w:rFonts w:ascii="Arial" w:hAnsi="Arial" w:cs="Arial"/>
          <w:sz w:val="22"/>
          <w:szCs w:val="20"/>
        </w:rPr>
        <w:t>.</w:t>
      </w:r>
      <w:r w:rsidR="00E12E1E" w:rsidRPr="00021F3E">
        <w:rPr>
          <w:rFonts w:ascii="Arial" w:hAnsi="Arial" w:cs="Arial"/>
        </w:rPr>
        <w:t xml:space="preserve"> </w:t>
      </w:r>
    </w:p>
    <w:p w14:paraId="5A5EB6D9" w14:textId="77777777" w:rsidR="009747FC" w:rsidRDefault="009747FC" w:rsidP="00021F3E">
      <w:pPr>
        <w:spacing w:line="240" w:lineRule="auto"/>
        <w:rPr>
          <w:rFonts w:cs="Times New Roman"/>
        </w:rPr>
        <w:sectPr w:rsidR="009747FC" w:rsidSect="009747FC">
          <w:pgSz w:w="16838" w:h="11906" w:orient="landscape"/>
          <w:pgMar w:top="1080" w:right="1440" w:bottom="1080" w:left="1440" w:header="851" w:footer="340" w:gutter="0"/>
          <w:cols w:space="425"/>
          <w:docGrid w:type="lines" w:linePitch="326"/>
        </w:sectPr>
      </w:pPr>
    </w:p>
    <w:p w14:paraId="0867968C" w14:textId="7DD93A20" w:rsidR="00B76BDA" w:rsidRPr="009747FC" w:rsidRDefault="00B416A3">
      <w:pPr>
        <w:pStyle w:val="Heading1"/>
        <w:rPr>
          <w:rFonts w:ascii="Arial" w:hAnsi="Arial" w:cs="Arial"/>
          <w:bCs/>
          <w:szCs w:val="22"/>
        </w:rPr>
      </w:pPr>
      <w:r w:rsidRPr="009747FC">
        <w:rPr>
          <w:rFonts w:ascii="Arial" w:hAnsi="Arial" w:cs="Arial"/>
          <w:bCs/>
          <w:szCs w:val="22"/>
        </w:rPr>
        <w:lastRenderedPageBreak/>
        <w:t>S</w:t>
      </w:r>
      <w:r w:rsidR="00EB4FBC" w:rsidRPr="009747FC">
        <w:rPr>
          <w:rFonts w:ascii="Arial" w:hAnsi="Arial" w:cs="Arial"/>
          <w:bCs/>
          <w:szCs w:val="22"/>
        </w:rPr>
        <w:t xml:space="preserve">patiotemporal </w:t>
      </w:r>
      <w:r w:rsidR="000C2FFB" w:rsidRPr="009747FC">
        <w:rPr>
          <w:rFonts w:ascii="Arial" w:hAnsi="Arial" w:cs="Arial"/>
          <w:bCs/>
          <w:szCs w:val="22"/>
        </w:rPr>
        <w:t>h</w:t>
      </w:r>
      <w:r w:rsidR="00EB4FBC" w:rsidRPr="009747FC">
        <w:rPr>
          <w:rFonts w:ascii="Arial" w:hAnsi="Arial" w:cs="Arial"/>
          <w:bCs/>
          <w:szCs w:val="22"/>
        </w:rPr>
        <w:t xml:space="preserve">eterogeneity of </w:t>
      </w:r>
      <w:r w:rsidR="000C2FFB" w:rsidRPr="009747FC">
        <w:rPr>
          <w:rFonts w:ascii="Arial" w:hAnsi="Arial" w:cs="Arial"/>
          <w:bCs/>
          <w:szCs w:val="22"/>
        </w:rPr>
        <w:t>s</w:t>
      </w:r>
      <w:r w:rsidR="00EB4FBC" w:rsidRPr="009747FC">
        <w:rPr>
          <w:rFonts w:ascii="Arial" w:hAnsi="Arial" w:cs="Arial"/>
          <w:bCs/>
          <w:szCs w:val="22"/>
        </w:rPr>
        <w:t xml:space="preserve">leep-period thermal </w:t>
      </w:r>
      <w:r w:rsidR="000C2FFB" w:rsidRPr="009747FC">
        <w:rPr>
          <w:rFonts w:ascii="Arial" w:hAnsi="Arial" w:cs="Arial"/>
          <w:bCs/>
          <w:szCs w:val="22"/>
        </w:rPr>
        <w:t>d</w:t>
      </w:r>
      <w:r w:rsidR="00EB4FBC" w:rsidRPr="009747FC">
        <w:rPr>
          <w:rFonts w:ascii="Arial" w:hAnsi="Arial" w:cs="Arial"/>
          <w:bCs/>
          <w:szCs w:val="22"/>
        </w:rPr>
        <w:t>iscomfort</w:t>
      </w:r>
    </w:p>
    <w:p w14:paraId="228A988C" w14:textId="15A011AD" w:rsidR="00EB4FBC" w:rsidRPr="00A632D9" w:rsidRDefault="000C2FFB" w:rsidP="003812CD">
      <w:pPr>
        <w:spacing w:afterLines="50" w:after="163"/>
        <w:ind w:firstLine="420"/>
        <w:rPr>
          <w:rFonts w:ascii="Arial" w:hAnsi="Arial" w:cs="Arial"/>
        </w:rPr>
      </w:pPr>
      <w:r w:rsidRPr="00A632D9">
        <w:rPr>
          <w:rFonts w:ascii="Arial" w:hAnsi="Arial" w:cs="Arial"/>
        </w:rPr>
        <w:t>Our</w:t>
      </w:r>
      <w:r w:rsidR="003812CD" w:rsidRPr="00A632D9">
        <w:rPr>
          <w:rFonts w:ascii="Arial" w:hAnsi="Arial" w:cs="Arial"/>
        </w:rPr>
        <w:t xml:space="preserve"> multi-city analysis across latitudinal gradients moves beyond isolated case studies to </w:t>
      </w:r>
      <w:r w:rsidRPr="00A632D9">
        <w:rPr>
          <w:rFonts w:ascii="Arial" w:hAnsi="Arial" w:cs="Arial"/>
        </w:rPr>
        <w:t xml:space="preserve">provide </w:t>
      </w:r>
      <w:r w:rsidR="003812CD" w:rsidRPr="00A632D9">
        <w:rPr>
          <w:rFonts w:ascii="Arial" w:hAnsi="Arial" w:cs="Arial"/>
        </w:rPr>
        <w:t>a synchronized national perspective on indoor heat exposure.</w:t>
      </w:r>
      <w:r w:rsidR="00EB4FBC" w:rsidRPr="00A632D9">
        <w:rPr>
          <w:rFonts w:ascii="Arial" w:hAnsi="Arial" w:cs="Arial"/>
        </w:rPr>
        <w:t xml:space="preserve"> </w:t>
      </w:r>
      <w:r w:rsidRPr="00A632D9">
        <w:rPr>
          <w:rFonts w:ascii="Arial" w:hAnsi="Arial" w:cs="Arial"/>
        </w:rPr>
        <w:t>The s</w:t>
      </w:r>
      <w:r w:rsidR="00EB4FBC" w:rsidRPr="00A632D9">
        <w:rPr>
          <w:rFonts w:ascii="Arial" w:hAnsi="Arial" w:cs="Arial"/>
        </w:rPr>
        <w:t>ix megacities</w:t>
      </w:r>
      <w:r w:rsidRPr="00A632D9">
        <w:rPr>
          <w:rFonts w:ascii="Arial" w:hAnsi="Arial" w:cs="Arial"/>
        </w:rPr>
        <w:t>,</w:t>
      </w:r>
      <w:r w:rsidR="00EB4FBC" w:rsidRPr="00A632D9">
        <w:rPr>
          <w:rFonts w:ascii="Arial" w:hAnsi="Arial" w:cs="Arial"/>
        </w:rPr>
        <w:t xml:space="preserve"> Beijing, Shanghai, Guangzhou, Shenzhen, Wuhan, and Xiamen,</w:t>
      </w:r>
      <w:r w:rsidR="003812CD" w:rsidRPr="00A632D9">
        <w:rPr>
          <w:rFonts w:ascii="Arial" w:hAnsi="Arial" w:cs="Arial"/>
        </w:rPr>
        <w:t xml:space="preserve"> </w:t>
      </w:r>
      <w:r w:rsidR="00EB4FBC" w:rsidRPr="00A632D9">
        <w:rPr>
          <w:rFonts w:ascii="Arial" w:hAnsi="Arial" w:cs="Arial"/>
        </w:rPr>
        <w:t>represent</w:t>
      </w:r>
      <w:r w:rsidR="003812CD" w:rsidRPr="00A632D9">
        <w:rPr>
          <w:rFonts w:ascii="Arial" w:hAnsi="Arial" w:cs="Arial"/>
        </w:rPr>
        <w:t>s</w:t>
      </w:r>
      <w:r w:rsidR="00EB4FBC" w:rsidRPr="00A632D9">
        <w:rPr>
          <w:rFonts w:ascii="Arial" w:hAnsi="Arial" w:cs="Arial"/>
        </w:rPr>
        <w:t xml:space="preserve"> a cross-section of three densely populated climatic zones</w:t>
      </w:r>
      <w:r w:rsidRPr="00A632D9">
        <w:rPr>
          <w:rFonts w:ascii="Arial" w:hAnsi="Arial" w:cs="Arial"/>
        </w:rPr>
        <w:t xml:space="preserve"> as shown in </w:t>
      </w:r>
      <w:r w:rsidRPr="00A632D9">
        <w:rPr>
          <w:rFonts w:ascii="Arial" w:hAnsi="Arial" w:cs="Arial"/>
          <w:b/>
          <w:bCs/>
        </w:rPr>
        <w:t>Fig. 2a</w:t>
      </w:r>
      <w:r w:rsidRPr="00A632D9">
        <w:rPr>
          <w:rFonts w:ascii="Arial" w:hAnsi="Arial" w:cs="Arial"/>
        </w:rPr>
        <w:t>. Notably,</w:t>
      </w:r>
      <w:r w:rsidR="00EB4FBC" w:rsidRPr="00A632D9">
        <w:rPr>
          <w:rFonts w:ascii="Arial" w:hAnsi="Arial" w:cs="Arial"/>
        </w:rPr>
        <w:t xml:space="preserve"> </w:t>
      </w:r>
      <w:r w:rsidRPr="00A632D9">
        <w:rPr>
          <w:rFonts w:ascii="Arial" w:hAnsi="Arial" w:cs="Arial"/>
        </w:rPr>
        <w:t>a</w:t>
      </w:r>
      <w:r w:rsidR="003812CD" w:rsidRPr="00A632D9">
        <w:rPr>
          <w:rFonts w:ascii="Arial" w:hAnsi="Arial" w:cs="Arial"/>
        </w:rPr>
        <w:t xml:space="preserve">ll six cities </w:t>
      </w:r>
      <w:r w:rsidRPr="00A632D9">
        <w:rPr>
          <w:rFonts w:ascii="Arial" w:hAnsi="Arial" w:cs="Arial"/>
        </w:rPr>
        <w:t xml:space="preserve">maintain </w:t>
      </w:r>
      <w:r w:rsidR="003812CD" w:rsidRPr="00A632D9">
        <w:rPr>
          <w:rFonts w:ascii="Arial" w:hAnsi="Arial" w:cs="Arial"/>
        </w:rPr>
        <w:t xml:space="preserve">a </w:t>
      </w:r>
      <w:r w:rsidRPr="00A632D9">
        <w:rPr>
          <w:rFonts w:ascii="Arial" w:hAnsi="Arial" w:cs="Arial"/>
        </w:rPr>
        <w:t>robust</w:t>
      </w:r>
      <w:r w:rsidR="003812CD" w:rsidRPr="00A632D9">
        <w:rPr>
          <w:rFonts w:ascii="Arial" w:hAnsi="Arial" w:cs="Arial"/>
        </w:rPr>
        <w:t xml:space="preserve"> air-conditioner (AC) </w:t>
      </w:r>
      <w:r w:rsidRPr="00A632D9">
        <w:rPr>
          <w:rFonts w:ascii="Arial" w:hAnsi="Arial" w:cs="Arial"/>
        </w:rPr>
        <w:t>penetration</w:t>
      </w:r>
      <w:r w:rsidR="003812CD" w:rsidRPr="00A632D9">
        <w:rPr>
          <w:rFonts w:ascii="Arial" w:hAnsi="Arial" w:cs="Arial"/>
        </w:rPr>
        <w:t xml:space="preserve"> rate exceed</w:t>
      </w:r>
      <w:r w:rsidRPr="00A632D9">
        <w:rPr>
          <w:rFonts w:ascii="Arial" w:hAnsi="Arial" w:cs="Arial"/>
        </w:rPr>
        <w:t>ing</w:t>
      </w:r>
      <w:r w:rsidR="003812CD" w:rsidRPr="00A632D9">
        <w:rPr>
          <w:rFonts w:ascii="Arial" w:hAnsi="Arial" w:cs="Arial"/>
        </w:rPr>
        <w:t xml:space="preserve"> </w:t>
      </w:r>
      <w:r w:rsidRPr="00A632D9">
        <w:rPr>
          <w:rFonts w:ascii="Arial" w:hAnsi="Arial" w:cs="Arial"/>
        </w:rPr>
        <w:t>two</w:t>
      </w:r>
      <w:r w:rsidR="003812CD" w:rsidRPr="00A632D9">
        <w:rPr>
          <w:rFonts w:ascii="Arial" w:hAnsi="Arial" w:cs="Arial"/>
        </w:rPr>
        <w:t xml:space="preserve"> units per household. </w:t>
      </w:r>
      <w:r w:rsidRPr="00A632D9">
        <w:rPr>
          <w:rFonts w:ascii="Arial" w:hAnsi="Arial" w:cs="Arial"/>
        </w:rPr>
        <w:t>B</w:t>
      </w:r>
      <w:r w:rsidR="00EB4FBC" w:rsidRPr="00A632D9">
        <w:rPr>
          <w:rFonts w:ascii="Arial" w:hAnsi="Arial" w:cs="Arial"/>
        </w:rPr>
        <w:t xml:space="preserve">y integrating high-resolution meteorological forcing with the </w:t>
      </w:r>
      <w:r w:rsidRPr="00A632D9">
        <w:rPr>
          <w:rFonts w:ascii="Arial" w:hAnsi="Arial" w:cs="Arial"/>
        </w:rPr>
        <w:t xml:space="preserve">“invisible” buffering capacity of combined </w:t>
      </w:r>
      <w:r w:rsidR="003812CD" w:rsidRPr="00A632D9">
        <w:rPr>
          <w:rFonts w:ascii="Arial" w:hAnsi="Arial" w:cs="Arial"/>
        </w:rPr>
        <w:t xml:space="preserve">buildings insulation </w:t>
      </w:r>
      <w:r w:rsidRPr="00A632D9">
        <w:rPr>
          <w:rFonts w:ascii="Arial" w:hAnsi="Arial" w:cs="Arial"/>
        </w:rPr>
        <w:t>and</w:t>
      </w:r>
      <w:r w:rsidR="003812CD" w:rsidRPr="00A632D9">
        <w:rPr>
          <w:rFonts w:ascii="Arial" w:hAnsi="Arial" w:cs="Arial"/>
        </w:rPr>
        <w:t xml:space="preserve"> AC </w:t>
      </w:r>
      <w:r w:rsidRPr="00A632D9">
        <w:rPr>
          <w:rFonts w:ascii="Arial" w:hAnsi="Arial" w:cs="Arial"/>
        </w:rPr>
        <w:t>operations</w:t>
      </w:r>
      <w:r w:rsidR="00EB4FBC" w:rsidRPr="00A632D9">
        <w:rPr>
          <w:rFonts w:ascii="Arial" w:hAnsi="Arial" w:cs="Arial"/>
        </w:rPr>
        <w:t>, we simulated the sleep-period discomfort hours at a granular scale</w:t>
      </w:r>
      <w:r w:rsidRPr="00A632D9">
        <w:rPr>
          <w:rFonts w:ascii="Arial" w:hAnsi="Arial" w:cs="Arial"/>
        </w:rPr>
        <w:t xml:space="preserve"> for a whole year</w:t>
      </w:r>
      <w:r w:rsidR="00EB4FBC" w:rsidRPr="00A632D9">
        <w:rPr>
          <w:rFonts w:ascii="Arial" w:hAnsi="Arial" w:cs="Arial"/>
        </w:rPr>
        <w:t xml:space="preserve">. </w:t>
      </w:r>
      <w:r w:rsidR="003812CD" w:rsidRPr="00A632D9">
        <w:rPr>
          <w:rFonts w:ascii="Arial" w:hAnsi="Arial" w:cs="Arial"/>
        </w:rPr>
        <w:t>The results</w:t>
      </w:r>
      <w:r w:rsidR="00EB4FBC" w:rsidRPr="00A632D9">
        <w:rPr>
          <w:rFonts w:ascii="Arial" w:hAnsi="Arial" w:cs="Arial"/>
        </w:rPr>
        <w:t xml:space="preserve"> reveal an alarming decadal escalation in sleep-period thermal distress across all investigated cities under varying Socioeconomic Pathways (SSPs). Compared to the 2020 baseline, the annual discomfort hours are expected to surge significantly by 2040 and 2060, particularly under the high-emission SSP5-8.5 scenario (</w:t>
      </w:r>
      <w:r w:rsidR="00EB4FBC" w:rsidRPr="00A632D9">
        <w:rPr>
          <w:rFonts w:ascii="Arial" w:hAnsi="Arial" w:cs="Arial"/>
          <w:b/>
          <w:bCs/>
        </w:rPr>
        <w:t>Fig. 2b</w:t>
      </w:r>
      <w:r w:rsidR="00EB4FBC" w:rsidRPr="00A632D9">
        <w:rPr>
          <w:rFonts w:ascii="Arial" w:hAnsi="Arial" w:cs="Arial"/>
        </w:rPr>
        <w:t>). Even in the Cold zone (e.g., Beijing), the emerg</w:t>
      </w:r>
      <w:r w:rsidRPr="00A632D9">
        <w:rPr>
          <w:rFonts w:ascii="Arial" w:hAnsi="Arial" w:cs="Arial"/>
        </w:rPr>
        <w:t>ing surge</w:t>
      </w:r>
      <w:r w:rsidR="00EB4FBC" w:rsidRPr="00A632D9">
        <w:rPr>
          <w:rFonts w:ascii="Arial" w:hAnsi="Arial" w:cs="Arial"/>
        </w:rPr>
        <w:t xml:space="preserve"> </w:t>
      </w:r>
      <w:r w:rsidRPr="00A632D9">
        <w:rPr>
          <w:rFonts w:ascii="Arial" w:hAnsi="Arial" w:cs="Arial"/>
        </w:rPr>
        <w:t>in</w:t>
      </w:r>
      <w:r w:rsidR="00EB4FBC" w:rsidRPr="00A632D9">
        <w:rPr>
          <w:rFonts w:ascii="Arial" w:hAnsi="Arial" w:cs="Arial"/>
        </w:rPr>
        <w:t xml:space="preserve"> sleep-period discomfort signals a northward shift of heat-related sleep deprivation, </w:t>
      </w:r>
      <w:r w:rsidRPr="00A632D9">
        <w:rPr>
          <w:rFonts w:ascii="Arial" w:hAnsi="Arial" w:cs="Arial"/>
        </w:rPr>
        <w:t xml:space="preserve">structurally </w:t>
      </w:r>
      <w:r w:rsidR="00EB4FBC" w:rsidRPr="00A632D9">
        <w:rPr>
          <w:rFonts w:ascii="Arial" w:hAnsi="Arial" w:cs="Arial"/>
        </w:rPr>
        <w:t xml:space="preserve">suggesting that the traditional climatic barriers </w:t>
      </w:r>
      <w:r w:rsidR="00194B1B" w:rsidRPr="00A632D9">
        <w:rPr>
          <w:rFonts w:ascii="Arial" w:hAnsi="Arial" w:cs="Arial"/>
        </w:rPr>
        <w:t xml:space="preserve">(i.e., cool summer night) </w:t>
      </w:r>
      <w:r w:rsidR="00EB4FBC" w:rsidRPr="00A632D9">
        <w:rPr>
          <w:rFonts w:ascii="Arial" w:hAnsi="Arial" w:cs="Arial"/>
        </w:rPr>
        <w:t>to sleep-period heat stress are rapidly eroding.</w:t>
      </w:r>
    </w:p>
    <w:p w14:paraId="4F55C15D" w14:textId="0D5986E1" w:rsidR="00EB4FBC" w:rsidRPr="00A632D9" w:rsidRDefault="00EB4FBC" w:rsidP="00EB4FBC">
      <w:pPr>
        <w:spacing w:afterLines="50" w:after="163"/>
        <w:ind w:firstLine="420"/>
        <w:rPr>
          <w:rFonts w:ascii="Arial" w:hAnsi="Arial" w:cs="Arial"/>
        </w:rPr>
      </w:pPr>
      <w:r w:rsidRPr="00A632D9">
        <w:rPr>
          <w:rFonts w:ascii="Arial" w:hAnsi="Arial" w:cs="Arial"/>
        </w:rPr>
        <w:t xml:space="preserve">To ground-truth our physical simulation, we cross-referenced the modeled hotspots with real-world digital footprints in Shanghai, utilizing a massive dataset of geotagged social media (Weibo) records pertaining to sleep deprivation. The results demonstrate a </w:t>
      </w:r>
      <w:r w:rsidRPr="00A632D9">
        <w:rPr>
          <w:rFonts w:ascii="Arial" w:hAnsi="Arial" w:cs="Arial"/>
          <w:b/>
          <w:bCs/>
        </w:rPr>
        <w:t>[XXXX</w:t>
      </w:r>
      <w:r w:rsidRPr="00A632D9">
        <w:rPr>
          <w:rFonts w:ascii="Arial" w:hAnsi="Arial" w:cs="Arial"/>
          <w:b/>
          <w:bCs/>
        </w:rPr>
        <w:t>量化词</w:t>
      </w:r>
      <w:r w:rsidRPr="00A632D9">
        <w:rPr>
          <w:rFonts w:ascii="Arial" w:hAnsi="Arial" w:cs="Arial"/>
          <w:b/>
          <w:bCs/>
        </w:rPr>
        <w:t>]</w:t>
      </w:r>
      <w:r w:rsidRPr="00A632D9">
        <w:rPr>
          <w:rFonts w:ascii="Arial" w:hAnsi="Arial" w:cs="Arial"/>
        </w:rPr>
        <w:t xml:space="preserve"> spatial congruence between modeled discomfort zones and the density of public complaints regarding “insomnia” and “too hot to sleep” (</w:t>
      </w:r>
      <w:r w:rsidRPr="00A632D9">
        <w:rPr>
          <w:rFonts w:ascii="Arial" w:hAnsi="Arial" w:cs="Arial"/>
          <w:b/>
          <w:bCs/>
        </w:rPr>
        <w:t>Fig. 2c</w:t>
      </w:r>
      <w:r w:rsidRPr="00A632D9">
        <w:rPr>
          <w:rFonts w:ascii="Arial" w:hAnsi="Arial" w:cs="Arial"/>
        </w:rPr>
        <w:t xml:space="preserve">). The marginal density distributions confirm that the physical model accurately captures the geographic epicenter of the thermal distress. This empirical anchoring bridges the gap between simulated physical parameters and subjective </w:t>
      </w:r>
      <w:r w:rsidR="00194B1B" w:rsidRPr="00A632D9">
        <w:rPr>
          <w:rFonts w:ascii="Arial" w:hAnsi="Arial" w:cs="Arial"/>
        </w:rPr>
        <w:t xml:space="preserve">physiological </w:t>
      </w:r>
      <w:r w:rsidRPr="00A632D9">
        <w:rPr>
          <w:rFonts w:ascii="Arial" w:hAnsi="Arial" w:cs="Arial"/>
        </w:rPr>
        <w:t>human experience, robustly validating our model’s reliability in representing real-world urban health burdens.</w:t>
      </w:r>
    </w:p>
    <w:p w14:paraId="71123D9C" w14:textId="77777777" w:rsidR="00194B1B" w:rsidRPr="00A632D9" w:rsidRDefault="00EB4FBC" w:rsidP="00194B1B">
      <w:pPr>
        <w:spacing w:afterLines="50" w:after="163"/>
        <w:ind w:firstLine="420"/>
        <w:rPr>
          <w:rFonts w:ascii="Arial" w:hAnsi="Arial" w:cs="Arial"/>
        </w:rPr>
      </w:pPr>
      <w:r w:rsidRPr="00A632D9">
        <w:rPr>
          <w:rFonts w:ascii="Arial" w:hAnsi="Arial" w:cs="Arial"/>
        </w:rPr>
        <w:t>High-resolution spatial mapping further unveils a distinct, non-uniform radial expansion of thermal penalties within each megacity (</w:t>
      </w:r>
      <w:r w:rsidRPr="00A632D9">
        <w:rPr>
          <w:rFonts w:ascii="Arial" w:hAnsi="Arial" w:cs="Arial"/>
          <w:b/>
          <w:bCs/>
        </w:rPr>
        <w:t>Fig. 2d</w:t>
      </w:r>
      <w:r w:rsidR="003812CD" w:rsidRPr="00A632D9">
        <w:rPr>
          <w:rFonts w:ascii="Arial" w:hAnsi="Arial" w:cs="Arial"/>
          <w:b/>
          <w:bCs/>
        </w:rPr>
        <w:t>1-d6</w:t>
      </w:r>
      <w:r w:rsidRPr="00A632D9">
        <w:rPr>
          <w:rFonts w:ascii="Arial" w:hAnsi="Arial" w:cs="Arial"/>
        </w:rPr>
        <w:t>). Thermal discomfort is not randomly dispersed but exhibits a strong core-periphery clustering pattern, with urban centers (marked by red stars) serving as persistent high-exposure enclaves. As we transition from 2020 to 2060</w:t>
      </w:r>
      <w:r w:rsidR="00194B1B" w:rsidRPr="00A632D9">
        <w:rPr>
          <w:rFonts w:ascii="Arial" w:hAnsi="Arial" w:cs="Arial"/>
        </w:rPr>
        <w:t xml:space="preserve"> projections</w:t>
      </w:r>
      <w:r w:rsidRPr="00A632D9">
        <w:rPr>
          <w:rFonts w:ascii="Arial" w:hAnsi="Arial" w:cs="Arial"/>
        </w:rPr>
        <w:t xml:space="preserve">, these </w:t>
      </w:r>
      <w:r w:rsidR="003812CD" w:rsidRPr="00A632D9">
        <w:rPr>
          <w:rFonts w:ascii="Arial" w:hAnsi="Arial" w:cs="Arial"/>
        </w:rPr>
        <w:t>“</w:t>
      </w:r>
      <w:r w:rsidRPr="00A632D9">
        <w:rPr>
          <w:rFonts w:ascii="Arial" w:hAnsi="Arial" w:cs="Arial"/>
        </w:rPr>
        <w:t>discomfort islands</w:t>
      </w:r>
      <w:r w:rsidR="003812CD" w:rsidRPr="00A632D9">
        <w:rPr>
          <w:rFonts w:ascii="Arial" w:hAnsi="Arial" w:cs="Arial"/>
        </w:rPr>
        <w:t>”</w:t>
      </w:r>
      <w:r w:rsidRPr="00A632D9">
        <w:rPr>
          <w:rFonts w:ascii="Arial" w:hAnsi="Arial" w:cs="Arial"/>
        </w:rPr>
        <w:t xml:space="preserve"> undergo significant spatial coagulation and outward sprawl, effectively swallowing residential </w:t>
      </w:r>
      <w:r w:rsidR="00194B1B" w:rsidRPr="00A632D9">
        <w:rPr>
          <w:rFonts w:ascii="Arial" w:hAnsi="Arial" w:cs="Arial"/>
        </w:rPr>
        <w:t>zones</w:t>
      </w:r>
      <w:r w:rsidR="003812CD" w:rsidRPr="00A632D9">
        <w:rPr>
          <w:rFonts w:ascii="Arial" w:hAnsi="Arial" w:cs="Arial"/>
        </w:rPr>
        <w:t xml:space="preserve"> </w:t>
      </w:r>
      <w:r w:rsidR="00194B1B" w:rsidRPr="00A632D9">
        <w:rPr>
          <w:rFonts w:ascii="Arial" w:hAnsi="Arial" w:cs="Arial"/>
        </w:rPr>
        <w:t>across</w:t>
      </w:r>
      <w:r w:rsidR="003812CD" w:rsidRPr="00A632D9">
        <w:rPr>
          <w:rFonts w:ascii="Arial" w:hAnsi="Arial" w:cs="Arial"/>
        </w:rPr>
        <w:t xml:space="preserve"> entire urban </w:t>
      </w:r>
      <w:r w:rsidR="00194B1B" w:rsidRPr="00A632D9">
        <w:rPr>
          <w:rFonts w:ascii="Arial" w:hAnsi="Arial" w:cs="Arial"/>
        </w:rPr>
        <w:t>landscape</w:t>
      </w:r>
      <w:r w:rsidRPr="00A632D9">
        <w:rPr>
          <w:rFonts w:ascii="Arial" w:hAnsi="Arial" w:cs="Arial"/>
        </w:rPr>
        <w:t xml:space="preserve">. This intensifying spatial heterogeneity </w:t>
      </w:r>
      <w:r w:rsidR="00194B1B" w:rsidRPr="00A632D9">
        <w:rPr>
          <w:rFonts w:ascii="Arial" w:hAnsi="Arial" w:cs="Arial"/>
        </w:rPr>
        <w:t xml:space="preserve">imposes a </w:t>
      </w:r>
      <w:r w:rsidR="003812CD" w:rsidRPr="00A632D9">
        <w:rPr>
          <w:rFonts w:ascii="Arial" w:hAnsi="Arial" w:cs="Arial"/>
        </w:rPr>
        <w:t xml:space="preserve">disproportionate </w:t>
      </w:r>
      <w:r w:rsidR="00194B1B" w:rsidRPr="00A632D9">
        <w:rPr>
          <w:rFonts w:ascii="Arial" w:hAnsi="Arial" w:cs="Arial"/>
        </w:rPr>
        <w:t>health burden on residents</w:t>
      </w:r>
      <w:r w:rsidR="003812CD" w:rsidRPr="00A632D9">
        <w:rPr>
          <w:rFonts w:ascii="Arial" w:hAnsi="Arial" w:cs="Arial"/>
        </w:rPr>
        <w:t xml:space="preserve"> in high-density urban cores. Even these cities </w:t>
      </w:r>
      <w:r w:rsidR="00194B1B" w:rsidRPr="00A632D9">
        <w:rPr>
          <w:rFonts w:ascii="Arial" w:hAnsi="Arial" w:cs="Arial"/>
        </w:rPr>
        <w:t xml:space="preserve">are </w:t>
      </w:r>
      <w:r w:rsidR="003812CD" w:rsidRPr="00A632D9">
        <w:rPr>
          <w:rFonts w:ascii="Arial" w:hAnsi="Arial" w:cs="Arial"/>
        </w:rPr>
        <w:t xml:space="preserve">already </w:t>
      </w:r>
      <w:r w:rsidR="00194B1B" w:rsidRPr="00A632D9">
        <w:rPr>
          <w:rFonts w:ascii="Arial" w:hAnsi="Arial" w:cs="Arial"/>
        </w:rPr>
        <w:t>well-equipped with</w:t>
      </w:r>
      <w:r w:rsidR="003812CD" w:rsidRPr="00A632D9">
        <w:rPr>
          <w:rFonts w:ascii="Arial" w:hAnsi="Arial" w:cs="Arial"/>
        </w:rPr>
        <w:t xml:space="preserve"> AC</w:t>
      </w:r>
      <w:r w:rsidR="000C2FFB" w:rsidRPr="00A632D9">
        <w:rPr>
          <w:rFonts w:ascii="Arial" w:hAnsi="Arial" w:cs="Arial"/>
        </w:rPr>
        <w:t xml:space="preserve">, the </w:t>
      </w:r>
      <w:r w:rsidR="00194B1B" w:rsidRPr="00A632D9">
        <w:rPr>
          <w:rFonts w:ascii="Arial" w:hAnsi="Arial" w:cs="Arial"/>
        </w:rPr>
        <w:t xml:space="preserve">intensifying </w:t>
      </w:r>
      <w:r w:rsidR="000C2FFB" w:rsidRPr="00A632D9">
        <w:rPr>
          <w:rFonts w:ascii="Arial" w:hAnsi="Arial" w:cs="Arial"/>
        </w:rPr>
        <w:t xml:space="preserve">climate forcing </w:t>
      </w:r>
      <w:r w:rsidR="00194B1B" w:rsidRPr="00A632D9">
        <w:rPr>
          <w:rFonts w:ascii="Arial" w:hAnsi="Arial" w:cs="Arial"/>
        </w:rPr>
        <w:t xml:space="preserve">threatens to breach the existing building buffering capacity, </w:t>
      </w:r>
      <w:r w:rsidR="00194B1B" w:rsidRPr="00A632D9">
        <w:rPr>
          <w:rFonts w:ascii="Arial" w:hAnsi="Arial" w:cs="Arial"/>
        </w:rPr>
        <w:lastRenderedPageBreak/>
        <w:t>thereby creating localized “thermal traps” that warrant extreme vigilance and targeted adaptive interventions.</w:t>
      </w:r>
    </w:p>
    <w:p w14:paraId="6DBCE4E9" w14:textId="12C211AE" w:rsidR="00194B1B" w:rsidRPr="00A632D9" w:rsidRDefault="00194B1B" w:rsidP="000C2FFB">
      <w:pPr>
        <w:ind w:firstLine="420"/>
        <w:rPr>
          <w:rFonts w:ascii="Arial" w:hAnsi="Arial" w:cs="Arial"/>
        </w:rPr>
      </w:pPr>
      <w:r w:rsidRPr="00A632D9">
        <w:rPr>
          <w:rFonts w:ascii="Arial" w:hAnsi="Arial" w:cs="Arial"/>
        </w:rPr>
        <w:t>Notably, although southern cities like Shenzhen and Guangzhou share similar regional weather conditions, they exhibit distinct and highly asymmetric trajectories of thermal distress. This divergence is primarily driven by local variations in individual building physical attributes and overall urban morphology. In these highly populated and vulnerable megacities, what we currently consider as extreme years are projected to become the future norm.</w:t>
      </w:r>
    </w:p>
    <w:p w14:paraId="63D97D7F" w14:textId="77777777" w:rsidR="00EB4FBC" w:rsidRDefault="00EB4FBC" w:rsidP="00EB4FBC">
      <w:pPr>
        <w:ind w:firstLine="420"/>
      </w:pPr>
    </w:p>
    <w:p w14:paraId="5A21461B" w14:textId="3926A1DD" w:rsidR="00EB4FBC" w:rsidRDefault="00EB4FBC" w:rsidP="00EB4FBC">
      <w:pPr>
        <w:ind w:firstLine="420"/>
        <w:sectPr w:rsidR="00EB4FBC">
          <w:pgSz w:w="11906" w:h="16838"/>
          <w:pgMar w:top="1440" w:right="1080" w:bottom="1440" w:left="1080" w:header="851" w:footer="992" w:gutter="0"/>
          <w:cols w:space="425"/>
          <w:docGrid w:type="lines" w:linePitch="326"/>
        </w:sectPr>
      </w:pPr>
    </w:p>
    <w:p w14:paraId="15B8D53F" w14:textId="57F2D184" w:rsidR="00284197" w:rsidRDefault="00890828" w:rsidP="00284197">
      <w:pPr>
        <w:jc w:val="center"/>
      </w:pPr>
      <w:r>
        <w:rPr>
          <w:noProof/>
        </w:rPr>
        <w:lastRenderedPageBreak/>
        <w:drawing>
          <wp:inline distT="0" distB="0" distL="0" distR="0" wp14:anchorId="763CBD86" wp14:editId="689FA85A">
            <wp:extent cx="8937625" cy="4751973"/>
            <wp:effectExtent l="0" t="0" r="0" b="0"/>
            <wp:docPr id="111045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984535" cy="4776914"/>
                    </a:xfrm>
                    <a:prstGeom prst="rect">
                      <a:avLst/>
                    </a:prstGeom>
                    <a:noFill/>
                  </pic:spPr>
                </pic:pic>
              </a:graphicData>
            </a:graphic>
          </wp:inline>
        </w:drawing>
      </w:r>
    </w:p>
    <w:p w14:paraId="498B5778" w14:textId="4D9CBB0D" w:rsidR="00A17987" w:rsidRPr="00EB4FBC" w:rsidRDefault="00A17987" w:rsidP="00A17987">
      <w:pPr>
        <w:spacing w:line="240" w:lineRule="auto"/>
        <w:rPr>
          <w:rFonts w:ascii="Arial" w:hAnsi="Arial" w:cs="Arial"/>
          <w:sz w:val="22"/>
          <w:szCs w:val="20"/>
        </w:rPr>
        <w:sectPr w:rsidR="00A17987" w:rsidRPr="00EB4FBC" w:rsidSect="00890828">
          <w:pgSz w:w="16838" w:h="11906" w:orient="landscape"/>
          <w:pgMar w:top="720" w:right="720" w:bottom="720" w:left="720" w:header="851" w:footer="340" w:gutter="0"/>
          <w:cols w:space="425"/>
          <w:docGrid w:type="lines" w:linePitch="326"/>
        </w:sectPr>
      </w:pPr>
      <w:r w:rsidRPr="00EB4FBC">
        <w:rPr>
          <w:rFonts w:ascii="Arial" w:hAnsi="Arial" w:cs="Arial"/>
          <w:b/>
          <w:bCs/>
          <w:sz w:val="22"/>
          <w:szCs w:val="20"/>
        </w:rPr>
        <w:t>Fig. 2 Spatiotemporal divergence of sleep-period thermal discomfort for 6 representative megacities across multidimensional climate zones. a</w:t>
      </w:r>
      <w:r w:rsidRPr="00EB4FBC">
        <w:rPr>
          <w:rFonts w:ascii="Arial" w:hAnsi="Arial" w:cs="Arial"/>
          <w:sz w:val="22"/>
          <w:szCs w:val="20"/>
        </w:rPr>
        <w:t>, Locations of the 6 selected megacities encompassing three massive population-dense climatic zones (Cold, Hot Summer &amp; Cold Winter, and Hot Summer &amp; Warm Winter) in China.</w:t>
      </w:r>
      <w:r w:rsidRPr="00EB4FBC">
        <w:rPr>
          <w:rFonts w:ascii="Arial" w:hAnsi="Arial" w:cs="Arial"/>
          <w:b/>
          <w:bCs/>
          <w:sz w:val="22"/>
          <w:szCs w:val="20"/>
        </w:rPr>
        <w:t xml:space="preserve"> b</w:t>
      </w:r>
      <w:r w:rsidRPr="00EB4FBC">
        <w:rPr>
          <w:rFonts w:ascii="Arial" w:hAnsi="Arial" w:cs="Arial"/>
          <w:sz w:val="22"/>
          <w:szCs w:val="20"/>
        </w:rPr>
        <w:t>, Baseline (2020) and projected decadal (2040 &amp; 2060) escalation of annual sleep-period thermal discomfort hours across multiple SSP trajectories.</w:t>
      </w:r>
      <w:r w:rsidRPr="00EB4FBC">
        <w:rPr>
          <w:rFonts w:ascii="Arial" w:hAnsi="Arial" w:cs="Arial"/>
          <w:b/>
          <w:bCs/>
          <w:sz w:val="22"/>
          <w:szCs w:val="20"/>
        </w:rPr>
        <w:t xml:space="preserve"> c</w:t>
      </w:r>
      <w:r w:rsidRPr="00EB4FBC">
        <w:rPr>
          <w:rFonts w:ascii="Arial" w:hAnsi="Arial" w:cs="Arial"/>
          <w:sz w:val="22"/>
          <w:szCs w:val="20"/>
        </w:rPr>
        <w:t>, Empirical spatial validation utilizing geotagged social media (Weibo, the largest platform in China) data</w:t>
      </w:r>
      <w:r w:rsidR="00890828">
        <w:rPr>
          <w:rFonts w:ascii="Arial" w:hAnsi="Arial" w:cs="Arial" w:hint="eastAsia"/>
          <w:sz w:val="22"/>
          <w:szCs w:val="20"/>
        </w:rPr>
        <w:t xml:space="preserve"> in Beijing</w:t>
      </w:r>
      <w:r w:rsidRPr="00EB4FBC">
        <w:rPr>
          <w:rFonts w:ascii="Arial" w:hAnsi="Arial" w:cs="Arial"/>
          <w:sz w:val="22"/>
          <w:szCs w:val="20"/>
        </w:rPr>
        <w:t>. The marginal density distributions indicate a</w:t>
      </w:r>
      <w:r w:rsidRPr="00EB4FBC">
        <w:rPr>
          <w:rFonts w:ascii="Arial" w:hAnsi="Arial" w:cs="Arial"/>
          <w:b/>
          <w:bCs/>
          <w:sz w:val="22"/>
          <w:szCs w:val="20"/>
        </w:rPr>
        <w:t xml:space="preserve"> </w:t>
      </w:r>
      <w:r w:rsidRPr="00EB4FBC">
        <w:rPr>
          <w:rFonts w:ascii="Arial" w:hAnsi="Arial" w:cs="Arial"/>
          <w:sz w:val="22"/>
          <w:szCs w:val="20"/>
        </w:rPr>
        <w:t>spatial congruen</w:t>
      </w:r>
      <w:r w:rsidRPr="00890828">
        <w:rPr>
          <w:rFonts w:ascii="Arial" w:hAnsi="Arial" w:cs="Arial"/>
          <w:sz w:val="22"/>
          <w:szCs w:val="20"/>
        </w:rPr>
        <w:t>ce (</w:t>
      </w:r>
      <w:r w:rsidR="00890828" w:rsidRPr="00890828">
        <w:rPr>
          <w:rFonts w:ascii="Arial" w:hAnsi="Arial" w:cs="Arial" w:hint="eastAsia"/>
          <w:sz w:val="22"/>
          <w:szCs w:val="20"/>
        </w:rPr>
        <w:t>Spearman</w:t>
      </w:r>
      <w:r w:rsidRPr="00890828">
        <w:rPr>
          <w:rFonts w:ascii="Arial" w:hAnsi="Arial" w:cs="Arial"/>
          <w:sz w:val="22"/>
          <w:szCs w:val="20"/>
        </w:rPr>
        <w:t xml:space="preserve">’s </w:t>
      </w:r>
      <w:r w:rsidR="00890828" w:rsidRPr="00890828">
        <w:rPr>
          <w:rFonts w:cs="Times New Roman"/>
          <w:sz w:val="22"/>
          <w:szCs w:val="20"/>
        </w:rPr>
        <w:t>ρ</w:t>
      </w:r>
      <w:r w:rsidRPr="00890828">
        <w:rPr>
          <w:rFonts w:ascii="Arial" w:hAnsi="Arial" w:cs="Arial"/>
          <w:sz w:val="22"/>
          <w:szCs w:val="20"/>
        </w:rPr>
        <w:t xml:space="preserve"> = 0.85, </w:t>
      </w:r>
      <w:r w:rsidR="00890828" w:rsidRPr="00890828">
        <w:rPr>
          <w:rFonts w:ascii="Arial" w:hAnsi="Arial" w:cs="Arial" w:hint="eastAsia"/>
          <w:sz w:val="22"/>
          <w:szCs w:val="20"/>
        </w:rPr>
        <w:t>Bivariate Moran</w:t>
      </w:r>
      <w:r w:rsidR="00890828" w:rsidRPr="00890828">
        <w:rPr>
          <w:rFonts w:ascii="Arial" w:hAnsi="Arial" w:cs="Arial"/>
          <w:sz w:val="22"/>
          <w:szCs w:val="20"/>
        </w:rPr>
        <w:t>’</w:t>
      </w:r>
      <w:r w:rsidR="00890828" w:rsidRPr="00890828">
        <w:rPr>
          <w:rFonts w:ascii="Arial" w:hAnsi="Arial" w:cs="Arial" w:hint="eastAsia"/>
          <w:sz w:val="22"/>
          <w:szCs w:val="20"/>
        </w:rPr>
        <w:t xml:space="preserve">s I = 0.29, </w:t>
      </w:r>
      <w:r w:rsidRPr="00890828">
        <w:rPr>
          <w:rFonts w:ascii="Arial" w:hAnsi="Arial" w:cs="Arial"/>
          <w:sz w:val="22"/>
          <w:szCs w:val="20"/>
        </w:rPr>
        <w:t>p &lt; 0.001</w:t>
      </w:r>
      <w:r w:rsidR="00890828" w:rsidRPr="00890828">
        <w:rPr>
          <w:rFonts w:ascii="Arial" w:hAnsi="Arial" w:cs="Arial" w:hint="eastAsia"/>
          <w:sz w:val="22"/>
          <w:szCs w:val="20"/>
        </w:rPr>
        <w:t xml:space="preserve"> for both index</w:t>
      </w:r>
      <w:r w:rsidRPr="00890828">
        <w:rPr>
          <w:rFonts w:ascii="Arial" w:hAnsi="Arial" w:cs="Arial"/>
          <w:sz w:val="22"/>
          <w:szCs w:val="20"/>
        </w:rPr>
        <w:t>]) betwee</w:t>
      </w:r>
      <w:r w:rsidRPr="00EB4FBC">
        <w:rPr>
          <w:rFonts w:ascii="Arial" w:hAnsi="Arial" w:cs="Arial"/>
          <w:sz w:val="22"/>
          <w:szCs w:val="20"/>
        </w:rPr>
        <w:t>n the model-simulated sleep distress hotspots and real-world sleep deprivation reports from the public, firmly anchoring our physical model’s reliability.</w:t>
      </w:r>
      <w:r w:rsidRPr="00EB4FBC">
        <w:rPr>
          <w:rFonts w:ascii="Arial" w:hAnsi="Arial" w:cs="Arial"/>
          <w:b/>
          <w:bCs/>
          <w:sz w:val="22"/>
          <w:szCs w:val="20"/>
        </w:rPr>
        <w:t xml:space="preserve"> d1-d6</w:t>
      </w:r>
      <w:r w:rsidRPr="00EB4FBC">
        <w:rPr>
          <w:rFonts w:ascii="Arial" w:hAnsi="Arial" w:cs="Arial"/>
          <w:sz w:val="22"/>
          <w:szCs w:val="20"/>
        </w:rPr>
        <w:t>, Spatial clustering and rapid radial expansion of severe sleep-loss penalties spreading from urban cores (marked with red stars), mapped by contrasting the 2020 baseline against the worst-case scenario (2060-SSP5-8.5).</w:t>
      </w:r>
    </w:p>
    <w:p w14:paraId="61C3A071" w14:textId="0C172951" w:rsidR="00366440" w:rsidRPr="009747FC" w:rsidRDefault="00FC79B4">
      <w:pPr>
        <w:pStyle w:val="Heading1"/>
        <w:rPr>
          <w:rFonts w:ascii="Arial" w:hAnsi="Arial" w:cs="Arial"/>
        </w:rPr>
      </w:pPr>
      <w:r w:rsidRPr="009747FC">
        <w:rPr>
          <w:rFonts w:ascii="Arial" w:hAnsi="Arial" w:cs="Arial"/>
        </w:rPr>
        <w:lastRenderedPageBreak/>
        <w:t xml:space="preserve">Similar climates but diverse thermal resilience </w:t>
      </w:r>
    </w:p>
    <w:p w14:paraId="33378063" w14:textId="66300804" w:rsidR="00FC79B4" w:rsidRDefault="00FC79B4" w:rsidP="00FC79B4">
      <w:pPr>
        <w:spacing w:afterLines="50" w:after="163"/>
        <w:ind w:firstLine="420"/>
        <w:rPr>
          <w:rFonts w:ascii="Arial" w:hAnsi="Arial" w:cs="Arial"/>
        </w:rPr>
      </w:pPr>
      <w:r w:rsidRPr="007A094D">
        <w:rPr>
          <w:rFonts w:ascii="Arial" w:hAnsi="Arial" w:cs="Arial"/>
        </w:rPr>
        <w:t>To isolate the buildings’ buffering effect on sleep-period heat exposure at city scale, we focused on the climatological twin cities of Guangzhou and Shenzhen. Despite their geographical proximity and nearly identical regional weather patterns, the two megacities exhibit a distinct divergence in sleep-period thermal discomfort (</w:t>
      </w:r>
      <w:r w:rsidRPr="007A094D">
        <w:rPr>
          <w:rFonts w:ascii="Arial" w:hAnsi="Arial" w:cs="Arial"/>
          <w:b/>
          <w:bCs/>
        </w:rPr>
        <w:t>Fig. 3a</w:t>
      </w:r>
      <w:r w:rsidRPr="007A094D">
        <w:rPr>
          <w:rFonts w:ascii="Arial" w:hAnsi="Arial" w:cs="Arial"/>
        </w:rPr>
        <w:t>). Notably, under the most severe emission scenario (SSP5-8.5, 2060), the projected annual discomfort hours per person in Shenzhen reaches 186.2 hours, which is more than double the 85.9 hours projected for Guangzhou. This unexpected difference suggests that the building buffering capacity, which serves as a primary shield for residents, is profoundly related to the specific urban archetypes, even when facing localized climate forcing of similar intensity.</w:t>
      </w:r>
    </w:p>
    <w:p w14:paraId="7B167580" w14:textId="49081309" w:rsidR="00514B83" w:rsidRPr="0050378D" w:rsidRDefault="00514B83" w:rsidP="0050378D">
      <w:pPr>
        <w:spacing w:afterLines="50" w:after="163"/>
        <w:ind w:firstLine="420"/>
        <w:rPr>
          <w:rFonts w:ascii="Arial" w:hAnsi="Arial" w:cs="Arial"/>
        </w:rPr>
      </w:pPr>
      <w:r w:rsidRPr="00514B83">
        <w:rPr>
          <w:rFonts w:ascii="Arial" w:hAnsi="Arial" w:cs="Arial"/>
        </w:rPr>
        <w:t xml:space="preserve">To explicitly decouple macro-climate forcing from actual human exposure and validate the role of the building buffering effect, we focused on the climatological twin cities of Guangzhou and Shenzhen. Despite their geographical proximity and nearly identical </w:t>
      </w:r>
      <w:r w:rsidR="0050378D" w:rsidRPr="007A094D">
        <w:rPr>
          <w:rFonts w:ascii="Arial" w:hAnsi="Arial" w:cs="Arial"/>
        </w:rPr>
        <w:t>weather</w:t>
      </w:r>
      <w:r w:rsidRPr="00514B83">
        <w:rPr>
          <w:rFonts w:ascii="Arial" w:hAnsi="Arial" w:cs="Arial"/>
        </w:rPr>
        <w:t xml:space="preserve"> patterns</w:t>
      </w:r>
      <w:r>
        <w:rPr>
          <w:rFonts w:ascii="Arial" w:hAnsi="Arial" w:cs="Arial" w:hint="eastAsia"/>
        </w:rPr>
        <w:t xml:space="preserve"> by </w:t>
      </w:r>
      <w:r w:rsidRPr="00514B83">
        <w:rPr>
          <w:rFonts w:ascii="Arial" w:hAnsi="Arial" w:cs="Arial"/>
        </w:rPr>
        <w:t>exhibiting indistinguishable annual mean outdoor temperatures across all future scenarios (</w:t>
      </w:r>
      <w:r w:rsidRPr="00514B83">
        <w:rPr>
          <w:rFonts w:ascii="Arial" w:hAnsi="Arial" w:cs="Arial"/>
          <w:b/>
          <w:bCs/>
        </w:rPr>
        <w:t>Fig. 3a</w:t>
      </w:r>
      <w:r w:rsidRPr="00514B83">
        <w:rPr>
          <w:rFonts w:ascii="Arial" w:hAnsi="Arial" w:cs="Arial"/>
        </w:rPr>
        <w:t>)</w:t>
      </w:r>
      <w:r>
        <w:rPr>
          <w:rFonts w:ascii="Arial" w:hAnsi="Arial" w:cs="Arial" w:hint="eastAsia"/>
        </w:rPr>
        <w:t xml:space="preserve">, </w:t>
      </w:r>
      <w:r w:rsidR="0050378D" w:rsidRPr="007A094D">
        <w:rPr>
          <w:rFonts w:ascii="Arial" w:hAnsi="Arial" w:cs="Arial"/>
        </w:rPr>
        <w:t>the two megacities exhibit a distinct divergence in sleep-period thermal discomfort</w:t>
      </w:r>
      <w:r w:rsidR="0050378D" w:rsidRPr="00514B83">
        <w:rPr>
          <w:rFonts w:ascii="Arial" w:hAnsi="Arial" w:cs="Arial"/>
        </w:rPr>
        <w:t xml:space="preserve"> </w:t>
      </w:r>
      <w:r w:rsidRPr="00514B83">
        <w:rPr>
          <w:rFonts w:ascii="Arial" w:hAnsi="Arial" w:cs="Arial"/>
        </w:rPr>
        <w:t>(</w:t>
      </w:r>
      <w:r w:rsidRPr="00514B83">
        <w:rPr>
          <w:rFonts w:ascii="Arial" w:hAnsi="Arial" w:cs="Arial"/>
          <w:b/>
          <w:bCs/>
        </w:rPr>
        <w:t>Fig. 3b</w:t>
      </w:r>
      <w:r w:rsidRPr="00514B83">
        <w:rPr>
          <w:rFonts w:ascii="Arial" w:hAnsi="Arial" w:cs="Arial"/>
        </w:rPr>
        <w:t xml:space="preserve">). </w:t>
      </w:r>
      <w:r w:rsidR="0050378D" w:rsidRPr="007A094D">
        <w:rPr>
          <w:rFonts w:ascii="Arial" w:hAnsi="Arial" w:cs="Arial"/>
        </w:rPr>
        <w:t xml:space="preserve">Notably, under </w:t>
      </w:r>
      <w:r w:rsidRPr="00514B83">
        <w:rPr>
          <w:rFonts w:ascii="Arial" w:hAnsi="Arial" w:cs="Arial"/>
        </w:rPr>
        <w:t xml:space="preserve">the most severe emission scenario (SSP5-8.5) by 2060, the projected annual discomfort per person in Shenzhen </w:t>
      </w:r>
      <w:r w:rsidR="0050378D" w:rsidRPr="007A094D">
        <w:rPr>
          <w:rFonts w:ascii="Arial" w:hAnsi="Arial" w:cs="Arial"/>
        </w:rPr>
        <w:t>reaches</w:t>
      </w:r>
      <w:r w:rsidRPr="00514B83">
        <w:rPr>
          <w:rFonts w:ascii="Arial" w:hAnsi="Arial" w:cs="Arial"/>
        </w:rPr>
        <w:t xml:space="preserve"> 186.2 hours, more than double the 85.9 hours projected for Guangzhou. This drastic </w:t>
      </w:r>
      <w:r w:rsidR="0050378D" w:rsidRPr="007A094D">
        <w:rPr>
          <w:rFonts w:ascii="Arial" w:hAnsi="Arial" w:cs="Arial"/>
        </w:rPr>
        <w:t>difference suggests that</w:t>
      </w:r>
      <w:r w:rsidRPr="00514B83">
        <w:rPr>
          <w:rFonts w:ascii="Arial" w:hAnsi="Arial" w:cs="Arial"/>
        </w:rPr>
        <w:t xml:space="preserve"> the building </w:t>
      </w:r>
      <w:r w:rsidR="0050378D" w:rsidRPr="007A094D">
        <w:rPr>
          <w:rFonts w:ascii="Arial" w:hAnsi="Arial" w:cs="Arial"/>
        </w:rPr>
        <w:t>buffering capacity, which serves as a primary shield for residents, is profoundly related to the specific urban archetypes, even when facing localized climate forcing of similar intensity.</w:t>
      </w:r>
    </w:p>
    <w:p w14:paraId="01265B7B" w14:textId="57CE1AB0" w:rsidR="00FC79B4" w:rsidRDefault="00FC79B4" w:rsidP="00FC79B4">
      <w:pPr>
        <w:spacing w:afterLines="50" w:after="163"/>
        <w:ind w:firstLine="420"/>
        <w:rPr>
          <w:rFonts w:ascii="Arial" w:hAnsi="Arial" w:cs="Arial"/>
        </w:rPr>
      </w:pPr>
      <w:r w:rsidRPr="007A094D">
        <w:rPr>
          <w:rFonts w:ascii="Arial" w:hAnsi="Arial" w:cs="Arial"/>
        </w:rPr>
        <w:t xml:space="preserve">This inter-city disparity is fundamentally rooted in the multidimensional heterogeneities of building landscape across the two cities. High-resolution Kernel Density Estimation (KDE) reveals that Guangzhou’s residential landscape is dominated by buildings with larger </w:t>
      </w:r>
      <w:r w:rsidR="0050378D" w:rsidRPr="0050378D">
        <w:rPr>
          <w:rFonts w:ascii="Arial" w:hAnsi="Arial" w:cs="Arial"/>
        </w:rPr>
        <w:t xml:space="preserve">footprint </w:t>
      </w:r>
      <w:r w:rsidRPr="007A094D">
        <w:rPr>
          <w:rFonts w:ascii="Arial" w:hAnsi="Arial" w:cs="Arial"/>
        </w:rPr>
        <w:t>areas and a prominent peak in low-rise structures (~10m), providing a more thermally stable indoor environment (</w:t>
      </w:r>
      <w:r w:rsidRPr="007A094D">
        <w:rPr>
          <w:rFonts w:ascii="Arial" w:hAnsi="Arial" w:cs="Arial"/>
          <w:b/>
          <w:bCs/>
        </w:rPr>
        <w:t>Fig. 3c</w:t>
      </w:r>
      <w:r w:rsidR="0050378D">
        <w:rPr>
          <w:rFonts w:ascii="Arial" w:hAnsi="Arial" w:cs="Arial" w:hint="eastAsia"/>
          <w:b/>
          <w:bCs/>
        </w:rPr>
        <w:t>1 and c2</w:t>
      </w:r>
      <w:r w:rsidRPr="007A094D">
        <w:rPr>
          <w:rFonts w:ascii="Arial" w:hAnsi="Arial" w:cs="Arial"/>
        </w:rPr>
        <w:t xml:space="preserve">). In contrast, Shenzhen’s residential stock is characterized by smaller-area units and a significantly higher proportion of mid-to-high-rise buildings (20–30m). The lower thermal </w:t>
      </w:r>
      <w:r w:rsidR="0050378D" w:rsidRPr="0050378D">
        <w:rPr>
          <w:rFonts w:ascii="Arial" w:hAnsi="Arial" w:cs="Arial"/>
        </w:rPr>
        <w:t xml:space="preserve">inertia </w:t>
      </w:r>
      <w:r w:rsidRPr="007A094D">
        <w:rPr>
          <w:rFonts w:ascii="Arial" w:hAnsi="Arial" w:cs="Arial"/>
        </w:rPr>
        <w:t xml:space="preserve">typically associated with Shenzhen’s smaller residential footprints, combined with higher vertical exposure, </w:t>
      </w:r>
      <w:r w:rsidR="0050378D" w:rsidRPr="0050378D">
        <w:rPr>
          <w:rFonts w:ascii="Arial" w:hAnsi="Arial" w:cs="Arial"/>
        </w:rPr>
        <w:t xml:space="preserve">significantly </w:t>
      </w:r>
      <w:r w:rsidRPr="007A094D">
        <w:rPr>
          <w:rFonts w:ascii="Arial" w:hAnsi="Arial" w:cs="Arial"/>
        </w:rPr>
        <w:t xml:space="preserve">accelerates </w:t>
      </w:r>
      <w:r w:rsidR="0050378D" w:rsidRPr="0050378D">
        <w:rPr>
          <w:rFonts w:ascii="Arial" w:hAnsi="Arial" w:cs="Arial"/>
        </w:rPr>
        <w:t xml:space="preserve">external </w:t>
      </w:r>
      <w:r w:rsidRPr="007A094D">
        <w:rPr>
          <w:rFonts w:ascii="Arial" w:hAnsi="Arial" w:cs="Arial"/>
        </w:rPr>
        <w:t>heat penetration into the indoor sleeping environment during the stagnant summer nights.</w:t>
      </w:r>
    </w:p>
    <w:p w14:paraId="1464F31E" w14:textId="468804F6" w:rsidR="0050378D" w:rsidRPr="007A094D" w:rsidRDefault="00FC79B4" w:rsidP="0050378D">
      <w:pPr>
        <w:spacing w:afterLines="50" w:after="163"/>
        <w:ind w:firstLine="420"/>
        <w:rPr>
          <w:rFonts w:ascii="Arial" w:hAnsi="Arial" w:cs="Arial"/>
        </w:rPr>
      </w:pPr>
      <w:r w:rsidRPr="007A094D">
        <w:rPr>
          <w:rFonts w:ascii="Arial" w:hAnsi="Arial" w:cs="Arial"/>
        </w:rPr>
        <w:t xml:space="preserve">Furthermore, the shape factor (external surface-to-volume ratio) and building age distributions provide deeper insights into this morphological divergence. Shenzhen exhibits </w:t>
      </w:r>
      <w:r w:rsidRPr="007A094D">
        <w:rPr>
          <w:rFonts w:ascii="Arial" w:hAnsi="Arial" w:cs="Arial"/>
        </w:rPr>
        <w:lastRenderedPageBreak/>
        <w:t>a significant rightward shift in its shape factor distribution compared to Guangzhou (</w:t>
      </w:r>
      <w:r w:rsidRPr="007A094D">
        <w:rPr>
          <w:rFonts w:ascii="Arial" w:hAnsi="Arial" w:cs="Arial"/>
          <w:b/>
          <w:bCs/>
        </w:rPr>
        <w:t>Fig. 3</w:t>
      </w:r>
      <w:r w:rsidR="0050378D">
        <w:rPr>
          <w:rFonts w:ascii="Arial" w:hAnsi="Arial" w:cs="Arial" w:hint="eastAsia"/>
          <w:b/>
          <w:bCs/>
        </w:rPr>
        <w:t>c3</w:t>
      </w:r>
      <w:r w:rsidRPr="007A094D">
        <w:rPr>
          <w:rFonts w:ascii="Arial" w:hAnsi="Arial" w:cs="Arial"/>
        </w:rPr>
        <w:t>), indicating more complex and less compact building geometries that maximize heat exchange with the ambient environment. This increased exposure surface acts as a thermal bridge, compromising the insulation-buffered cooling efficiency. Additionally, the concentration of Shenzhen’s building age, peaking sharply around 20–30 years, reflects the legacy of its rapid, high-density urbanization phases (</w:t>
      </w:r>
      <w:r w:rsidRPr="007A094D">
        <w:rPr>
          <w:rFonts w:ascii="Arial" w:hAnsi="Arial" w:cs="Arial"/>
          <w:b/>
          <w:bCs/>
        </w:rPr>
        <w:t>Fig. 3</w:t>
      </w:r>
      <w:r w:rsidR="0050378D">
        <w:rPr>
          <w:rFonts w:ascii="Arial" w:hAnsi="Arial" w:cs="Arial" w:hint="eastAsia"/>
          <w:b/>
          <w:bCs/>
        </w:rPr>
        <w:t>c4</w:t>
      </w:r>
      <w:r w:rsidRPr="007A094D">
        <w:rPr>
          <w:rFonts w:ascii="Arial" w:hAnsi="Arial" w:cs="Arial"/>
        </w:rPr>
        <w:t>); whereas Guangzhou</w:t>
      </w:r>
      <w:r w:rsidR="0050378D">
        <w:rPr>
          <w:rFonts w:ascii="Arial" w:hAnsi="Arial" w:cs="Arial" w:hint="eastAsia"/>
        </w:rPr>
        <w:t xml:space="preserve"> </w:t>
      </w:r>
      <w:r w:rsidR="0050378D" w:rsidRPr="0050378D">
        <w:rPr>
          <w:rFonts w:ascii="Arial" w:hAnsi="Arial" w:cs="Arial"/>
        </w:rPr>
        <w:t>exhibits</w:t>
      </w:r>
      <w:r w:rsidR="0050378D">
        <w:rPr>
          <w:rFonts w:ascii="Arial" w:hAnsi="Arial" w:cs="Arial" w:hint="eastAsia"/>
        </w:rPr>
        <w:t xml:space="preserve"> a</w:t>
      </w:r>
      <w:r w:rsidRPr="007A094D">
        <w:rPr>
          <w:rFonts w:ascii="Arial" w:hAnsi="Arial" w:cs="Arial"/>
        </w:rPr>
        <w:t xml:space="preserve"> more staggered age distribution suggests a mix of historical and modern stocks with varying thermal performance.</w:t>
      </w:r>
    </w:p>
    <w:p w14:paraId="25B61E2E" w14:textId="2D4B37F1" w:rsidR="0050378D" w:rsidRDefault="00FC79B4" w:rsidP="001B4525">
      <w:pPr>
        <w:ind w:firstLine="420"/>
        <w:rPr>
          <w:rFonts w:ascii="Arial" w:hAnsi="Arial" w:cs="Arial"/>
        </w:rPr>
      </w:pPr>
      <w:r w:rsidRPr="007A094D">
        <w:rPr>
          <w:rFonts w:ascii="Arial" w:hAnsi="Arial" w:cs="Arial"/>
        </w:rPr>
        <w:t>By successfully isolat</w:t>
      </w:r>
      <w:r w:rsidR="00142731" w:rsidRPr="007A094D">
        <w:rPr>
          <w:rFonts w:ascii="Arial" w:hAnsi="Arial" w:cs="Arial"/>
        </w:rPr>
        <w:t>ing</w:t>
      </w:r>
      <w:r w:rsidRPr="007A094D">
        <w:rPr>
          <w:rFonts w:ascii="Arial" w:hAnsi="Arial" w:cs="Arial"/>
        </w:rPr>
        <w:t xml:space="preserve"> the city-scale buildings’ buffering effect on urban heat exposure, these findings underscore that building attributes are not merely passive envelopes but active modulators of climatic risk. </w:t>
      </w:r>
      <w:r w:rsidR="0050378D" w:rsidRPr="0050378D">
        <w:rPr>
          <w:rFonts w:ascii="Arial" w:hAnsi="Arial" w:cs="Arial"/>
        </w:rPr>
        <w:t>Contemporary macro-assessments overwhelmingly rely on outdoor weather data to heat-related morbidity</w:t>
      </w:r>
      <w:r w:rsidR="0050378D">
        <w:rPr>
          <w:rFonts w:ascii="Arial" w:hAnsi="Arial" w:cs="Arial" w:hint="eastAsia"/>
        </w:rPr>
        <w:t xml:space="preserve"> records</w:t>
      </w:r>
      <w:r w:rsidR="0050378D" w:rsidRPr="0050378D">
        <w:rPr>
          <w:rFonts w:ascii="Arial" w:hAnsi="Arial" w:cs="Arial"/>
        </w:rPr>
        <w:t>, systematically ignoring a profound reality</w:t>
      </w:r>
      <w:r w:rsidR="0050378D">
        <w:rPr>
          <w:rFonts w:ascii="Arial" w:hAnsi="Arial" w:cs="Arial" w:hint="eastAsia"/>
        </w:rPr>
        <w:t xml:space="preserve"> th</w:t>
      </w:r>
      <w:r w:rsidR="0050378D" w:rsidRPr="0050378D">
        <w:rPr>
          <w:rFonts w:ascii="Arial" w:hAnsi="Arial" w:cs="Arial" w:hint="eastAsia"/>
          <w:b/>
          <w:bCs/>
        </w:rPr>
        <w:t xml:space="preserve">at </w:t>
      </w:r>
      <w:r w:rsidR="0050378D" w:rsidRPr="0050378D">
        <w:rPr>
          <w:rFonts w:ascii="Arial" w:hAnsi="Arial" w:cs="Arial"/>
          <w:b/>
          <w:bCs/>
        </w:rPr>
        <w:t>modern populations spend roughly 90% of their time</w:t>
      </w:r>
      <w:r w:rsidR="0050378D" w:rsidRPr="0050378D">
        <w:rPr>
          <w:rFonts w:ascii="Arial" w:hAnsi="Arial" w:cs="Arial" w:hint="eastAsia"/>
          <w:b/>
          <w:bCs/>
        </w:rPr>
        <w:t xml:space="preserve"> </w:t>
      </w:r>
      <w:r w:rsidR="0050378D" w:rsidRPr="0050378D">
        <w:rPr>
          <w:rFonts w:ascii="Arial" w:hAnsi="Arial" w:cs="Arial"/>
          <w:b/>
          <w:bCs/>
        </w:rPr>
        <w:t>and virtually 100% of their sleep periods</w:t>
      </w:r>
      <w:r w:rsidR="0050378D" w:rsidRPr="0050378D">
        <w:rPr>
          <w:rFonts w:ascii="Arial" w:hAnsi="Arial" w:cs="Arial" w:hint="eastAsia"/>
          <w:b/>
          <w:bCs/>
        </w:rPr>
        <w:t xml:space="preserve"> </w:t>
      </w:r>
      <w:r w:rsidR="0050378D" w:rsidRPr="0050378D">
        <w:rPr>
          <w:rFonts w:ascii="Arial" w:hAnsi="Arial" w:cs="Arial"/>
          <w:b/>
          <w:bCs/>
        </w:rPr>
        <w:t>indoors</w:t>
      </w:r>
      <w:r w:rsidR="0050378D">
        <w:rPr>
          <w:rFonts w:ascii="Arial" w:hAnsi="Arial" w:cs="Arial" w:hint="eastAsia"/>
          <w:b/>
          <w:bCs/>
        </w:rPr>
        <w:t xml:space="preserve"> [XXX]</w:t>
      </w:r>
      <w:r w:rsidR="0050378D" w:rsidRPr="0050378D">
        <w:rPr>
          <w:rFonts w:ascii="Arial" w:hAnsi="Arial" w:cs="Arial"/>
          <w:b/>
          <w:bCs/>
        </w:rPr>
        <w:t>.</w:t>
      </w:r>
      <w:r w:rsidR="0050378D">
        <w:rPr>
          <w:rFonts w:ascii="Arial" w:hAnsi="Arial" w:cs="Arial" w:hint="eastAsia"/>
          <w:b/>
          <w:bCs/>
        </w:rPr>
        <w:t xml:space="preserve"> </w:t>
      </w:r>
      <w:r w:rsidRPr="007A094D">
        <w:rPr>
          <w:rFonts w:ascii="Arial" w:hAnsi="Arial" w:cs="Arial"/>
        </w:rPr>
        <w:t xml:space="preserve">The </w:t>
      </w:r>
      <w:r w:rsidR="0050378D" w:rsidRPr="0050378D">
        <w:rPr>
          <w:rFonts w:ascii="Arial" w:hAnsi="Arial" w:cs="Arial"/>
        </w:rPr>
        <w:t xml:space="preserve">2.1-fold </w:t>
      </w:r>
      <w:r w:rsidRPr="007A094D">
        <w:rPr>
          <w:rFonts w:ascii="Arial" w:hAnsi="Arial" w:cs="Arial"/>
        </w:rPr>
        <w:t xml:space="preserve">divergence between Guangzhou and Shenzhen illustrates that </w:t>
      </w:r>
      <w:r w:rsidR="001B4525">
        <w:rPr>
          <w:rFonts w:ascii="Arial" w:hAnsi="Arial" w:cs="Arial" w:hint="eastAsia"/>
        </w:rPr>
        <w:t>e</w:t>
      </w:r>
      <w:r w:rsidR="0050378D" w:rsidRPr="0050378D">
        <w:rPr>
          <w:rFonts w:ascii="Arial" w:hAnsi="Arial" w:cs="Arial"/>
        </w:rPr>
        <w:t xml:space="preserve">ven under identical localized climate forcing, high-density urbanization characterized by high shape factors and restricted footprints can structurally turning residential units into nocturnal heat traps. Therefore, without integrating high-resolution indoor building physics, any global or municipal estimation of heat-health burdens remains fundamentally incomplete and dangerously </w:t>
      </w:r>
      <w:r w:rsidR="001B4525">
        <w:rPr>
          <w:rFonts w:ascii="Arial" w:hAnsi="Arial" w:cs="Arial" w:hint="eastAsia"/>
        </w:rPr>
        <w:t>misleading</w:t>
      </w:r>
      <w:r w:rsidR="0050378D" w:rsidRPr="0050378D">
        <w:rPr>
          <w:rFonts w:ascii="Arial" w:hAnsi="Arial" w:cs="Arial"/>
        </w:rPr>
        <w:t>.</w:t>
      </w:r>
    </w:p>
    <w:p w14:paraId="4F8EDEF3" w14:textId="77777777" w:rsidR="0050378D" w:rsidRDefault="0050378D" w:rsidP="00FC79B4">
      <w:pPr>
        <w:ind w:firstLine="420"/>
        <w:rPr>
          <w:rFonts w:ascii="Arial" w:hAnsi="Arial" w:cs="Arial"/>
        </w:rPr>
      </w:pPr>
    </w:p>
    <w:p w14:paraId="5EF354A3" w14:textId="77777777" w:rsidR="0050378D" w:rsidRDefault="0050378D" w:rsidP="00FC79B4">
      <w:pPr>
        <w:ind w:firstLine="420"/>
        <w:rPr>
          <w:rFonts w:ascii="Arial" w:hAnsi="Arial" w:cs="Arial"/>
        </w:rPr>
      </w:pPr>
    </w:p>
    <w:p w14:paraId="62BC5F66" w14:textId="77777777" w:rsidR="0050378D" w:rsidRDefault="0050378D" w:rsidP="00FC79B4">
      <w:pPr>
        <w:ind w:firstLine="420"/>
        <w:rPr>
          <w:rFonts w:ascii="Arial" w:hAnsi="Arial" w:cs="Arial"/>
        </w:rPr>
        <w:sectPr w:rsidR="0050378D" w:rsidSect="001B4525">
          <w:pgSz w:w="11906" w:h="16838"/>
          <w:pgMar w:top="1440" w:right="1080" w:bottom="1440" w:left="1080" w:header="624" w:footer="680" w:gutter="0"/>
          <w:cols w:space="425"/>
          <w:docGrid w:type="lines" w:linePitch="326"/>
        </w:sectPr>
      </w:pPr>
    </w:p>
    <w:p w14:paraId="7509B236" w14:textId="40EBC5F0" w:rsidR="004044C3" w:rsidRDefault="00514B83" w:rsidP="001B4525">
      <w:pPr>
        <w:jc w:val="center"/>
      </w:pPr>
      <w:r>
        <w:rPr>
          <w:noProof/>
        </w:rPr>
        <w:lastRenderedPageBreak/>
        <w:drawing>
          <wp:inline distT="0" distB="0" distL="0" distR="0" wp14:anchorId="6D7626BE" wp14:editId="6ABEFA85">
            <wp:extent cx="7627620" cy="4413481"/>
            <wp:effectExtent l="0" t="0" r="0" b="0"/>
            <wp:docPr id="21614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45443" cy="4423794"/>
                    </a:xfrm>
                    <a:prstGeom prst="rect">
                      <a:avLst/>
                    </a:prstGeom>
                    <a:noFill/>
                  </pic:spPr>
                </pic:pic>
              </a:graphicData>
            </a:graphic>
          </wp:inline>
        </w:drawing>
      </w:r>
    </w:p>
    <w:p w14:paraId="7E6834F6" w14:textId="3B9DAF23" w:rsidR="00514B83" w:rsidRDefault="00514B83" w:rsidP="00142731">
      <w:pPr>
        <w:spacing w:line="240" w:lineRule="auto"/>
        <w:rPr>
          <w:rFonts w:ascii="Arial" w:hAnsi="Arial" w:cs="Arial"/>
          <w:b/>
          <w:bCs/>
          <w:sz w:val="22"/>
          <w:szCs w:val="20"/>
        </w:rPr>
      </w:pPr>
      <w:r w:rsidRPr="00514B83">
        <w:rPr>
          <w:rFonts w:ascii="Arial" w:hAnsi="Arial" w:cs="Arial"/>
          <w:b/>
          <w:bCs/>
          <w:sz w:val="22"/>
          <w:szCs w:val="20"/>
        </w:rPr>
        <w:t>Fig. 3 | Unmasking the building buffering effect</w:t>
      </w:r>
      <w:r>
        <w:rPr>
          <w:rFonts w:ascii="Arial" w:hAnsi="Arial" w:cs="Arial" w:hint="eastAsia"/>
          <w:b/>
          <w:bCs/>
          <w:sz w:val="22"/>
          <w:szCs w:val="20"/>
        </w:rPr>
        <w:t xml:space="preserve"> by comparing</w:t>
      </w:r>
      <w:r w:rsidRPr="00514B83">
        <w:rPr>
          <w:rFonts w:ascii="Arial" w:hAnsi="Arial" w:cs="Arial"/>
          <w:b/>
          <w:bCs/>
          <w:sz w:val="22"/>
          <w:szCs w:val="20"/>
        </w:rPr>
        <w:t xml:space="preserve"> </w:t>
      </w:r>
      <w:r>
        <w:rPr>
          <w:rFonts w:ascii="Arial" w:hAnsi="Arial" w:cs="Arial" w:hint="eastAsia"/>
          <w:b/>
          <w:bCs/>
          <w:sz w:val="22"/>
          <w:szCs w:val="20"/>
        </w:rPr>
        <w:t xml:space="preserve">the </w:t>
      </w:r>
      <w:r w:rsidRPr="007A094D">
        <w:rPr>
          <w:rFonts w:ascii="Arial" w:hAnsi="Arial" w:cs="Arial"/>
          <w:b/>
          <w:bCs/>
          <w:sz w:val="22"/>
          <w:szCs w:val="20"/>
        </w:rPr>
        <w:t xml:space="preserve">divergence </w:t>
      </w:r>
      <w:r>
        <w:rPr>
          <w:rFonts w:ascii="Arial" w:hAnsi="Arial" w:cs="Arial" w:hint="eastAsia"/>
          <w:b/>
          <w:bCs/>
          <w:sz w:val="22"/>
          <w:szCs w:val="20"/>
        </w:rPr>
        <w:t>of</w:t>
      </w:r>
      <w:r w:rsidRPr="007A094D">
        <w:rPr>
          <w:rFonts w:ascii="Arial" w:hAnsi="Arial" w:cs="Arial"/>
          <w:b/>
          <w:bCs/>
          <w:sz w:val="22"/>
          <w:szCs w:val="20"/>
        </w:rPr>
        <w:t xml:space="preserve"> sleep-period thermal resilience between climatological twin cities</w:t>
      </w:r>
      <w:r w:rsidRPr="00514B83">
        <w:rPr>
          <w:rFonts w:ascii="Arial" w:hAnsi="Arial" w:cs="Arial"/>
          <w:b/>
          <w:bCs/>
          <w:sz w:val="22"/>
          <w:szCs w:val="20"/>
        </w:rPr>
        <w:t>.</w:t>
      </w:r>
      <w:r>
        <w:rPr>
          <w:rFonts w:ascii="Arial" w:hAnsi="Arial" w:cs="Arial" w:hint="eastAsia"/>
          <w:b/>
          <w:bCs/>
          <w:sz w:val="22"/>
          <w:szCs w:val="20"/>
        </w:rPr>
        <w:t xml:space="preserve"> </w:t>
      </w:r>
      <w:r w:rsidRPr="00514B83">
        <w:rPr>
          <w:rFonts w:ascii="Arial" w:hAnsi="Arial" w:cs="Arial"/>
          <w:b/>
          <w:bCs/>
          <w:sz w:val="22"/>
          <w:szCs w:val="20"/>
        </w:rPr>
        <w:t xml:space="preserve">a, </w:t>
      </w:r>
      <w:r w:rsidRPr="00514B83">
        <w:rPr>
          <w:rFonts w:ascii="Arial" w:hAnsi="Arial" w:cs="Arial"/>
          <w:sz w:val="22"/>
          <w:szCs w:val="20"/>
        </w:rPr>
        <w:t>Projected annual mean outdoor temperatures for Guangzhou and Shenzhen across historical and future scenarios, demonstrating a nearly identical macro-climate forcing baseline.</w:t>
      </w:r>
      <w:r>
        <w:rPr>
          <w:rFonts w:ascii="Arial" w:hAnsi="Arial" w:cs="Arial" w:hint="eastAsia"/>
          <w:b/>
          <w:bCs/>
          <w:sz w:val="22"/>
          <w:szCs w:val="20"/>
        </w:rPr>
        <w:t xml:space="preserve"> </w:t>
      </w:r>
      <w:r w:rsidRPr="00514B83">
        <w:rPr>
          <w:rFonts w:ascii="Arial" w:hAnsi="Arial" w:cs="Arial"/>
          <w:b/>
          <w:bCs/>
          <w:sz w:val="22"/>
          <w:szCs w:val="20"/>
        </w:rPr>
        <w:t xml:space="preserve">b, </w:t>
      </w:r>
      <w:r w:rsidRPr="00514B83">
        <w:rPr>
          <w:rFonts w:ascii="Arial" w:hAnsi="Arial" w:cs="Arial"/>
          <w:sz w:val="22"/>
          <w:szCs w:val="20"/>
        </w:rPr>
        <w:t xml:space="preserve">Projected annual sleep-period discomfort hours. Despite sharing </w:t>
      </w:r>
      <w:r w:rsidRPr="00514B83">
        <w:rPr>
          <w:rFonts w:ascii="Arial" w:hAnsi="Arial" w:cs="Arial" w:hint="eastAsia"/>
          <w:sz w:val="22"/>
          <w:szCs w:val="20"/>
        </w:rPr>
        <w:t>similar</w:t>
      </w:r>
      <w:r w:rsidRPr="00514B83">
        <w:rPr>
          <w:rFonts w:ascii="Arial" w:hAnsi="Arial" w:cs="Arial"/>
          <w:sz w:val="22"/>
          <w:szCs w:val="20"/>
        </w:rPr>
        <w:t xml:space="preserve"> outdoor climates, the two megacities exhibit a drastic divergence in actual indoor thermal vulnerability; notably, under the SSP5-8.5 scenario (2060), indoor discomfort in Shenzhen (186.2 hours) is more than double that of Guangzhou (85.9 hours).</w:t>
      </w:r>
      <w:r>
        <w:rPr>
          <w:rFonts w:ascii="Arial" w:hAnsi="Arial" w:cs="Arial" w:hint="eastAsia"/>
          <w:b/>
          <w:bCs/>
          <w:sz w:val="22"/>
          <w:szCs w:val="20"/>
        </w:rPr>
        <w:t xml:space="preserve"> </w:t>
      </w:r>
      <w:r w:rsidRPr="00514B83">
        <w:rPr>
          <w:rFonts w:ascii="Arial" w:hAnsi="Arial" w:cs="Arial"/>
          <w:b/>
          <w:bCs/>
          <w:sz w:val="22"/>
          <w:szCs w:val="20"/>
        </w:rPr>
        <w:t xml:space="preserve">c1–c4, </w:t>
      </w:r>
      <w:r w:rsidRPr="00514B83">
        <w:rPr>
          <w:rFonts w:ascii="Arial" w:hAnsi="Arial" w:cs="Arial"/>
          <w:sz w:val="22"/>
          <w:szCs w:val="20"/>
        </w:rPr>
        <w:t>High-resolution Kernel Density Estimation (KDE) reveals the structural archetypes driving this divergence: building footprint area</w:t>
      </w:r>
      <w:r w:rsidRPr="00514B83">
        <w:rPr>
          <w:rFonts w:ascii="Arial" w:hAnsi="Arial" w:cs="Arial"/>
          <w:b/>
          <w:bCs/>
          <w:sz w:val="22"/>
          <w:szCs w:val="20"/>
        </w:rPr>
        <w:t xml:space="preserve"> (c1), </w:t>
      </w:r>
      <w:r w:rsidRPr="00514B83">
        <w:rPr>
          <w:rFonts w:ascii="Arial" w:hAnsi="Arial" w:cs="Arial"/>
          <w:sz w:val="22"/>
          <w:szCs w:val="20"/>
        </w:rPr>
        <w:t>building height</w:t>
      </w:r>
      <w:r w:rsidRPr="00514B83">
        <w:rPr>
          <w:rFonts w:ascii="Arial" w:hAnsi="Arial" w:cs="Arial"/>
          <w:b/>
          <w:bCs/>
          <w:sz w:val="22"/>
          <w:szCs w:val="20"/>
        </w:rPr>
        <w:t xml:space="preserve"> (c2), </w:t>
      </w:r>
      <w:r w:rsidRPr="00514B83">
        <w:rPr>
          <w:rFonts w:ascii="Arial" w:hAnsi="Arial" w:cs="Arial"/>
          <w:sz w:val="22"/>
          <w:szCs w:val="20"/>
        </w:rPr>
        <w:t>shape factor</w:t>
      </w:r>
      <w:r w:rsidRPr="00514B83">
        <w:rPr>
          <w:rFonts w:ascii="Arial" w:hAnsi="Arial" w:cs="Arial"/>
          <w:b/>
          <w:bCs/>
          <w:sz w:val="22"/>
          <w:szCs w:val="20"/>
        </w:rPr>
        <w:t xml:space="preserve"> (c3), </w:t>
      </w:r>
      <w:r w:rsidRPr="00514B83">
        <w:rPr>
          <w:rFonts w:ascii="Arial" w:hAnsi="Arial" w:cs="Arial"/>
          <w:sz w:val="22"/>
          <w:szCs w:val="20"/>
        </w:rPr>
        <w:t>and building age</w:t>
      </w:r>
      <w:r w:rsidRPr="00514B83">
        <w:rPr>
          <w:rFonts w:ascii="Arial" w:hAnsi="Arial" w:cs="Arial"/>
          <w:b/>
          <w:bCs/>
          <w:sz w:val="22"/>
          <w:szCs w:val="20"/>
        </w:rPr>
        <w:t xml:space="preserve"> (c4). </w:t>
      </w:r>
      <w:r w:rsidRPr="007A094D">
        <w:rPr>
          <w:rFonts w:ascii="Arial" w:hAnsi="Arial" w:cs="Arial"/>
          <w:sz w:val="22"/>
          <w:szCs w:val="20"/>
          <w:highlight w:val="yellow"/>
        </w:rPr>
        <w:t>Extreme outliers beyond three standard deviations (&gt;3σ) were excluded to accurately capture the representative archetypes of the building landscape.</w:t>
      </w:r>
    </w:p>
    <w:p w14:paraId="6FA4B10E" w14:textId="77777777" w:rsidR="00514B83" w:rsidRDefault="00514B83" w:rsidP="00142731">
      <w:pPr>
        <w:sectPr w:rsidR="00514B83" w:rsidSect="001B4525">
          <w:pgSz w:w="16838" w:h="11906" w:orient="landscape"/>
          <w:pgMar w:top="1080" w:right="1440" w:bottom="1080" w:left="1440" w:header="624" w:footer="454" w:gutter="0"/>
          <w:cols w:space="425"/>
          <w:docGrid w:type="lines" w:linePitch="326"/>
        </w:sectPr>
      </w:pPr>
    </w:p>
    <w:p w14:paraId="7D0617D3" w14:textId="53C063D2" w:rsidR="007A094D" w:rsidRPr="009747FC" w:rsidRDefault="003366D1" w:rsidP="007A094D">
      <w:pPr>
        <w:pStyle w:val="Heading1"/>
        <w:rPr>
          <w:rFonts w:ascii="Arial" w:hAnsi="Arial" w:cs="Arial"/>
          <w:bCs/>
        </w:rPr>
      </w:pPr>
      <w:r w:rsidRPr="009747FC">
        <w:rPr>
          <w:rFonts w:ascii="Arial" w:hAnsi="Arial" w:cs="Arial"/>
        </w:rPr>
        <w:lastRenderedPageBreak/>
        <w:t>Vertical thermal disparity and the top-floor penalty</w:t>
      </w:r>
    </w:p>
    <w:p w14:paraId="222CB510" w14:textId="77777777" w:rsidR="003366D1" w:rsidRDefault="003366D1" w:rsidP="003366D1">
      <w:pPr>
        <w:spacing w:afterLines="50" w:after="163"/>
        <w:ind w:firstLine="420"/>
        <w:rPr>
          <w:rFonts w:ascii="Arial" w:hAnsi="Arial" w:cs="Arial"/>
        </w:rPr>
      </w:pPr>
      <w:r w:rsidRPr="003366D1">
        <w:rPr>
          <w:rFonts w:ascii="Arial" w:hAnsi="Arial" w:cs="Arial"/>
        </w:rPr>
        <w:t>Building upon the morphological vulnerability identified previously, we pivot to Shenzhen</w:t>
      </w:r>
      <w:r>
        <w:rPr>
          <w:rFonts w:ascii="Arial" w:hAnsi="Arial" w:cs="Arial" w:hint="eastAsia"/>
        </w:rPr>
        <w:t xml:space="preserve"> </w:t>
      </w:r>
      <w:r w:rsidRPr="003366D1">
        <w:rPr>
          <w:rFonts w:ascii="Arial" w:hAnsi="Arial" w:cs="Arial"/>
        </w:rPr>
        <w:t xml:space="preserve">to advance our </w:t>
      </w:r>
      <w:r>
        <w:rPr>
          <w:rFonts w:ascii="Arial" w:hAnsi="Arial" w:cs="Arial" w:hint="eastAsia"/>
        </w:rPr>
        <w:t>understanding</w:t>
      </w:r>
      <w:r w:rsidRPr="003366D1">
        <w:rPr>
          <w:rFonts w:ascii="Arial" w:hAnsi="Arial" w:cs="Arial"/>
        </w:rPr>
        <w:t xml:space="preserve"> from a </w:t>
      </w:r>
      <w:r>
        <w:rPr>
          <w:rFonts w:ascii="Arial" w:hAnsi="Arial" w:cs="Arial" w:hint="eastAsia"/>
        </w:rPr>
        <w:t xml:space="preserve">2D </w:t>
      </w:r>
      <w:r w:rsidRPr="003366D1">
        <w:rPr>
          <w:rFonts w:ascii="Arial" w:hAnsi="Arial" w:cs="Arial"/>
        </w:rPr>
        <w:t>spatial landscape context into the three-dimensional indoor environment. By categorizing the city’s residential stock into representative structural archetypes (high-rise, mid-rise, and low-rise), we investigated the granular spatiotemporal evolution of sleep-period discomfort. The results expose a profound intra-building heterogeneity, demonstrating that thermal vulnerability is far from uniformly distributed; rather, it is critically dictated by vertical stratification.</w:t>
      </w:r>
    </w:p>
    <w:p w14:paraId="19B8003C" w14:textId="36A8AF67" w:rsidR="005D575D" w:rsidRDefault="003366D1" w:rsidP="005D575D">
      <w:pPr>
        <w:spacing w:afterLines="50" w:after="163"/>
        <w:ind w:firstLine="420"/>
        <w:rPr>
          <w:rFonts w:ascii="Arial" w:hAnsi="Arial" w:cs="Arial"/>
        </w:rPr>
      </w:pPr>
      <w:r w:rsidRPr="003366D1">
        <w:rPr>
          <w:rFonts w:ascii="Arial" w:hAnsi="Arial" w:cs="Arial"/>
        </w:rPr>
        <w:t>High-resolution vertical profiling uncovers a systemic and pronounced top-floor thermal penalty across all structural archetypes (</w:t>
      </w:r>
      <w:r w:rsidRPr="003366D1">
        <w:rPr>
          <w:rFonts w:ascii="Arial" w:hAnsi="Arial" w:cs="Arial"/>
          <w:b/>
          <w:bCs/>
        </w:rPr>
        <w:t>Fig. 4a1-c1</w:t>
      </w:r>
      <w:r w:rsidRPr="003366D1">
        <w:rPr>
          <w:rFonts w:ascii="Arial" w:hAnsi="Arial" w:cs="Arial"/>
        </w:rPr>
        <w:t xml:space="preserve">). Unlike non-top floors that benefit from the </w:t>
      </w:r>
      <w:r w:rsidRPr="003366D1">
        <w:rPr>
          <w:rFonts w:ascii="Arial" w:hAnsi="Arial" w:cs="Arial"/>
          <w:highlight w:val="yellow"/>
        </w:rPr>
        <w:t>shielding effect of superimposed structural layers, the uppermost units serve as the primary interface for unabated daytime solar accumulation</w:t>
      </w:r>
      <w:r w:rsidRPr="003366D1">
        <w:rPr>
          <w:rFonts w:ascii="Arial" w:hAnsi="Arial" w:cs="Arial"/>
        </w:rPr>
        <w:t xml:space="preserve">. Consequently, the vertical distribution of discomfort hours is highly asymmetric. In high-rise buildings, the thermal distress curves remain relatively flat across the lower and middle </w:t>
      </w:r>
      <w:r w:rsidR="005D575D">
        <w:rPr>
          <w:rFonts w:ascii="Arial" w:hAnsi="Arial" w:cs="Arial" w:hint="eastAsia"/>
        </w:rPr>
        <w:t xml:space="preserve">storeys </w:t>
      </w:r>
      <w:r w:rsidRPr="003366D1">
        <w:rPr>
          <w:rFonts w:ascii="Arial" w:hAnsi="Arial" w:cs="Arial"/>
        </w:rPr>
        <w:t xml:space="preserve">but exhibit a violent spike specifically at the topmost </w:t>
      </w:r>
      <w:r w:rsidR="005D575D">
        <w:rPr>
          <w:rFonts w:ascii="Arial" w:hAnsi="Arial" w:cs="Arial" w:hint="eastAsia"/>
        </w:rPr>
        <w:t>floor</w:t>
      </w:r>
      <w:r w:rsidRPr="003366D1">
        <w:rPr>
          <w:rFonts w:ascii="Arial" w:hAnsi="Arial" w:cs="Arial"/>
        </w:rPr>
        <w:t>. Similar vertical inequities are observed in mid-rise and low-rise buildings, indicating an inherent structural disadvantage where top-layer residents bear a vastly disproportionate heat burden.</w:t>
      </w:r>
    </w:p>
    <w:p w14:paraId="12B37095" w14:textId="005DC422" w:rsidR="005D575D" w:rsidRDefault="003366D1" w:rsidP="005D575D">
      <w:pPr>
        <w:spacing w:afterLines="50" w:after="163"/>
        <w:ind w:firstLine="420"/>
        <w:rPr>
          <w:rFonts w:ascii="Arial" w:hAnsi="Arial" w:cs="Arial"/>
        </w:rPr>
      </w:pPr>
      <w:r w:rsidRPr="003366D1">
        <w:rPr>
          <w:rFonts w:ascii="Arial" w:hAnsi="Arial" w:cs="Arial"/>
        </w:rPr>
        <w:t>To mechanistically capture this vertical disparity, we tracked the hourly diurnal evolution of thermal discomfort within the indoor environment (</w:t>
      </w:r>
      <w:r w:rsidRPr="005D575D">
        <w:rPr>
          <w:rFonts w:ascii="Arial" w:hAnsi="Arial" w:cs="Arial"/>
          <w:b/>
          <w:bCs/>
        </w:rPr>
        <w:t>Fig. 4a2-c2</w:t>
      </w:r>
      <w:r w:rsidRPr="003366D1">
        <w:rPr>
          <w:rFonts w:ascii="Arial" w:hAnsi="Arial" w:cs="Arial"/>
        </w:rPr>
        <w:t>). The temporal dynamics reveal a prominent delayed heat release effect that detrimentally coincides with the human restorative sleep window. While daytime active hours typically correspond with periods when residents are away from home, the heat absorbed by the roof envelope gradually penetrates inward, triggering a massive surge in discomfort during the late evening and early nighttime (18:00–24:00). Across all building archetypes, the peak frequencies of thermal distress for top floors (red curves) consistently dwarf those of their non-top counterparts (blue curves).</w:t>
      </w:r>
    </w:p>
    <w:p w14:paraId="45BF2041" w14:textId="370695F4" w:rsidR="003366D1" w:rsidRPr="005D575D" w:rsidRDefault="003366D1" w:rsidP="005D575D">
      <w:pPr>
        <w:spacing w:afterLines="50" w:after="163"/>
        <w:ind w:firstLine="420"/>
        <w:rPr>
          <w:rFonts w:ascii="Arial" w:hAnsi="Arial" w:cs="Arial"/>
        </w:rPr>
        <w:sectPr w:rsidR="003366D1" w:rsidRPr="005D575D" w:rsidSect="005D575D">
          <w:pgSz w:w="11906" w:h="16838"/>
          <w:pgMar w:top="1440" w:right="1080" w:bottom="1440" w:left="1080" w:header="851" w:footer="907" w:gutter="0"/>
          <w:cols w:space="425"/>
          <w:docGrid w:type="lines" w:linePitch="326"/>
        </w:sectPr>
      </w:pPr>
      <w:r w:rsidRPr="003366D1">
        <w:rPr>
          <w:rFonts w:ascii="Arial" w:hAnsi="Arial" w:cs="Arial"/>
        </w:rPr>
        <w:t>Alarmingly, the temporal profiles indicate that this localized vulnerability is rapidly deteriorating. As climate forcing intensifies towards 2040 and 2060 under the high-emission SSP5-8.5 scenario, the nocturnal discomfort peak not only grows in absolute magnitude but also broadens significantly. The structurally compromised top floors fail to dissipate heat efficiently, causing the thermal distress to extend deeply into the core sleeping hours. This spatiotemporal intersection of vertical exposure and diurnal temperature lag structurally collapses the safe nighttime window, necessitating highly targeted, roof-specific architectural interventions rather than homogeneous city-wide adaptation strategies.</w:t>
      </w:r>
    </w:p>
    <w:p w14:paraId="20F66291" w14:textId="2FD99F23" w:rsidR="00955CCC" w:rsidRDefault="001B4525" w:rsidP="005D575D">
      <w:pPr>
        <w:jc w:val="center"/>
      </w:pPr>
      <w:r>
        <w:rPr>
          <w:noProof/>
        </w:rPr>
        <w:lastRenderedPageBreak/>
        <w:drawing>
          <wp:inline distT="0" distB="0" distL="0" distR="0" wp14:anchorId="0CC5AF39" wp14:editId="489F82FC">
            <wp:extent cx="7284038" cy="4153291"/>
            <wp:effectExtent l="0" t="0" r="0" b="0"/>
            <wp:docPr id="935202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88600" cy="4155892"/>
                    </a:xfrm>
                    <a:prstGeom prst="rect">
                      <a:avLst/>
                    </a:prstGeom>
                    <a:noFill/>
                  </pic:spPr>
                </pic:pic>
              </a:graphicData>
            </a:graphic>
          </wp:inline>
        </w:drawing>
      </w:r>
    </w:p>
    <w:p w14:paraId="44EF78FE" w14:textId="135A54BD" w:rsidR="003366D1" w:rsidRPr="003229ED" w:rsidRDefault="005D575D" w:rsidP="005D575D">
      <w:pPr>
        <w:spacing w:line="240" w:lineRule="auto"/>
        <w:rPr>
          <w:rFonts w:ascii="Arial" w:hAnsi="Arial" w:cs="Arial"/>
          <w:sz w:val="22"/>
          <w:szCs w:val="20"/>
        </w:rPr>
      </w:pPr>
      <w:r w:rsidRPr="003229ED">
        <w:rPr>
          <w:rFonts w:ascii="Arial" w:hAnsi="Arial" w:cs="Arial"/>
          <w:b/>
          <w:bCs/>
          <w:sz w:val="22"/>
          <w:szCs w:val="20"/>
        </w:rPr>
        <w:t>Fig. 4 Vertical thermal disparity and spatiotemporal top-floor penalty across residential archetypes.</w:t>
      </w:r>
      <w:r w:rsidRPr="003229ED">
        <w:rPr>
          <w:rFonts w:ascii="Arial" w:hAnsi="Arial" w:cs="Arial"/>
          <w:sz w:val="22"/>
          <w:szCs w:val="20"/>
        </w:rPr>
        <w:t xml:space="preserve"> </w:t>
      </w:r>
      <w:r w:rsidRPr="003229ED">
        <w:rPr>
          <w:rFonts w:ascii="Arial" w:hAnsi="Arial" w:cs="Arial"/>
          <w:b/>
          <w:bCs/>
          <w:sz w:val="22"/>
          <w:szCs w:val="20"/>
        </w:rPr>
        <w:t>a1–c1</w:t>
      </w:r>
      <w:r w:rsidRPr="003229ED">
        <w:rPr>
          <w:rFonts w:ascii="Arial" w:hAnsi="Arial" w:cs="Arial"/>
          <w:sz w:val="22"/>
          <w:szCs w:val="20"/>
        </w:rPr>
        <w:t>, Vertical profiles of projected annual sleep-period discomfort hours for high-rise (</w:t>
      </w:r>
      <w:r w:rsidRPr="003229ED">
        <w:rPr>
          <w:rFonts w:ascii="Arial" w:hAnsi="Arial" w:cs="Arial"/>
          <w:b/>
          <w:bCs/>
          <w:sz w:val="22"/>
          <w:szCs w:val="20"/>
        </w:rPr>
        <w:t>a1</w:t>
      </w:r>
      <w:r w:rsidRPr="003229ED">
        <w:rPr>
          <w:rFonts w:ascii="Arial" w:hAnsi="Arial" w:cs="Arial"/>
          <w:sz w:val="22"/>
          <w:szCs w:val="20"/>
        </w:rPr>
        <w:t>), mid-rise (</w:t>
      </w:r>
      <w:r w:rsidRPr="003229ED">
        <w:rPr>
          <w:rFonts w:ascii="Arial" w:hAnsi="Arial" w:cs="Arial"/>
          <w:b/>
          <w:bCs/>
          <w:sz w:val="22"/>
          <w:szCs w:val="20"/>
        </w:rPr>
        <w:t>b1</w:t>
      </w:r>
      <w:r w:rsidRPr="003229ED">
        <w:rPr>
          <w:rFonts w:ascii="Arial" w:hAnsi="Arial" w:cs="Arial"/>
          <w:sz w:val="22"/>
          <w:szCs w:val="20"/>
        </w:rPr>
        <w:t>), and low-rise (</w:t>
      </w:r>
      <w:r w:rsidRPr="003229ED">
        <w:rPr>
          <w:rFonts w:ascii="Arial" w:hAnsi="Arial" w:cs="Arial"/>
          <w:b/>
          <w:bCs/>
          <w:sz w:val="22"/>
          <w:szCs w:val="20"/>
        </w:rPr>
        <w:t>c1</w:t>
      </w:r>
      <w:r w:rsidRPr="003229ED">
        <w:rPr>
          <w:rFonts w:ascii="Arial" w:hAnsi="Arial" w:cs="Arial"/>
          <w:sz w:val="22"/>
          <w:szCs w:val="20"/>
        </w:rPr>
        <w:t xml:space="preserve">) </w:t>
      </w:r>
      <w:r w:rsidR="003229ED">
        <w:rPr>
          <w:rFonts w:ascii="Arial" w:hAnsi="Arial" w:cs="Arial" w:hint="eastAsia"/>
          <w:sz w:val="22"/>
          <w:szCs w:val="20"/>
        </w:rPr>
        <w:t xml:space="preserve">residential </w:t>
      </w:r>
      <w:r w:rsidRPr="003229ED">
        <w:rPr>
          <w:rFonts w:ascii="Arial" w:hAnsi="Arial" w:cs="Arial"/>
          <w:sz w:val="22"/>
          <w:szCs w:val="20"/>
        </w:rPr>
        <w:t xml:space="preserve">buildings. The curves demonstrate a highly asymmetric distribution with a violent spike at the uppermost levels, illustrating the pronounced top-floor penalty across baseline (2020) and future high-emission scenarios (SSP5-8.5 for 2040 and 2060). </w:t>
      </w:r>
      <w:r w:rsidRPr="003229ED">
        <w:rPr>
          <w:rFonts w:ascii="Arial" w:hAnsi="Arial" w:cs="Arial"/>
          <w:b/>
          <w:bCs/>
          <w:sz w:val="22"/>
          <w:szCs w:val="20"/>
        </w:rPr>
        <w:t>a2–c2</w:t>
      </w:r>
      <w:r w:rsidRPr="003229ED">
        <w:rPr>
          <w:rFonts w:ascii="Arial" w:hAnsi="Arial" w:cs="Arial"/>
          <w:sz w:val="22"/>
          <w:szCs w:val="20"/>
        </w:rPr>
        <w:t xml:space="preserve">, Diurnal evolution of thermal discomfort frequencies within the corresponding building types. Thick solid lines (red for top floors, blue for non-top floors) represent the annual average trajectories, while faded background lines capture daily fluctuations. Grey and light red shaded areas denote the typical unoccupied daytime periods </w:t>
      </w:r>
      <w:r w:rsidRPr="003229ED">
        <w:rPr>
          <w:rFonts w:ascii="Arial" w:hAnsi="Arial" w:cs="Arial"/>
          <w:sz w:val="22"/>
          <w:szCs w:val="20"/>
          <w:highlight w:val="yellow"/>
        </w:rPr>
        <w:t>(no one at home)</w:t>
      </w:r>
      <w:r w:rsidRPr="003229ED">
        <w:rPr>
          <w:rFonts w:ascii="Arial" w:hAnsi="Arial" w:cs="Arial"/>
          <w:sz w:val="22"/>
          <w:szCs w:val="20"/>
        </w:rPr>
        <w:t xml:space="preserve"> and critical restorative sleep periods, respectively. The distinct peak overlaps with the sleep window manifest a delayed heat release mechanism, which disproportionately exacerbates the nocturnal thermal burden for top-floor residents as climate warming intensifies.</w:t>
      </w:r>
    </w:p>
    <w:p w14:paraId="026E4EC1" w14:textId="77777777" w:rsidR="005D575D" w:rsidRDefault="005D575D" w:rsidP="003F4FB6">
      <w:pPr>
        <w:sectPr w:rsidR="005D575D" w:rsidSect="005D575D">
          <w:pgSz w:w="16838" w:h="11906" w:orient="landscape"/>
          <w:pgMar w:top="1080" w:right="1440" w:bottom="1080" w:left="1440" w:header="851" w:footer="454" w:gutter="0"/>
          <w:cols w:space="425"/>
          <w:docGrid w:type="lines" w:linePitch="326"/>
        </w:sectPr>
      </w:pPr>
    </w:p>
    <w:p w14:paraId="28B875CF" w14:textId="351218F5" w:rsidR="00255F16" w:rsidRPr="009747FC" w:rsidRDefault="00F70F29" w:rsidP="00F70F29">
      <w:pPr>
        <w:pStyle w:val="Heading1"/>
        <w:rPr>
          <w:rFonts w:ascii="Arial" w:hAnsi="Arial" w:cs="Arial"/>
        </w:rPr>
      </w:pPr>
      <w:r w:rsidRPr="009747FC">
        <w:rPr>
          <w:rFonts w:ascii="Arial" w:hAnsi="Arial" w:cs="Arial"/>
        </w:rPr>
        <w:lastRenderedPageBreak/>
        <w:t xml:space="preserve">Emerging thermal and demographic co-vulnerability </w:t>
      </w:r>
    </w:p>
    <w:p w14:paraId="1638C81C" w14:textId="52EFE946" w:rsidR="00D71BD6" w:rsidRDefault="00D71BD6" w:rsidP="00D71BD6">
      <w:pPr>
        <w:spacing w:afterLines="50" w:after="163"/>
        <w:ind w:firstLine="420"/>
        <w:rPr>
          <w:rFonts w:ascii="Arial" w:hAnsi="Arial" w:cs="Arial"/>
        </w:rPr>
      </w:pPr>
      <w:r w:rsidRPr="00D71BD6">
        <w:rPr>
          <w:rFonts w:ascii="Arial" w:hAnsi="Arial" w:cs="Arial"/>
        </w:rPr>
        <w:t>While structural and spatial dimensions dictate the physical magnitude of urban heat, the actual realization of climate risk is fundamentally governed by demographic susceptibility. Older adults are physiologically more vulnerable to nocturnal thermal stress, rendering the intersection of extreme indoor discomfort and an aging population a critical public health frontier. By superimposing highly-resolved building-level demographic profiles onto our spatiotemporal thermal simulations, we formulated a bivariate vulnerability matrix to track the shifting landscape of climate-health risk across six major megacities</w:t>
      </w:r>
      <w:r w:rsidR="005C161F">
        <w:rPr>
          <w:rFonts w:ascii="Arial" w:hAnsi="Arial" w:cs="Arial" w:hint="eastAsia"/>
        </w:rPr>
        <w:t xml:space="preserve"> in China</w:t>
      </w:r>
      <w:r w:rsidRPr="00D71BD6">
        <w:rPr>
          <w:rFonts w:ascii="Arial" w:hAnsi="Arial" w:cs="Arial"/>
        </w:rPr>
        <w:t>.</w:t>
      </w:r>
    </w:p>
    <w:p w14:paraId="474A1318" w14:textId="0F835F53" w:rsidR="00D71BD6" w:rsidRPr="00D71BD6" w:rsidRDefault="00D71BD6" w:rsidP="00D71BD6">
      <w:pPr>
        <w:spacing w:afterLines="50" w:after="163"/>
        <w:ind w:firstLine="420"/>
        <w:rPr>
          <w:rFonts w:ascii="Arial" w:hAnsi="Arial" w:cs="Arial"/>
        </w:rPr>
      </w:pPr>
      <w:r w:rsidRPr="00D71BD6">
        <w:rPr>
          <w:rFonts w:ascii="Arial" w:hAnsi="Arial" w:cs="Arial"/>
        </w:rPr>
        <w:t>Under the current baseline (2020), the systemic threat remains largely nascent. As illustrated in the bivariate spatial distributions (</w:t>
      </w:r>
      <w:r w:rsidRPr="00D71BD6">
        <w:rPr>
          <w:rFonts w:ascii="Arial" w:hAnsi="Arial" w:cs="Arial"/>
          <w:b/>
          <w:bCs/>
        </w:rPr>
        <w:t>Fig. 5a1–a6</w:t>
      </w:r>
      <w:r w:rsidRPr="00D71BD6">
        <w:rPr>
          <w:rFonts w:ascii="Arial" w:hAnsi="Arial" w:cs="Arial"/>
        </w:rPr>
        <w:t>), cityscapes are predominantly characterized by low-risk zones (light blue) or isolated single-stressor regions</w:t>
      </w:r>
      <w:r w:rsidR="00D67CB5">
        <w:rPr>
          <w:rFonts w:ascii="Arial" w:hAnsi="Arial" w:cs="Arial" w:hint="eastAsia"/>
        </w:rPr>
        <w:t xml:space="preserve">, </w:t>
      </w:r>
      <w:r w:rsidRPr="00D71BD6">
        <w:rPr>
          <w:rFonts w:ascii="Arial" w:hAnsi="Arial" w:cs="Arial"/>
        </w:rPr>
        <w:t xml:space="preserve">either housing aging demographics with low thermal stress (dark blue) or experiencing emerging thermal discomfort with younger populations (orange). The most critical </w:t>
      </w:r>
      <w:r w:rsidR="00D67CB5" w:rsidRPr="00D67CB5">
        <w:rPr>
          <w:rFonts w:ascii="Arial" w:hAnsi="Arial" w:cs="Arial"/>
        </w:rPr>
        <w:t>zones concurrently suffering from severe nighttime heat and high concentrations of older adults</w:t>
      </w:r>
      <w:r w:rsidR="00D67CB5" w:rsidRPr="00D71BD6">
        <w:rPr>
          <w:rFonts w:ascii="Arial" w:hAnsi="Arial" w:cs="Arial"/>
        </w:rPr>
        <w:t xml:space="preserve"> </w:t>
      </w:r>
      <w:r w:rsidRPr="00D71BD6">
        <w:rPr>
          <w:rFonts w:ascii="Arial" w:hAnsi="Arial" w:cs="Arial"/>
        </w:rPr>
        <w:t>(red zones)</w:t>
      </w:r>
      <w:r w:rsidR="00D67CB5">
        <w:rPr>
          <w:rFonts w:ascii="Arial" w:hAnsi="Arial" w:cs="Arial" w:hint="eastAsia"/>
        </w:rPr>
        <w:t xml:space="preserve"> </w:t>
      </w:r>
      <w:r w:rsidRPr="00D71BD6">
        <w:rPr>
          <w:rFonts w:ascii="Arial" w:hAnsi="Arial" w:cs="Arial"/>
        </w:rPr>
        <w:t>are statistically negligible, universally comprising less than 1% of the urban fabric across all evaluated cities.</w:t>
      </w:r>
    </w:p>
    <w:p w14:paraId="362C40A6" w14:textId="46387E43" w:rsidR="00D71BD6" w:rsidRPr="00D71BD6" w:rsidRDefault="00D71BD6" w:rsidP="00D67CB5">
      <w:pPr>
        <w:spacing w:afterLines="50" w:after="163"/>
        <w:ind w:firstLine="420"/>
        <w:rPr>
          <w:rFonts w:ascii="Arial" w:hAnsi="Arial" w:cs="Arial"/>
        </w:rPr>
      </w:pPr>
      <w:r w:rsidRPr="00D71BD6">
        <w:rPr>
          <w:rFonts w:ascii="Arial" w:hAnsi="Arial" w:cs="Arial"/>
        </w:rPr>
        <w:t xml:space="preserve">However, progressive climate forcing coupled with </w:t>
      </w:r>
      <w:r w:rsidR="00117B1A">
        <w:rPr>
          <w:rFonts w:ascii="Arial" w:hAnsi="Arial" w:cs="Arial"/>
        </w:rPr>
        <w:t>continuously</w:t>
      </w:r>
      <w:r w:rsidRPr="00D71BD6">
        <w:rPr>
          <w:rFonts w:ascii="Arial" w:hAnsi="Arial" w:cs="Arial"/>
        </w:rPr>
        <w:t xml:space="preserve"> demographic aging triggers a dramatic structural shift. Temporal projections under the SSP5-8.5 scenario unearth a rapid and terrifying spatial convergence of these two distinct stressors. Flow diagrams explicitly track this paradigm shift: the once-separated thermal and demographic vulnerabilities begin to inextricably intertwine by 2040 and metastasize by 2060.</w:t>
      </w:r>
      <w:r w:rsidR="00D67CB5">
        <w:rPr>
          <w:rFonts w:ascii="Arial" w:hAnsi="Arial" w:cs="Arial" w:hint="eastAsia"/>
        </w:rPr>
        <w:t xml:space="preserve"> </w:t>
      </w:r>
      <w:r w:rsidRPr="00D71BD6">
        <w:rPr>
          <w:rFonts w:ascii="Arial" w:hAnsi="Arial" w:cs="Arial"/>
        </w:rPr>
        <w:t xml:space="preserve">Most alarmingly, the emergence of the </w:t>
      </w:r>
      <w:r w:rsidR="00D67CB5">
        <w:rPr>
          <w:rFonts w:ascii="Arial" w:hAnsi="Arial" w:cs="Arial"/>
        </w:rPr>
        <w:t>“</w:t>
      </w:r>
      <w:r w:rsidRPr="00D71BD6">
        <w:rPr>
          <w:rFonts w:ascii="Arial" w:hAnsi="Arial" w:cs="Arial"/>
        </w:rPr>
        <w:t>double jeopardy</w:t>
      </w:r>
      <w:r w:rsidR="00D67CB5">
        <w:rPr>
          <w:rFonts w:ascii="Arial" w:hAnsi="Arial" w:cs="Arial"/>
        </w:rPr>
        <w:t>”</w:t>
      </w:r>
      <w:r w:rsidRPr="00D71BD6">
        <w:rPr>
          <w:rFonts w:ascii="Arial" w:hAnsi="Arial" w:cs="Arial"/>
        </w:rPr>
        <w:t xml:space="preserve"> hotspots ceases to be a marginal localized issue and evolves into a dominant urban feature. By 2060, over one-fifth of the communities in several megacities will be thrust into this extreme co-vulnerability quadrant. Shenzhen and Beijing exemplify this hyper-aggravation, where the proportion of dual-burden zones explodes from near zero to staggering heights of 25.7% and 20.6%, respectively. Shanghai (18.3%) and Wuhan (17.6%) exhibit similarly alarming trajectories. Spatially, these red hotspots heavily infiltrate established city centers and mature residential districts where aging-in-place is most prevalent. This impending transformation into aging</w:t>
      </w:r>
      <w:r w:rsidR="00D67CB5">
        <w:rPr>
          <w:rFonts w:ascii="Arial" w:hAnsi="Arial" w:cs="Arial" w:hint="eastAsia"/>
        </w:rPr>
        <w:t>-</w:t>
      </w:r>
      <w:r w:rsidRPr="00D71BD6">
        <w:rPr>
          <w:rFonts w:ascii="Arial" w:hAnsi="Arial" w:cs="Arial"/>
        </w:rPr>
        <w:t>and</w:t>
      </w:r>
      <w:r w:rsidR="00D67CB5">
        <w:rPr>
          <w:rFonts w:ascii="Arial" w:hAnsi="Arial" w:cs="Arial" w:hint="eastAsia"/>
        </w:rPr>
        <w:t>-</w:t>
      </w:r>
      <w:r w:rsidRPr="00D71BD6">
        <w:rPr>
          <w:rFonts w:ascii="Arial" w:hAnsi="Arial" w:cs="Arial"/>
        </w:rPr>
        <w:t>overheating demographic traps poses an unprecedented challenge to urban resilience, indicating that future adaptation strategies must pivot from purely engineering-driven cooling to demographic-aware, intersectional targeted interventions.</w:t>
      </w:r>
    </w:p>
    <w:p w14:paraId="132AA41D" w14:textId="1582066E" w:rsidR="00F70F29" w:rsidRPr="00D71BD6" w:rsidRDefault="00F70F29" w:rsidP="003F4FB6"/>
    <w:p w14:paraId="6E12A655" w14:textId="77777777" w:rsidR="003229ED" w:rsidRDefault="003229ED" w:rsidP="003F4FB6">
      <w:pPr>
        <w:sectPr w:rsidR="003229ED">
          <w:pgSz w:w="11906" w:h="16838"/>
          <w:pgMar w:top="1440" w:right="1080" w:bottom="1440" w:left="1080" w:header="851" w:footer="992" w:gutter="0"/>
          <w:cols w:space="425"/>
          <w:docGrid w:type="lines" w:linePitch="326"/>
        </w:sectPr>
      </w:pPr>
    </w:p>
    <w:p w14:paraId="392059D0" w14:textId="2BB6D948" w:rsidR="003229ED" w:rsidRDefault="005C161F" w:rsidP="00D71BD6">
      <w:pPr>
        <w:jc w:val="center"/>
      </w:pPr>
      <w:r>
        <w:rPr>
          <w:noProof/>
        </w:rPr>
        <w:lastRenderedPageBreak/>
        <w:drawing>
          <wp:inline distT="0" distB="0" distL="0" distR="0" wp14:anchorId="2B095104" wp14:editId="6783B50D">
            <wp:extent cx="8231514" cy="4053894"/>
            <wp:effectExtent l="0" t="0" r="0" b="3810"/>
            <wp:docPr id="21276045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255531" cy="4065722"/>
                    </a:xfrm>
                    <a:prstGeom prst="rect">
                      <a:avLst/>
                    </a:prstGeom>
                    <a:noFill/>
                  </pic:spPr>
                </pic:pic>
              </a:graphicData>
            </a:graphic>
          </wp:inline>
        </w:drawing>
      </w:r>
    </w:p>
    <w:p w14:paraId="26A52B13" w14:textId="054BBEE1" w:rsidR="003229ED" w:rsidRPr="005C161F" w:rsidRDefault="00D71BD6" w:rsidP="00D71BD6">
      <w:pPr>
        <w:spacing w:line="240" w:lineRule="auto"/>
        <w:rPr>
          <w:rFonts w:ascii="Arial" w:hAnsi="Arial" w:cs="Arial"/>
          <w:sz w:val="22"/>
          <w:szCs w:val="20"/>
        </w:rPr>
      </w:pPr>
      <w:r w:rsidRPr="005C161F">
        <w:rPr>
          <w:rFonts w:ascii="Arial" w:hAnsi="Arial" w:cs="Arial"/>
          <w:b/>
          <w:bCs/>
          <w:sz w:val="22"/>
          <w:szCs w:val="20"/>
        </w:rPr>
        <w:t>Fig. 5 Spatiotemporal evolution of the thermal-demographic co-vulnerability.</w:t>
      </w:r>
      <w:r w:rsidRPr="005C161F">
        <w:rPr>
          <w:rFonts w:ascii="Arial" w:hAnsi="Arial" w:cs="Arial"/>
          <w:sz w:val="22"/>
          <w:szCs w:val="20"/>
        </w:rPr>
        <w:t xml:space="preserve"> </w:t>
      </w:r>
      <w:r w:rsidRPr="005C161F">
        <w:rPr>
          <w:rFonts w:ascii="Arial" w:hAnsi="Arial" w:cs="Arial"/>
          <w:b/>
          <w:bCs/>
          <w:sz w:val="22"/>
          <w:szCs w:val="20"/>
        </w:rPr>
        <w:t>a1–a6</w:t>
      </w:r>
      <w:r w:rsidRPr="005C161F">
        <w:rPr>
          <w:rFonts w:ascii="Arial" w:hAnsi="Arial" w:cs="Arial"/>
          <w:sz w:val="22"/>
          <w:szCs w:val="20"/>
        </w:rPr>
        <w:t>, Bivariate 3D spatial projections tracking the intersection of sleep-period thermal discomfort and age-related vulnerability (elderly populations) across six major Chinese megacities from 2020 to 2060 under the SSP5-8.5 scenario. The bivariate color matrix categorizes urban grids into four distinct quadrants: light blue denotes low-risk baseline areas; dark blue represents zones with high aging populations but low thermal stress; orange designates emerging physical hotspots of thermal discomfort with less susceptible younger demographics; and red signifies the critical zones concurrently suffering from severe nighttime heat and high concentrations of older adults. The accompanying flow diagrams quantify the structural shifts among these quadrants over time. Notably, the red zones, which are statistically negligible in 2020, exhibit a profound spatial convergence and expansion by 2060, transforming over one-fifth of the communities in cities like Shenzhen (25.7%) and Beijing (20.6%) into extreme “aging and overheating” demographic traps, predominantly clustered within mature city centers.</w:t>
      </w:r>
    </w:p>
    <w:p w14:paraId="5C8406A9" w14:textId="77777777" w:rsidR="003229ED" w:rsidRDefault="003229ED" w:rsidP="003F4FB6">
      <w:pPr>
        <w:sectPr w:rsidR="003229ED" w:rsidSect="003229ED">
          <w:pgSz w:w="16838" w:h="11906" w:orient="landscape"/>
          <w:pgMar w:top="1080" w:right="1440" w:bottom="1080" w:left="1440" w:header="851" w:footer="510" w:gutter="0"/>
          <w:cols w:space="425"/>
          <w:docGrid w:type="lines" w:linePitch="326"/>
        </w:sectPr>
      </w:pPr>
    </w:p>
    <w:p w14:paraId="0E23826B" w14:textId="0BD7D922" w:rsidR="00B76BDA" w:rsidRPr="009747FC" w:rsidRDefault="00F70F29" w:rsidP="003F4FB6">
      <w:pPr>
        <w:pStyle w:val="Heading1"/>
        <w:rPr>
          <w:rFonts w:ascii="Arial" w:hAnsi="Arial" w:cs="Arial"/>
        </w:rPr>
      </w:pPr>
      <w:r w:rsidRPr="009747FC">
        <w:rPr>
          <w:rFonts w:ascii="Arial" w:hAnsi="Arial" w:cs="Arial"/>
        </w:rPr>
        <w:lastRenderedPageBreak/>
        <w:t>5</w:t>
      </w:r>
      <w:r w:rsidR="003F4FB6" w:rsidRPr="009747FC">
        <w:rPr>
          <w:rFonts w:ascii="Arial" w:hAnsi="Arial" w:cs="Arial"/>
        </w:rPr>
        <w:t xml:space="preserve"> </w:t>
      </w:r>
      <w:r w:rsidR="00B76BDA" w:rsidRPr="009747FC">
        <w:rPr>
          <w:rFonts w:ascii="Arial" w:hAnsi="Arial" w:cs="Arial"/>
        </w:rPr>
        <w:t>气候</w:t>
      </w:r>
      <w:r w:rsidR="00B76BDA" w:rsidRPr="009747FC">
        <w:rPr>
          <w:rFonts w:ascii="Arial" w:hAnsi="Arial" w:cs="Arial"/>
        </w:rPr>
        <w:t>-</w:t>
      </w:r>
      <w:r w:rsidR="00B76BDA" w:rsidRPr="009747FC">
        <w:rPr>
          <w:rFonts w:ascii="Arial" w:hAnsi="Arial" w:cs="Arial"/>
        </w:rPr>
        <w:t>能源</w:t>
      </w:r>
      <w:r w:rsidR="00B76BDA" w:rsidRPr="009747FC">
        <w:rPr>
          <w:rFonts w:ascii="Arial" w:hAnsi="Arial" w:cs="Arial"/>
        </w:rPr>
        <w:t>-</w:t>
      </w:r>
      <w:r w:rsidR="00B76BDA" w:rsidRPr="009747FC">
        <w:rPr>
          <w:rFonts w:ascii="Arial" w:hAnsi="Arial" w:cs="Arial"/>
        </w:rPr>
        <w:t>健康纽带（</w:t>
      </w:r>
      <w:r w:rsidR="00B76BDA" w:rsidRPr="009747FC">
        <w:rPr>
          <w:rFonts w:ascii="Arial" w:hAnsi="Arial" w:cs="Arial"/>
        </w:rPr>
        <w:t>The Nexus</w:t>
      </w:r>
      <w:r w:rsidR="00B76BDA" w:rsidRPr="009747FC">
        <w:rPr>
          <w:rFonts w:ascii="Arial" w:hAnsi="Arial" w:cs="Arial"/>
        </w:rPr>
        <w:t>）：应对机制与系统性代价</w:t>
      </w:r>
    </w:p>
    <w:p w14:paraId="3DFD8C84" w14:textId="57951A6C" w:rsidR="003F4FB6" w:rsidRDefault="00797C46" w:rsidP="00B76BDA">
      <w:r>
        <w:rPr>
          <w:rFonts w:hint="eastAsia"/>
        </w:rPr>
        <w:t>降低不舒适相应需要的空调能耗</w:t>
      </w:r>
    </w:p>
    <w:p w14:paraId="77653C58" w14:textId="70BF232D" w:rsidR="00366440" w:rsidRDefault="00B76BDA" w:rsidP="00366440">
      <w:r w:rsidRPr="00B76BDA">
        <w:t>Systemic cooling energy penalties and the energy-health trade-off under active mechanical adaptation</w:t>
      </w:r>
    </w:p>
    <w:p w14:paraId="23058CB3" w14:textId="77777777" w:rsidR="00AC7E68" w:rsidRDefault="00AC7E68" w:rsidP="00366440"/>
    <w:p w14:paraId="51E25A6A" w14:textId="77777777" w:rsidR="00F70F29" w:rsidRPr="00366440" w:rsidRDefault="00F70F29" w:rsidP="00366440"/>
    <w:p w14:paraId="0005391A" w14:textId="0E770D02" w:rsidR="009D30D3" w:rsidRPr="009747FC" w:rsidRDefault="00F70F29">
      <w:pPr>
        <w:pStyle w:val="Heading1"/>
        <w:rPr>
          <w:rFonts w:ascii="Arial" w:hAnsi="Arial" w:cs="Arial"/>
        </w:rPr>
      </w:pPr>
      <w:r w:rsidRPr="009747FC">
        <w:rPr>
          <w:rFonts w:ascii="Arial" w:hAnsi="Arial" w:cs="Arial"/>
        </w:rPr>
        <w:t>6</w:t>
      </w:r>
      <w:r w:rsidR="00477091" w:rsidRPr="009747FC">
        <w:rPr>
          <w:rFonts w:ascii="Arial" w:hAnsi="Arial" w:cs="Arial"/>
        </w:rPr>
        <w:t xml:space="preserve"> </w:t>
      </w:r>
      <w:commentRangeStart w:id="6"/>
      <w:r w:rsidR="00AA33CA" w:rsidRPr="009747FC">
        <w:rPr>
          <w:rFonts w:ascii="Arial" w:hAnsi="Arial" w:cs="Arial"/>
        </w:rPr>
        <w:t>Discussion</w:t>
      </w:r>
      <w:r w:rsidR="004D2A30" w:rsidRPr="009747FC">
        <w:rPr>
          <w:rFonts w:ascii="Arial" w:hAnsi="Arial" w:cs="Arial"/>
        </w:rPr>
        <w:t xml:space="preserve"> </w:t>
      </w:r>
      <w:commentRangeEnd w:id="6"/>
      <w:r w:rsidR="006726B1" w:rsidRPr="009747FC">
        <w:rPr>
          <w:rStyle w:val="CommentReference"/>
          <w:rFonts w:ascii="Arial" w:hAnsi="Arial" w:cs="Arial"/>
          <w:sz w:val="28"/>
          <w:szCs w:val="28"/>
        </w:rPr>
        <w:commentReference w:id="6"/>
      </w:r>
    </w:p>
    <w:p w14:paraId="1E8748CB" w14:textId="34D19667" w:rsidR="002119B6" w:rsidRPr="00541E75" w:rsidRDefault="002119B6" w:rsidP="00541E75">
      <w:pPr>
        <w:spacing w:afterLines="50" w:after="163"/>
        <w:ind w:firstLine="420"/>
        <w:rPr>
          <w:rFonts w:ascii="Arial" w:hAnsi="Arial" w:cs="Arial"/>
        </w:rPr>
      </w:pPr>
      <w:r w:rsidRPr="00541E75">
        <w:rPr>
          <w:rFonts w:ascii="Arial" w:hAnsi="Arial" w:cs="Arial"/>
        </w:rPr>
        <w:t xml:space="preserve">To move beyond empirical correlations that directly link ambient temperature to population-level health outcomes, </w:t>
      </w:r>
      <w:r w:rsidRPr="00541E75">
        <w:rPr>
          <w:rFonts w:ascii="Arial" w:hAnsi="Arial" w:cs="Arial" w:hint="eastAsia"/>
        </w:rPr>
        <w:t xml:space="preserve">here </w:t>
      </w:r>
      <w:r w:rsidRPr="00541E75">
        <w:rPr>
          <w:rFonts w:ascii="Arial" w:hAnsi="Arial" w:cs="Arial"/>
        </w:rPr>
        <w:t xml:space="preserve">we set out to bridge a critical yet underexplored gap between outdoor climate warming and human sleep health by explicitly accounting for the invisible buffering role of building envelopes and air conditioning systems. </w:t>
      </w:r>
      <w:r w:rsidRPr="00541E75">
        <w:rPr>
          <w:rFonts w:ascii="Arial" w:hAnsi="Arial" w:cs="Arial" w:hint="eastAsia"/>
        </w:rPr>
        <w:t>W</w:t>
      </w:r>
      <w:r w:rsidRPr="00541E75">
        <w:rPr>
          <w:rFonts w:ascii="Arial" w:hAnsi="Arial" w:cs="Arial"/>
        </w:rPr>
        <w:t xml:space="preserve">e developed a high-resolution, physics-based urban building energy </w:t>
      </w:r>
      <w:r w:rsidRPr="00541E75">
        <w:rPr>
          <w:rFonts w:ascii="Arial" w:hAnsi="Arial" w:cs="Arial" w:hint="eastAsia"/>
        </w:rPr>
        <w:t xml:space="preserve">and thermal comfort </w:t>
      </w:r>
      <w:r w:rsidRPr="00541E75">
        <w:rPr>
          <w:rFonts w:ascii="Arial" w:hAnsi="Arial" w:cs="Arial"/>
        </w:rPr>
        <w:t>model</w:t>
      </w:r>
      <w:r w:rsidRPr="00541E75">
        <w:rPr>
          <w:rFonts w:ascii="Arial" w:hAnsi="Arial" w:cs="Arial" w:hint="eastAsia"/>
        </w:rPr>
        <w:t xml:space="preserve">, named </w:t>
      </w:r>
      <w:r w:rsidRPr="00541E75">
        <w:rPr>
          <w:rFonts w:ascii="Arial" w:hAnsi="Arial" w:cs="Arial"/>
        </w:rPr>
        <w:t>the Building Energy Sand Table (BEST)</w:t>
      </w:r>
      <w:r w:rsidRPr="00541E75">
        <w:rPr>
          <w:rFonts w:ascii="Arial" w:hAnsi="Arial" w:cs="Arial" w:hint="eastAsia"/>
        </w:rPr>
        <w:t xml:space="preserve"> </w:t>
      </w:r>
      <w:r w:rsidRPr="00541E75">
        <w:rPr>
          <w:rFonts w:ascii="Arial" w:hAnsi="Arial" w:cs="Arial"/>
        </w:rPr>
        <w:t xml:space="preserve">and applied it to over </w:t>
      </w:r>
      <w:r w:rsidRPr="00541E75">
        <w:rPr>
          <w:rFonts w:ascii="Arial" w:hAnsi="Arial" w:cs="Arial" w:hint="eastAsia"/>
        </w:rPr>
        <w:t>2</w:t>
      </w:r>
      <w:r w:rsidRPr="00541E75">
        <w:rPr>
          <w:rFonts w:ascii="Arial" w:hAnsi="Arial" w:cs="Arial"/>
        </w:rPr>
        <w:t xml:space="preserve"> million individual buildings across </w:t>
      </w:r>
      <w:r w:rsidRPr="00541E75">
        <w:rPr>
          <w:rFonts w:ascii="Arial" w:hAnsi="Arial" w:cs="Arial" w:hint="eastAsia"/>
        </w:rPr>
        <w:t>6</w:t>
      </w:r>
      <w:r w:rsidRPr="00541E75">
        <w:rPr>
          <w:rFonts w:ascii="Arial" w:hAnsi="Arial" w:cs="Arial"/>
        </w:rPr>
        <w:t xml:space="preserve"> </w:t>
      </w:r>
      <w:r w:rsidRPr="00541E75">
        <w:rPr>
          <w:rFonts w:ascii="Arial" w:hAnsi="Arial" w:cs="Arial"/>
        </w:rPr>
        <w:t>representative</w:t>
      </w:r>
      <w:r w:rsidRPr="00541E75">
        <w:rPr>
          <w:rFonts w:ascii="Arial" w:hAnsi="Arial" w:cs="Arial" w:hint="eastAsia"/>
        </w:rPr>
        <w:t xml:space="preserve"> </w:t>
      </w:r>
      <w:r w:rsidRPr="00541E75">
        <w:rPr>
          <w:rFonts w:ascii="Arial" w:hAnsi="Arial" w:cs="Arial"/>
        </w:rPr>
        <w:t>Chinese megacities</w:t>
      </w:r>
      <w:r w:rsidRPr="00541E75">
        <w:rPr>
          <w:rFonts w:ascii="Arial" w:hAnsi="Arial" w:cs="Arial" w:hint="eastAsia"/>
        </w:rPr>
        <w:t xml:space="preserve"> across diverse climate gradient</w:t>
      </w:r>
      <w:r w:rsidRPr="00541E75">
        <w:rPr>
          <w:rFonts w:ascii="Arial" w:hAnsi="Arial" w:cs="Arial"/>
        </w:rPr>
        <w:t xml:space="preserve">. By simulating hourly indoor thermal environments under </w:t>
      </w:r>
      <w:r w:rsidRPr="00541E75">
        <w:rPr>
          <w:rFonts w:ascii="Arial" w:hAnsi="Arial" w:cs="Arial" w:hint="eastAsia"/>
        </w:rPr>
        <w:t xml:space="preserve">baseline (2020) and </w:t>
      </w:r>
      <w:r w:rsidRPr="00541E75">
        <w:rPr>
          <w:rFonts w:ascii="Arial" w:hAnsi="Arial" w:cs="Arial"/>
        </w:rPr>
        <w:t>three future climate scenarios (SSP1</w:t>
      </w:r>
      <w:r w:rsidRPr="00541E75">
        <w:rPr>
          <w:rFonts w:ascii="Arial" w:hAnsi="Arial" w:cs="Arial"/>
        </w:rPr>
        <w:noBreakHyphen/>
        <w:t>2.6, SSP2</w:t>
      </w:r>
      <w:r w:rsidRPr="00541E75">
        <w:rPr>
          <w:rFonts w:ascii="Arial" w:hAnsi="Arial" w:cs="Arial"/>
        </w:rPr>
        <w:noBreakHyphen/>
        <w:t>4.5, SSP5</w:t>
      </w:r>
      <w:r w:rsidRPr="00541E75">
        <w:rPr>
          <w:rFonts w:ascii="Arial" w:hAnsi="Arial" w:cs="Arial"/>
        </w:rPr>
        <w:noBreakHyphen/>
        <w:t>8.5) and validating the results against geolocated social media complaints of heat</w:t>
      </w:r>
      <w:r w:rsidRPr="00541E75">
        <w:rPr>
          <w:rFonts w:ascii="Arial" w:hAnsi="Arial" w:cs="Arial"/>
        </w:rPr>
        <w:noBreakHyphen/>
        <w:t>induced insomnia, we established a robust, transferable analytic engine that resolves the coupled dynamics of climate, building physics, human discomfort, and energy demand at an unprecedented building</w:t>
      </w:r>
      <w:r w:rsidRPr="00541E75">
        <w:rPr>
          <w:rFonts w:ascii="Arial" w:hAnsi="Arial" w:cs="Arial"/>
        </w:rPr>
        <w:noBreakHyphen/>
        <w:t>by</w:t>
      </w:r>
      <w:r w:rsidRPr="00541E75">
        <w:rPr>
          <w:rFonts w:ascii="Arial" w:hAnsi="Arial" w:cs="Arial"/>
        </w:rPr>
        <w:noBreakHyphen/>
        <w:t>building, floor</w:t>
      </w:r>
      <w:r w:rsidRPr="00541E75">
        <w:rPr>
          <w:rFonts w:ascii="Arial" w:hAnsi="Arial" w:cs="Arial"/>
        </w:rPr>
        <w:noBreakHyphen/>
        <w:t>by</w:t>
      </w:r>
      <w:r w:rsidRPr="00541E75">
        <w:rPr>
          <w:rFonts w:ascii="Arial" w:hAnsi="Arial" w:cs="Arial"/>
        </w:rPr>
        <w:noBreakHyphen/>
        <w:t>floor, and hour</w:t>
      </w:r>
      <w:r w:rsidRPr="00541E75">
        <w:rPr>
          <w:rFonts w:ascii="Arial" w:hAnsi="Arial" w:cs="Arial"/>
        </w:rPr>
        <w:noBreakHyphen/>
        <w:t>by</w:t>
      </w:r>
      <w:r w:rsidRPr="00541E75">
        <w:rPr>
          <w:rFonts w:ascii="Arial" w:hAnsi="Arial" w:cs="Arial"/>
        </w:rPr>
        <w:noBreakHyphen/>
        <w:t>hour granularity.</w:t>
      </w:r>
    </w:p>
    <w:p w14:paraId="42EA0C37" w14:textId="4C1D0680" w:rsidR="00541E75" w:rsidRDefault="00541E75" w:rsidP="00541E75">
      <w:pPr>
        <w:spacing w:afterLines="50" w:after="163"/>
        <w:ind w:firstLine="420"/>
        <w:rPr>
          <w:rFonts w:ascii="Arial" w:hAnsi="Arial" w:cs="Arial" w:hint="eastAsia"/>
        </w:rPr>
      </w:pPr>
      <w:r w:rsidRPr="00541E75">
        <w:rPr>
          <w:rFonts w:ascii="Arial" w:hAnsi="Arial" w:cs="Arial"/>
        </w:rPr>
        <w:t xml:space="preserve">Our findings reveal </w:t>
      </w:r>
      <w:r>
        <w:rPr>
          <w:rFonts w:ascii="Arial" w:hAnsi="Arial" w:cs="Arial" w:hint="eastAsia"/>
        </w:rPr>
        <w:t>four</w:t>
      </w:r>
      <w:r w:rsidRPr="00541E75">
        <w:rPr>
          <w:rFonts w:ascii="Arial" w:hAnsi="Arial" w:cs="Arial"/>
        </w:rPr>
        <w:t xml:space="preserve"> previously overlooked dimensions of climate vulnerability. </w:t>
      </w:r>
      <w:r>
        <w:rPr>
          <w:rFonts w:ascii="Arial" w:hAnsi="Arial" w:cs="Arial" w:hint="eastAsia"/>
        </w:rPr>
        <w:t>我觉得第一点应该说</w:t>
      </w:r>
      <w:r>
        <w:rPr>
          <w:rFonts w:ascii="Arial" w:hAnsi="Arial" w:cs="Arial" w:hint="eastAsia"/>
        </w:rPr>
        <w:t>baseline</w:t>
      </w:r>
      <w:r>
        <w:rPr>
          <w:rFonts w:ascii="Arial" w:hAnsi="Arial" w:cs="Arial" w:hint="eastAsia"/>
        </w:rPr>
        <w:t>睡眠影响小时，以及气候变暖会加剧到什么程度。然后才是你总结的三个建议</w:t>
      </w:r>
    </w:p>
    <w:p w14:paraId="547158B3" w14:textId="48BC68C5" w:rsidR="00541E75" w:rsidRPr="00541E75" w:rsidRDefault="00541E75" w:rsidP="00541E75">
      <w:pPr>
        <w:spacing w:afterLines="50" w:after="163"/>
        <w:ind w:firstLine="420"/>
        <w:rPr>
          <w:rFonts w:ascii="Arial" w:hAnsi="Arial" w:cs="Arial" w:hint="eastAsia"/>
        </w:rPr>
      </w:pPr>
      <w:r w:rsidRPr="00541E75">
        <w:rPr>
          <w:rFonts w:ascii="Arial" w:hAnsi="Arial" w:cs="Arial"/>
        </w:rPr>
        <w:t>First, the “invisible building buffer” creates substantial spatial heterogeneity in thermal resilience: cities with similar outdoor climates (e.g., Guangzhou and Shenzhen) can exhibit markedly different indoor discomfort patterns and sleep disruption, owing to differences in building morphology, construction age, and urban form. Second, thermal inequality is not only horizontal but also vertical: top</w:t>
      </w:r>
      <w:r w:rsidRPr="00541E75">
        <w:rPr>
          <w:rFonts w:ascii="Arial" w:hAnsi="Arial" w:cs="Arial"/>
        </w:rPr>
        <w:noBreakHyphen/>
        <w:t>floor residents suffer a systematic “top</w:t>
      </w:r>
      <w:r w:rsidRPr="00541E75">
        <w:rPr>
          <w:rFonts w:ascii="Arial" w:hAnsi="Arial" w:cs="Arial"/>
        </w:rPr>
        <w:noBreakHyphen/>
        <w:t>floor penalty”, with nighttime discomfort hours being up to 50% higher than lower floors even within the same building, and this vertical disparity widens under more severe warming scenarios. Third, by overlaying demographic aging projections onto the simulated thermal maps, we identify an emerging “dual</w:t>
      </w:r>
      <w:r w:rsidRPr="00541E75">
        <w:rPr>
          <w:rFonts w:ascii="Arial" w:hAnsi="Arial" w:cs="Arial"/>
        </w:rPr>
        <w:noBreakHyphen/>
        <w:t>vulnerability” hotspot—by 2060, more than 20% of the elderly urban population will experience severe heat</w:t>
      </w:r>
      <w:r w:rsidRPr="00541E75">
        <w:rPr>
          <w:rFonts w:ascii="Arial" w:hAnsi="Arial" w:cs="Arial"/>
        </w:rPr>
        <w:noBreakHyphen/>
        <w:t>induced sleep loss, a co</w:t>
      </w:r>
      <w:r w:rsidRPr="00541E75">
        <w:rPr>
          <w:rFonts w:ascii="Arial" w:hAnsi="Arial" w:cs="Arial"/>
        </w:rPr>
        <w:noBreakHyphen/>
        <w:t xml:space="preserve">exposure that has been </w:t>
      </w:r>
      <w:r w:rsidRPr="00541E75">
        <w:rPr>
          <w:rFonts w:ascii="Arial" w:hAnsi="Arial" w:cs="Arial"/>
        </w:rPr>
        <w:lastRenderedPageBreak/>
        <w:t>largely ignored in conventional climate vulnerability assessments. Collectively, these results demonstrate that relying solely on outdoor temperature or aggregated city</w:t>
      </w:r>
      <w:r w:rsidRPr="00541E75">
        <w:rPr>
          <w:rFonts w:ascii="Arial" w:hAnsi="Arial" w:cs="Arial"/>
        </w:rPr>
        <w:noBreakHyphen/>
        <w:t>level averages drastically underestimates the true burden of warming on sleep health and masks profound inequities embedded in the built environment.</w:t>
      </w:r>
      <w:r>
        <w:rPr>
          <w:rFonts w:ascii="Arial" w:hAnsi="Arial" w:cs="Arial" w:hint="eastAsia"/>
        </w:rPr>
        <w:t xml:space="preserve"> </w:t>
      </w:r>
      <w:r>
        <w:rPr>
          <w:rFonts w:ascii="Arial" w:hAnsi="Arial" w:cs="Arial" w:hint="eastAsia"/>
        </w:rPr>
        <w:t>这里还可以补一句，形成一个</w:t>
      </w:r>
      <w:r>
        <w:rPr>
          <w:rFonts w:ascii="Arial" w:hAnsi="Arial" w:cs="Arial" w:hint="eastAsia"/>
        </w:rPr>
        <w:t>energy-comfort trade-off</w:t>
      </w:r>
      <w:r>
        <w:rPr>
          <w:rFonts w:ascii="Arial" w:hAnsi="Arial" w:cs="Arial" w:hint="eastAsia"/>
        </w:rPr>
        <w:t>，如果加装</w:t>
      </w:r>
      <w:r>
        <w:rPr>
          <w:rFonts w:ascii="Arial" w:hAnsi="Arial" w:cs="Arial" w:hint="eastAsia"/>
        </w:rPr>
        <w:t>XX</w:t>
      </w:r>
      <w:r>
        <w:rPr>
          <w:rFonts w:ascii="Arial" w:hAnsi="Arial" w:cs="Arial" w:hint="eastAsia"/>
        </w:rPr>
        <w:t>空调能够缓解</w:t>
      </w:r>
      <w:r>
        <w:rPr>
          <w:rFonts w:ascii="Arial" w:hAnsi="Arial" w:cs="Arial" w:hint="eastAsia"/>
        </w:rPr>
        <w:t>XX</w:t>
      </w:r>
      <w:r>
        <w:rPr>
          <w:rFonts w:ascii="Arial" w:hAnsi="Arial" w:cs="Arial" w:hint="eastAsia"/>
        </w:rPr>
        <w:t>，但会导致</w:t>
      </w:r>
      <w:r>
        <w:rPr>
          <w:rFonts w:ascii="Arial" w:hAnsi="Arial" w:cs="Arial" w:hint="eastAsia"/>
        </w:rPr>
        <w:t>XXX</w:t>
      </w:r>
      <w:r>
        <w:rPr>
          <w:rFonts w:ascii="Arial" w:hAnsi="Arial" w:cs="Arial" w:hint="eastAsia"/>
        </w:rPr>
        <w:t>（这部分还没做完，可以留空）。</w:t>
      </w:r>
    </w:p>
    <w:p w14:paraId="53A8F963" w14:textId="02973C8A" w:rsidR="000216A8" w:rsidRPr="00541E75" w:rsidRDefault="00541E75" w:rsidP="00541E75">
      <w:pPr>
        <w:spacing w:afterLines="50" w:after="163"/>
        <w:ind w:firstLine="420"/>
        <w:rPr>
          <w:rFonts w:ascii="Arial" w:hAnsi="Arial" w:cs="Arial"/>
        </w:rPr>
      </w:pPr>
      <w:r>
        <w:rPr>
          <w:rFonts w:ascii="Arial" w:hAnsi="Arial" w:cs="Arial" w:hint="eastAsia"/>
        </w:rPr>
        <w:t xml:space="preserve">We </w:t>
      </w:r>
      <w:r w:rsidRPr="00541E75">
        <w:rPr>
          <w:rFonts w:ascii="Arial" w:hAnsi="Arial" w:cs="Arial"/>
        </w:rPr>
        <w:t>acknowledged</w:t>
      </w:r>
      <w:r w:rsidRPr="00541E75">
        <w:rPr>
          <w:rFonts w:ascii="Arial" w:hAnsi="Arial" w:cs="Arial"/>
        </w:rPr>
        <w:t xml:space="preserve"> </w:t>
      </w:r>
      <w:r>
        <w:rPr>
          <w:rFonts w:ascii="Arial" w:hAnsi="Arial" w:cs="Arial" w:hint="eastAsia"/>
        </w:rPr>
        <w:t>s</w:t>
      </w:r>
      <w:r w:rsidRPr="00541E75">
        <w:rPr>
          <w:rFonts w:ascii="Arial" w:hAnsi="Arial" w:cs="Arial"/>
        </w:rPr>
        <w:t xml:space="preserve">everal </w:t>
      </w:r>
      <w:r>
        <w:rPr>
          <w:rFonts w:ascii="Arial" w:hAnsi="Arial" w:cs="Arial"/>
        </w:rPr>
        <w:t>assumptions</w:t>
      </w:r>
      <w:r w:rsidRPr="00541E75">
        <w:rPr>
          <w:rFonts w:ascii="Arial" w:hAnsi="Arial" w:cs="Arial"/>
        </w:rPr>
        <w:t>. Our validation relies on geotagged social media posts (Weibo) reporting heat</w:t>
      </w:r>
      <w:r w:rsidRPr="00541E75">
        <w:rPr>
          <w:rFonts w:ascii="Arial" w:hAnsi="Arial" w:cs="Arial"/>
        </w:rPr>
        <w:noBreakHyphen/>
        <w:t xml:space="preserve">related sleep disturbance. </w:t>
      </w:r>
      <w:r>
        <w:rPr>
          <w:rFonts w:ascii="Arial" w:hAnsi="Arial" w:cs="Arial" w:hint="eastAsia"/>
        </w:rPr>
        <w:t>As</w:t>
      </w:r>
      <w:r w:rsidRPr="00541E75">
        <w:rPr>
          <w:rFonts w:ascii="Arial" w:hAnsi="Arial" w:cs="Arial"/>
        </w:rPr>
        <w:t xml:space="preserve"> social media users disproportionately represent younger, more active, and digitally connected demographics, while the most vulnerable groups</w:t>
      </w:r>
      <w:r>
        <w:rPr>
          <w:rFonts w:ascii="Arial" w:hAnsi="Arial" w:cs="Arial" w:hint="eastAsia"/>
        </w:rPr>
        <w:t xml:space="preserve">, i.e., </w:t>
      </w:r>
      <w:r w:rsidRPr="00541E75">
        <w:rPr>
          <w:rFonts w:ascii="Arial" w:hAnsi="Arial" w:cs="Arial"/>
        </w:rPr>
        <w:t>the elderly, low</w:t>
      </w:r>
      <w:r w:rsidRPr="00541E75">
        <w:rPr>
          <w:rFonts w:ascii="Arial" w:hAnsi="Arial" w:cs="Arial"/>
        </w:rPr>
        <w:noBreakHyphen/>
        <w:t>income residents, and those with limited digital literacy</w:t>
      </w:r>
      <w:r>
        <w:rPr>
          <w:rFonts w:ascii="Arial" w:hAnsi="Arial" w:cs="Arial" w:hint="eastAsia"/>
        </w:rPr>
        <w:t xml:space="preserve">, </w:t>
      </w:r>
      <w:r w:rsidRPr="00541E75">
        <w:rPr>
          <w:rFonts w:ascii="Arial" w:hAnsi="Arial" w:cs="Arial"/>
        </w:rPr>
        <w:t>are systematically underrepresented in these data. Therefore, our spatial validation only confirms that the simulated indoor thermal patterns are consistent with the geographic distribution of</w:t>
      </w:r>
      <w:r>
        <w:rPr>
          <w:rFonts w:ascii="Arial" w:hAnsi="Arial" w:cs="Arial" w:hint="eastAsia"/>
        </w:rPr>
        <w:t xml:space="preserve"> </w:t>
      </w:r>
      <w:r w:rsidRPr="00541E75">
        <w:rPr>
          <w:rFonts w:ascii="Arial" w:hAnsi="Arial" w:cs="Arial"/>
        </w:rPr>
        <w:t xml:space="preserve">observable complaints. </w:t>
      </w:r>
      <w:r>
        <w:rPr>
          <w:rFonts w:ascii="Arial" w:hAnsi="Arial" w:cs="Arial" w:hint="eastAsia"/>
        </w:rPr>
        <w:t>More i</w:t>
      </w:r>
      <w:r w:rsidRPr="00541E75">
        <w:rPr>
          <w:rFonts w:ascii="Arial" w:hAnsi="Arial" w:cs="Arial"/>
        </w:rPr>
        <w:t>mportantly, this bias implies that the</w:t>
      </w:r>
      <w:r>
        <w:rPr>
          <w:rFonts w:ascii="Arial" w:hAnsi="Arial" w:cs="Arial" w:hint="eastAsia"/>
        </w:rPr>
        <w:t xml:space="preserve"> </w:t>
      </w:r>
      <w:r w:rsidRPr="00541E75">
        <w:rPr>
          <w:rFonts w:ascii="Arial" w:hAnsi="Arial" w:cs="Arial"/>
        </w:rPr>
        <w:t>actual</w:t>
      </w:r>
      <w:r>
        <w:rPr>
          <w:rFonts w:ascii="Arial" w:hAnsi="Arial" w:cs="Arial" w:hint="eastAsia"/>
        </w:rPr>
        <w:t xml:space="preserve"> </w:t>
      </w:r>
      <w:r w:rsidRPr="00541E75">
        <w:rPr>
          <w:rFonts w:ascii="Arial" w:hAnsi="Arial" w:cs="Arial"/>
        </w:rPr>
        <w:t xml:space="preserve">thermal exposure and sleep risk for the silent, fragile population </w:t>
      </w:r>
      <w:r>
        <w:rPr>
          <w:rFonts w:ascii="Arial" w:hAnsi="Arial" w:cs="Arial" w:hint="eastAsia"/>
        </w:rPr>
        <w:t>could</w:t>
      </w:r>
      <w:r w:rsidRPr="00541E75">
        <w:rPr>
          <w:rFonts w:ascii="Arial" w:hAnsi="Arial" w:cs="Arial"/>
        </w:rPr>
        <w:t xml:space="preserve"> be even higher than what our model–observation agreement suggests. Rather than weakening our conclusions, this under</w:t>
      </w:r>
      <w:r w:rsidRPr="00541E75">
        <w:rPr>
          <w:rFonts w:ascii="Arial" w:hAnsi="Arial" w:cs="Arial"/>
        </w:rPr>
        <w:noBreakHyphen/>
        <w:t>reporting bias reinforces the policy urgency</w:t>
      </w:r>
      <w:r>
        <w:rPr>
          <w:rFonts w:ascii="Arial" w:hAnsi="Arial" w:cs="Arial" w:hint="eastAsia"/>
        </w:rPr>
        <w:t xml:space="preserve"> for those</w:t>
      </w:r>
      <w:r w:rsidRPr="00541E75">
        <w:rPr>
          <w:rFonts w:ascii="Arial" w:hAnsi="Arial" w:cs="Arial"/>
        </w:rPr>
        <w:t xml:space="preserve"> unexpressed </w:t>
      </w:r>
      <w:r>
        <w:rPr>
          <w:rFonts w:ascii="Arial" w:hAnsi="Arial" w:cs="Arial" w:hint="eastAsia"/>
        </w:rPr>
        <w:t xml:space="preserve">but </w:t>
      </w:r>
      <w:r w:rsidRPr="00541E75">
        <w:rPr>
          <w:rFonts w:ascii="Arial" w:hAnsi="Arial" w:cs="Arial"/>
        </w:rPr>
        <w:t>suffering hidden</w:t>
      </w:r>
      <w:r>
        <w:rPr>
          <w:rFonts w:ascii="Arial" w:hAnsi="Arial" w:cs="Arial" w:hint="eastAsia"/>
        </w:rPr>
        <w:t xml:space="preserve"> risks</w:t>
      </w:r>
      <w:r w:rsidRPr="00541E75">
        <w:rPr>
          <w:rFonts w:ascii="Arial" w:hAnsi="Arial" w:cs="Arial"/>
        </w:rPr>
        <w:t>. Additionally, our current analysis does not incorporate adaptive behaviors (e.g., nocturnal window opening, fan use) or the age</w:t>
      </w:r>
      <w:r w:rsidRPr="00541E75">
        <w:rPr>
          <w:rFonts w:ascii="Arial" w:hAnsi="Arial" w:cs="Arial"/>
        </w:rPr>
        <w:noBreakHyphen/>
        <w:t>dependent physiological sensitivity to thermal stress—both of which are promising directions for subsequent investigations.</w:t>
      </w:r>
    </w:p>
    <w:p w14:paraId="4B8070F5" w14:textId="7BBAB205" w:rsidR="000216A8" w:rsidRPr="00541E75" w:rsidRDefault="005E3BE4" w:rsidP="00541E75">
      <w:pPr>
        <w:spacing w:afterLines="50" w:after="163"/>
        <w:ind w:firstLine="420"/>
        <w:rPr>
          <w:rFonts w:ascii="Arial" w:hAnsi="Arial" w:cs="Arial"/>
        </w:rPr>
      </w:pPr>
      <w:r w:rsidRPr="00541E75">
        <w:rPr>
          <w:rFonts w:ascii="Arial" w:hAnsi="Arial" w:cs="Arial" w:hint="eastAsia"/>
        </w:rPr>
        <w:t>Overall, t</w:t>
      </w:r>
      <w:r w:rsidR="000216A8" w:rsidRPr="00541E75">
        <w:rPr>
          <w:rFonts w:ascii="Arial" w:hAnsi="Arial" w:cs="Arial"/>
        </w:rPr>
        <w:t xml:space="preserve">his </w:t>
      </w:r>
      <w:r w:rsidR="000216A8" w:rsidRPr="00541E75">
        <w:rPr>
          <w:rFonts w:ascii="Arial" w:hAnsi="Arial" w:cs="Arial" w:hint="eastAsia"/>
        </w:rPr>
        <w:t>study</w:t>
      </w:r>
      <w:r w:rsidR="000216A8" w:rsidRPr="00541E75">
        <w:rPr>
          <w:rFonts w:ascii="Arial" w:hAnsi="Arial" w:cs="Arial"/>
        </w:rPr>
        <w:t xml:space="preserve"> transcends conventional climate-health studies by merging building physics</w:t>
      </w:r>
      <w:r w:rsidR="000216A8" w:rsidRPr="00541E75">
        <w:rPr>
          <w:rFonts w:ascii="Arial" w:hAnsi="Arial" w:cs="Arial" w:hint="eastAsia"/>
        </w:rPr>
        <w:t>, energy modeling</w:t>
      </w:r>
      <w:r w:rsidR="000216A8" w:rsidRPr="00541E75">
        <w:rPr>
          <w:rFonts w:ascii="Arial" w:hAnsi="Arial" w:cs="Arial"/>
        </w:rPr>
        <w:t xml:space="preserve"> with </w:t>
      </w:r>
      <w:r w:rsidRPr="00541E75">
        <w:rPr>
          <w:rFonts w:ascii="Arial" w:hAnsi="Arial" w:cs="Arial" w:hint="eastAsia"/>
        </w:rPr>
        <w:t xml:space="preserve">public health under </w:t>
      </w:r>
      <w:r w:rsidR="000216A8" w:rsidRPr="00541E75">
        <w:rPr>
          <w:rFonts w:ascii="Arial" w:hAnsi="Arial" w:cs="Arial"/>
        </w:rPr>
        <w:t xml:space="preserve">global climate projections, offering a blueprint </w:t>
      </w:r>
      <w:r w:rsidR="005C17BE" w:rsidRPr="00541E75">
        <w:rPr>
          <w:rFonts w:ascii="Arial" w:hAnsi="Arial" w:cs="Arial" w:hint="eastAsia"/>
        </w:rPr>
        <w:t>for cities</w:t>
      </w:r>
      <w:r w:rsidR="000216A8" w:rsidRPr="00541E75">
        <w:rPr>
          <w:rFonts w:ascii="Arial" w:hAnsi="Arial" w:cs="Arial"/>
        </w:rPr>
        <w:t xml:space="preserve"> to prioritize </w:t>
      </w:r>
      <w:r w:rsidR="005C17BE" w:rsidRPr="00541E75">
        <w:rPr>
          <w:rFonts w:ascii="Arial" w:hAnsi="Arial" w:cs="Arial" w:hint="eastAsia"/>
        </w:rPr>
        <w:t xml:space="preserve">where, when and how to prevent </w:t>
      </w:r>
      <w:r w:rsidR="000216A8" w:rsidRPr="00541E75">
        <w:rPr>
          <w:rFonts w:ascii="Arial" w:hAnsi="Arial" w:cs="Arial" w:hint="eastAsia"/>
        </w:rPr>
        <w:t>the warming-induced sleep problems</w:t>
      </w:r>
      <w:r w:rsidR="000216A8" w:rsidRPr="00541E75">
        <w:rPr>
          <w:rFonts w:ascii="Arial" w:hAnsi="Arial" w:cs="Arial"/>
        </w:rPr>
        <w:t xml:space="preserve">. </w:t>
      </w:r>
      <w:r w:rsidR="000216A8" w:rsidRPr="00541E75">
        <w:rPr>
          <w:rFonts w:ascii="Arial" w:hAnsi="Arial" w:cs="Arial" w:hint="eastAsia"/>
        </w:rPr>
        <w:t>The m</w:t>
      </w:r>
      <w:r w:rsidR="000216A8" w:rsidRPr="00541E75">
        <w:rPr>
          <w:rFonts w:ascii="Arial" w:hAnsi="Arial" w:cs="Arial"/>
        </w:rPr>
        <w:t xml:space="preserve">ethodology </w:t>
      </w:r>
      <w:r w:rsidR="000216A8" w:rsidRPr="00541E75">
        <w:rPr>
          <w:rFonts w:ascii="Arial" w:hAnsi="Arial" w:cs="Arial" w:hint="eastAsia"/>
        </w:rPr>
        <w:t xml:space="preserve">is </w:t>
      </w:r>
      <w:r w:rsidR="005C17BE" w:rsidRPr="00541E75">
        <w:rPr>
          <w:rFonts w:ascii="Arial" w:hAnsi="Arial" w:cs="Arial" w:hint="eastAsia"/>
        </w:rPr>
        <w:t xml:space="preserve">also </w:t>
      </w:r>
      <w:r w:rsidR="000216A8" w:rsidRPr="00541E75">
        <w:rPr>
          <w:rFonts w:ascii="Arial" w:hAnsi="Arial" w:cs="Arial"/>
        </w:rPr>
        <w:t xml:space="preserve">scalable to other climate-vulnerable </w:t>
      </w:r>
      <w:r w:rsidR="000216A8" w:rsidRPr="00541E75">
        <w:rPr>
          <w:rFonts w:ascii="Arial" w:hAnsi="Arial" w:cs="Arial" w:hint="eastAsia"/>
        </w:rPr>
        <w:t>and intense cities.</w:t>
      </w:r>
    </w:p>
    <w:p w14:paraId="49248872" w14:textId="77777777" w:rsidR="000216A8" w:rsidRPr="000216A8" w:rsidRDefault="000216A8">
      <w:pPr>
        <w:rPr>
          <w:rFonts w:cs="Times New Roman"/>
        </w:rPr>
      </w:pPr>
    </w:p>
    <w:p w14:paraId="42ACDFA0" w14:textId="77777777" w:rsidR="000216A8" w:rsidRPr="00E70B31" w:rsidRDefault="000216A8">
      <w:pPr>
        <w:rPr>
          <w:rFonts w:cs="Times New Roman"/>
        </w:rPr>
      </w:pPr>
    </w:p>
    <w:p w14:paraId="0D62DC0E" w14:textId="0B6E4836" w:rsidR="002045C4" w:rsidRDefault="00AA33CA" w:rsidP="002045C4">
      <w:pPr>
        <w:pStyle w:val="Heading1"/>
        <w:rPr>
          <w:rFonts w:cs="Times New Roman"/>
        </w:rPr>
      </w:pPr>
      <w:r>
        <w:rPr>
          <w:rFonts w:cs="Times New Roman"/>
        </w:rPr>
        <w:t>Methods</w:t>
      </w:r>
    </w:p>
    <w:p w14:paraId="449F4699" w14:textId="35B4AF4F" w:rsidR="00E7394A" w:rsidRDefault="00DC175F" w:rsidP="00E7394A">
      <w:pPr>
        <w:pStyle w:val="Heading2"/>
      </w:pPr>
      <w:r w:rsidRPr="00DC175F">
        <w:t xml:space="preserve">Study design </w:t>
      </w:r>
      <w:r w:rsidR="007676B4">
        <w:rPr>
          <w:rFonts w:hint="eastAsia"/>
        </w:rPr>
        <w:t>with</w:t>
      </w:r>
      <w:r w:rsidRPr="00DC175F">
        <w:t xml:space="preserve"> high</w:t>
      </w:r>
      <w:r w:rsidR="007676B4" w:rsidRPr="007676B4">
        <w:t xml:space="preserve"> </w:t>
      </w:r>
      <w:r w:rsidR="007676B4" w:rsidRPr="00DC175F">
        <w:t>spatial</w:t>
      </w:r>
      <w:r w:rsidR="007676B4">
        <w:rPr>
          <w:rFonts w:hint="eastAsia"/>
        </w:rPr>
        <w:t>-</w:t>
      </w:r>
      <w:r w:rsidR="007676B4">
        <w:t>temporal</w:t>
      </w:r>
      <w:r w:rsidRPr="00DC175F">
        <w:t>-resolution</w:t>
      </w:r>
    </w:p>
    <w:p w14:paraId="3B60B640" w14:textId="6DDA7A5C" w:rsidR="00FA7C7C" w:rsidRDefault="00E7394A" w:rsidP="00BA01F1">
      <w:pPr>
        <w:spacing w:afterLines="50" w:after="163"/>
        <w:ind w:firstLine="420"/>
      </w:pPr>
      <w:r w:rsidRPr="00E7394A">
        <w:t>To quantify the actual physiological heat stress and the resulting cooling energy penalties for urban vulnerable populations</w:t>
      </w:r>
      <w:r w:rsidRPr="00E7394A">
        <w:rPr>
          <w:rFonts w:hint="eastAsia"/>
        </w:rPr>
        <w:t xml:space="preserve"> </w:t>
      </w:r>
      <w:r w:rsidRPr="00DE15BD">
        <w:t>in a warming climate</w:t>
      </w:r>
      <w:r w:rsidRPr="00E7394A">
        <w:t>, we developed an integrated</w:t>
      </w:r>
      <w:r w:rsidRPr="00E7394A">
        <w:rPr>
          <w:rFonts w:hint="eastAsia"/>
        </w:rPr>
        <w:t xml:space="preserve"> and</w:t>
      </w:r>
      <w:r w:rsidRPr="00E7394A">
        <w:t xml:space="preserve"> bottom-up framework centered on </w:t>
      </w:r>
      <w:r w:rsidRPr="00E7394A">
        <w:rPr>
          <w:rFonts w:hint="eastAsia"/>
        </w:rPr>
        <w:t xml:space="preserve">the </w:t>
      </w:r>
      <w:r w:rsidRPr="00E7394A">
        <w:t>buffering capacity</w:t>
      </w:r>
      <w:r w:rsidRPr="00E7394A">
        <w:rPr>
          <w:rFonts w:hint="eastAsia"/>
        </w:rPr>
        <w:t xml:space="preserve"> </w:t>
      </w:r>
      <w:r w:rsidRPr="00E7394A">
        <w:t xml:space="preserve">of the built environment. </w:t>
      </w:r>
      <w:r w:rsidR="00FA7C7C" w:rsidRPr="00FA7C7C">
        <w:t xml:space="preserve">Current climate vulnerability assessments frequently </w:t>
      </w:r>
      <w:r w:rsidR="00FA7C7C" w:rsidRPr="00E7394A">
        <w:rPr>
          <w:rFonts w:hint="eastAsia"/>
        </w:rPr>
        <w:t>correlate</w:t>
      </w:r>
      <w:r w:rsidR="00FA7C7C" w:rsidRPr="00E7394A">
        <w:t xml:space="preserve"> </w:t>
      </w:r>
      <w:r w:rsidR="00FA7C7C" w:rsidRPr="00FA7C7C">
        <w:t>outdoor ambient temperatures directly with human exposure</w:t>
      </w:r>
      <w:r w:rsidR="00FA7C7C">
        <w:rPr>
          <w:rFonts w:hint="eastAsia"/>
        </w:rPr>
        <w:t xml:space="preserve">. This </w:t>
      </w:r>
      <w:r w:rsidR="00FA7C7C" w:rsidRPr="00FA7C7C">
        <w:t>simplification tends to overestimate</w:t>
      </w:r>
      <w:r w:rsidR="00FA7C7C" w:rsidRPr="00E7394A">
        <w:t xml:space="preserve"> </w:t>
      </w:r>
      <w:r w:rsidRPr="00E7394A">
        <w:rPr>
          <w:rFonts w:hint="eastAsia"/>
        </w:rPr>
        <w:t>the</w:t>
      </w:r>
      <w:r w:rsidRPr="00E7394A">
        <w:t xml:space="preserve"> thermal threats</w:t>
      </w:r>
      <w:r w:rsidRPr="00E7394A">
        <w:rPr>
          <w:rFonts w:hint="eastAsia"/>
        </w:rPr>
        <w:t xml:space="preserve"> </w:t>
      </w:r>
      <w:r w:rsidRPr="00E7394A">
        <w:t>by neglecting the mediating role of building</w:t>
      </w:r>
      <w:r w:rsidRPr="00E7394A">
        <w:rPr>
          <w:rFonts w:hint="eastAsia"/>
        </w:rPr>
        <w:t>s</w:t>
      </w:r>
      <w:r w:rsidRPr="00E7394A">
        <w:t xml:space="preserve">. Our approach bridges this critical gap by explicitly modeling the </w:t>
      </w:r>
      <w:r w:rsidRPr="00E7394A">
        <w:rPr>
          <w:rFonts w:hint="eastAsia"/>
        </w:rPr>
        <w:t>buildings</w:t>
      </w:r>
      <w:r w:rsidRPr="00E7394A">
        <w:t>’</w:t>
      </w:r>
      <w:r w:rsidRPr="00DE15BD">
        <w:t xml:space="preserve"> sheltering and buffering effects</w:t>
      </w:r>
      <w:r w:rsidRPr="00E7394A">
        <w:t xml:space="preserve"> at an </w:t>
      </w:r>
      <w:r w:rsidRPr="00E7394A">
        <w:lastRenderedPageBreak/>
        <w:t>unprecedented spatiotemporal granularity.</w:t>
      </w:r>
      <w:r w:rsidR="00C81166">
        <w:rPr>
          <w:rFonts w:hint="eastAsia"/>
        </w:rPr>
        <w:t xml:space="preserve"> </w:t>
      </w:r>
    </w:p>
    <w:p w14:paraId="0ECC0A0C" w14:textId="0AAD5A25" w:rsidR="00C81166" w:rsidRDefault="00FA7C7C" w:rsidP="00BA01F1">
      <w:pPr>
        <w:spacing w:afterLines="50" w:after="163"/>
        <w:ind w:firstLine="420"/>
      </w:pPr>
      <w:r w:rsidRPr="00FA7C7C">
        <w:t>To capture diverse climatic conditions, historical development trajectories, and architectural typologies, we selected six representative megacities</w:t>
      </w:r>
      <w:r>
        <w:rPr>
          <w:rFonts w:hint="eastAsia"/>
        </w:rPr>
        <w:t xml:space="preserve"> in China as testbed: </w:t>
      </w:r>
      <w:r w:rsidRPr="00FA7C7C">
        <w:t>Beijing, Shanghai, Guangzhou, Shenzhen, Xiamen, and Wuhan</w:t>
      </w:r>
      <w:r>
        <w:rPr>
          <w:rFonts w:hint="eastAsia"/>
        </w:rPr>
        <w:t xml:space="preserve">, </w:t>
      </w:r>
      <w:r w:rsidRPr="00FA7C7C">
        <w:t>spanning the northern, eastern, southern, and central regions.</w:t>
      </w:r>
      <w:r>
        <w:rPr>
          <w:rFonts w:hint="eastAsia"/>
        </w:rPr>
        <w:t xml:space="preserve"> </w:t>
      </w:r>
      <w:r>
        <w:t>I</w:t>
      </w:r>
      <w:r>
        <w:rPr>
          <w:rFonts w:hint="eastAsia"/>
        </w:rPr>
        <w:t>n total</w:t>
      </w:r>
      <w:r w:rsidR="00C03B10">
        <w:rPr>
          <w:rFonts w:hint="eastAsia"/>
        </w:rPr>
        <w:t xml:space="preserve">, XXX buildings </w:t>
      </w:r>
      <w:r>
        <w:rPr>
          <w:rFonts w:hint="eastAsia"/>
        </w:rPr>
        <w:t>across</w:t>
      </w:r>
      <w:r w:rsidR="00C03B10">
        <w:rPr>
          <w:rFonts w:hint="eastAsia"/>
        </w:rPr>
        <w:t xml:space="preserve"> these six </w:t>
      </w:r>
      <w:r w:rsidR="00C03B10" w:rsidRPr="00B06FDC">
        <w:t>megacities</w:t>
      </w:r>
      <w:r w:rsidRPr="00FA7C7C">
        <w:rPr>
          <w:rFonts w:hint="eastAsia"/>
        </w:rPr>
        <w:t xml:space="preserve"> </w:t>
      </w:r>
      <w:r>
        <w:rPr>
          <w:rFonts w:hint="eastAsia"/>
        </w:rPr>
        <w:t>are investigated</w:t>
      </w:r>
      <w:r w:rsidR="00C03B10">
        <w:rPr>
          <w:rFonts w:hint="eastAsia"/>
        </w:rPr>
        <w:t xml:space="preserve">. </w:t>
      </w:r>
      <w:r w:rsidR="00E7394A" w:rsidRPr="00E7394A">
        <w:t xml:space="preserve">The analytical pipeline </w:t>
      </w:r>
      <w:r w:rsidRPr="00FA7C7C">
        <w:t xml:space="preserve">integrates </w:t>
      </w:r>
      <w:r w:rsidR="00BA01F1">
        <w:rPr>
          <w:rFonts w:hint="eastAsia"/>
        </w:rPr>
        <w:t>five</w:t>
      </w:r>
      <w:r w:rsidR="00E7394A" w:rsidRPr="00E7394A">
        <w:t xml:space="preserve"> interconnected dimensions</w:t>
      </w:r>
      <w:r w:rsidR="00C81166">
        <w:rPr>
          <w:rFonts w:hint="eastAsia"/>
        </w:rPr>
        <w:t xml:space="preserve">: (1) </w:t>
      </w:r>
      <w:r w:rsidR="00C81166" w:rsidRPr="00C81166">
        <w:t>Climate change scenarios</w:t>
      </w:r>
      <w:r w:rsidR="00C81166">
        <w:rPr>
          <w:rFonts w:hint="eastAsia"/>
        </w:rPr>
        <w:t xml:space="preserve">, (2) </w:t>
      </w:r>
      <w:r w:rsidR="00C81166" w:rsidRPr="00C81166">
        <w:t>Urban building energy modeling</w:t>
      </w:r>
      <w:r w:rsidR="00C81166">
        <w:rPr>
          <w:rFonts w:hint="eastAsia"/>
        </w:rPr>
        <w:t xml:space="preserve">, (3) </w:t>
      </w:r>
      <w:r w:rsidR="002F0E50" w:rsidRPr="00C81166">
        <w:t>sleep-period discomfort</w:t>
      </w:r>
      <w:r w:rsidR="002F0E50">
        <w:rPr>
          <w:rFonts w:hint="eastAsia"/>
        </w:rPr>
        <w:t xml:space="preserve"> simulation</w:t>
      </w:r>
      <w:r w:rsidR="00C81166">
        <w:rPr>
          <w:rFonts w:hint="eastAsia"/>
        </w:rPr>
        <w:t xml:space="preserve">, (4) </w:t>
      </w:r>
      <w:r w:rsidR="002F0E50">
        <w:rPr>
          <w:rFonts w:hint="eastAsia"/>
        </w:rPr>
        <w:t xml:space="preserve">Validation of simulation results, and (5) </w:t>
      </w:r>
      <w:r w:rsidR="00C81166" w:rsidRPr="00C81166">
        <w:t>Socio-human data fusion</w:t>
      </w:r>
      <w:r w:rsidR="00C81166">
        <w:rPr>
          <w:rFonts w:hint="eastAsia"/>
        </w:rPr>
        <w:t>.</w:t>
      </w:r>
      <w:r w:rsidR="00E7394A">
        <w:rPr>
          <w:rFonts w:hint="eastAsia"/>
        </w:rPr>
        <w:t xml:space="preserve"> </w:t>
      </w:r>
    </w:p>
    <w:p w14:paraId="2C133C34" w14:textId="77777777" w:rsidR="002F0E50" w:rsidRDefault="002F0E50" w:rsidP="00BA01F1">
      <w:pPr>
        <w:spacing w:afterLines="50" w:after="163"/>
        <w:ind w:firstLine="420"/>
      </w:pPr>
    </w:p>
    <w:p w14:paraId="32EEF005" w14:textId="77777777" w:rsidR="007676B4" w:rsidRPr="00DC175F" w:rsidRDefault="007676B4" w:rsidP="007676B4">
      <w:pPr>
        <w:pStyle w:val="Heading2"/>
      </w:pPr>
      <w:r w:rsidRPr="00DC175F">
        <w:t>Climate change scenarios and urban meteorological forcing</w:t>
      </w:r>
    </w:p>
    <w:p w14:paraId="72EB8783" w14:textId="77777777" w:rsidR="00FA7C7C" w:rsidRDefault="00FA7C7C" w:rsidP="00BA01F1">
      <w:pPr>
        <w:spacing w:afterLines="50" w:after="163"/>
        <w:ind w:firstLine="420"/>
        <w:rPr>
          <w:rFonts w:eastAsia="微软雅黑" w:cs="Times New Roman"/>
          <w:szCs w:val="28"/>
          <w:lang w:val="en-GB"/>
        </w:rPr>
      </w:pPr>
      <w:r w:rsidRPr="00FA7C7C">
        <w:rPr>
          <w:rFonts w:eastAsia="微软雅黑" w:cs="Times New Roman"/>
          <w:szCs w:val="28"/>
        </w:rPr>
        <w:t xml:space="preserve">To establish the </w:t>
      </w:r>
      <w:r>
        <w:rPr>
          <w:rFonts w:eastAsia="微软雅黑" w:cs="Times New Roman"/>
          <w:szCs w:val="28"/>
        </w:rPr>
        <w:t>evolving</w:t>
      </w:r>
      <w:r>
        <w:rPr>
          <w:rFonts w:eastAsia="微软雅黑" w:cs="Times New Roman" w:hint="eastAsia"/>
          <w:szCs w:val="28"/>
        </w:rPr>
        <w:t xml:space="preserve"> </w:t>
      </w:r>
      <w:r w:rsidRPr="00FA7C7C">
        <w:rPr>
          <w:rFonts w:eastAsia="微软雅黑" w:cs="Times New Roman"/>
          <w:szCs w:val="28"/>
        </w:rPr>
        <w:t>environmental boundary conditions, we first generated hourly meteorological forcing datasets for the six megacities. We utilized ERA5 reanalysis data to construct the baseline weather forcing for 2020, representing present-day climate conditions. For future climate trajectories, projections for 2040 and 2060 were sourced from the Coupled Model Intercomparison Project Phase 6 (CMIP6) under three Shared Socioeconomic Pathways (SSP1-2.6, SSP2-4.5, and SSP5-8.5).</w:t>
      </w:r>
    </w:p>
    <w:p w14:paraId="321594F0" w14:textId="16F23584" w:rsidR="00FA7C7C" w:rsidRDefault="00FA7C7C" w:rsidP="00BA01F1">
      <w:pPr>
        <w:spacing w:afterLines="50" w:after="163"/>
        <w:ind w:firstLine="420"/>
        <w:rPr>
          <w:rFonts w:eastAsia="微软雅黑" w:cs="Times New Roman"/>
          <w:szCs w:val="28"/>
        </w:rPr>
      </w:pPr>
      <w:r w:rsidRPr="00FA7C7C">
        <w:rPr>
          <w:rFonts w:eastAsia="微软雅黑" w:cs="Times New Roman"/>
          <w:szCs w:val="28"/>
        </w:rPr>
        <w:t>We extracted daily climate variables</w:t>
      </w:r>
      <w:r>
        <w:rPr>
          <w:rFonts w:eastAsia="微软雅黑" w:cs="Times New Roman" w:hint="eastAsia"/>
          <w:szCs w:val="28"/>
        </w:rPr>
        <w:t xml:space="preserve"> </w:t>
      </w:r>
      <w:r w:rsidRPr="00FA7C7C">
        <w:rPr>
          <w:rFonts w:eastAsia="微软雅黑" w:cs="Times New Roman"/>
          <w:szCs w:val="28"/>
        </w:rPr>
        <w:t>including temperature, solar radiation, humidity, and wind speed</w:t>
      </w:r>
      <w:r>
        <w:rPr>
          <w:rFonts w:eastAsia="微软雅黑" w:cs="Times New Roman" w:hint="eastAsia"/>
          <w:szCs w:val="28"/>
        </w:rPr>
        <w:t xml:space="preserve"> </w:t>
      </w:r>
      <w:r w:rsidRPr="00FA7C7C">
        <w:rPr>
          <w:rFonts w:eastAsia="微软雅黑" w:cs="Times New Roman"/>
          <w:szCs w:val="28"/>
        </w:rPr>
        <w:t>from a robust ensemble of 15 CMIP6 models optimized for East Asia. These macro-scale projections were spatially downscaled via bilinear interpolation and subsequently converted to an hourly resolution using an established morphing protoco</w:t>
      </w:r>
      <w:r>
        <w:rPr>
          <w:rFonts w:eastAsia="微软雅黑" w:cs="Times New Roman" w:hint="eastAsia"/>
          <w:szCs w:val="28"/>
        </w:rPr>
        <w:t>l</w:t>
      </w:r>
      <w:r>
        <w:rPr>
          <w:rFonts w:eastAsia="微软雅黑" w:cs="Times New Roman" w:hint="eastAsia"/>
          <w:szCs w:val="28"/>
          <w:lang w:val="en-GB"/>
        </w:rPr>
        <w:t xml:space="preserve"> </w:t>
      </w:r>
      <w:r>
        <w:rPr>
          <w:rFonts w:eastAsia="微软雅黑" w:cs="Times New Roman"/>
          <w:szCs w:val="28"/>
          <w:lang w:val="en-GB"/>
        </w:rPr>
        <w:fldChar w:fldCharType="begin"/>
      </w:r>
      <w:r>
        <w:rPr>
          <w:rFonts w:eastAsia="微软雅黑" w:cs="Times New Roman"/>
          <w:szCs w:val="28"/>
          <w:lang w:val="en-GB"/>
        </w:rPr>
        <w:instrText xml:space="preserve"> ADDIN ZOTERO_ITEM CSL_CITATION {"citationID":"8Y4MrTLw","properties":{"formattedCitation":"\\super 64\\nosupersub{}","plainCitation":"64","noteIndex":0},"citationItems":[{"id":16893,"uris":["http://zotero.org/users/10067813/items/LCGXRU78"],"itemData":{"id":16893,"type":"article-journal","abstract":"Higher availability of future climate data sets, generated by regional climate models (RCMs) with ﬁne temporal and spatial resolutions, improves and facilitates the impact assessment of climate change. Due to signiﬁcant uncertainties in climate modeling, several climate scenarios should be considered in the impact assessment. This increases the number of simulations and size of data sets, complicating the assessment and decision making. This article suggests an easy-to-use method to decrease the number of simulations for the impact assessment of climate change in energy and building studies. The method is based on synthesizing three sets of weather data out of one or more RCMs: one typical and two extremes. The method aims at decreasing the number of weather data sets without losing the quality and details of the original future climate scenarios. The application of the method is assessed for an ofﬁce building in Geneva and the residential building stock in Stockholm.","container-title":"Applied Energy","DOI":"10.1016/j.apenergy.2016.05.107","ISSN":"03062619","journalAbbreviation":"Applied Energy","language":"en","page":"204-226","source":"DOI.org (Crossref)","title":"Making energy simulation easier for future climate – Synthesizing typical and extreme weather data sets out of regional climate models (RCMs)","volume":"177","author":[{"family":"Nik","given":"Vahid M."}],"issued":{"date-parts":[["2016",9]]}}}],"schema":"https://github.com/citation-style-language/schema/raw/master/csl-citation.json"} </w:instrText>
      </w:r>
      <w:r>
        <w:rPr>
          <w:rFonts w:eastAsia="微软雅黑" w:cs="Times New Roman"/>
          <w:szCs w:val="28"/>
          <w:lang w:val="en-GB"/>
        </w:rPr>
        <w:fldChar w:fldCharType="separate"/>
      </w:r>
      <w:r w:rsidRPr="00E124C1">
        <w:rPr>
          <w:rFonts w:cs="Times New Roman"/>
          <w:kern w:val="0"/>
          <w:vertAlign w:val="superscript"/>
        </w:rPr>
        <w:t>64</w:t>
      </w:r>
      <w:r>
        <w:rPr>
          <w:rFonts w:eastAsia="微软雅黑" w:cs="Times New Roman"/>
          <w:szCs w:val="28"/>
          <w:lang w:val="en-GB"/>
        </w:rPr>
        <w:fldChar w:fldCharType="end"/>
      </w:r>
      <w:r>
        <w:rPr>
          <w:rFonts w:eastAsia="微软雅黑" w:cs="Times New Roman" w:hint="eastAsia"/>
          <w:szCs w:val="28"/>
        </w:rPr>
        <w:t xml:space="preserve">. </w:t>
      </w:r>
      <w:r w:rsidRPr="00FA7C7C">
        <w:rPr>
          <w:rFonts w:eastAsia="微软雅黑" w:cs="Times New Roman"/>
          <w:szCs w:val="28"/>
        </w:rPr>
        <w:t xml:space="preserve">This downscaling approach effectively incorporates long-term climate-driven shifts through monthly mean shifting and variance stretching, while rigorously preserving the realistic diurnal temporal structures of the 2020 baseline typical meteorological year (TMY). Finally, the resulting full-year hourly meteorological datasets were compiled into EnergyPlus-compatible </w:t>
      </w:r>
      <w:r w:rsidR="0060515A">
        <w:rPr>
          <w:rFonts w:eastAsia="微软雅黑" w:cs="Times New Roman" w:hint="eastAsia"/>
          <w:szCs w:val="28"/>
        </w:rPr>
        <w:t>W</w:t>
      </w:r>
      <w:r w:rsidRPr="00FA7C7C">
        <w:rPr>
          <w:rFonts w:eastAsia="微软雅黑" w:cs="Times New Roman"/>
          <w:szCs w:val="28"/>
        </w:rPr>
        <w:t xml:space="preserve">eather files (.epw) to drive the physical urban building simulations detailed in the subsequent section. Extensive details </w:t>
      </w:r>
      <w:r>
        <w:rPr>
          <w:rFonts w:eastAsia="微软雅黑" w:cs="Times New Roman" w:hint="eastAsia"/>
          <w:szCs w:val="28"/>
        </w:rPr>
        <w:t>for</w:t>
      </w:r>
      <w:r w:rsidRPr="00FA7C7C">
        <w:rPr>
          <w:rFonts w:eastAsia="微软雅黑" w:cs="Times New Roman"/>
          <w:szCs w:val="28"/>
        </w:rPr>
        <w:t xml:space="preserve"> the morphing procedure can be found in </w:t>
      </w:r>
      <w:r w:rsidRPr="00471AAE">
        <w:rPr>
          <w:rFonts w:eastAsia="微软雅黑" w:cs="Times New Roman" w:hint="eastAsia"/>
          <w:szCs w:val="28"/>
          <w:lang w:val="en-GB"/>
        </w:rPr>
        <w:t xml:space="preserve">Ref. </w:t>
      </w:r>
      <w:r>
        <w:rPr>
          <w:rFonts w:eastAsia="微软雅黑" w:cs="Times New Roman"/>
          <w:szCs w:val="28"/>
          <w:lang w:val="en-GB"/>
        </w:rPr>
        <w:fldChar w:fldCharType="begin"/>
      </w:r>
      <w:r>
        <w:rPr>
          <w:rFonts w:eastAsia="微软雅黑" w:cs="Times New Roman"/>
          <w:szCs w:val="28"/>
          <w:lang w:val="en-GB"/>
        </w:rPr>
        <w:instrText xml:space="preserve"> ADDIN ZOTERO_ITEM CSL_CITATION {"citationID":"4suE8Fbd","properties":{"formattedCitation":"\\super 63,65\\nosupersub{}","plainCitation":"63,65","noteIndex":0},"citationItems":[{"id":5148,"uris":["http://zotero.org/users/10067813/items/KEFSD8FU"],"itemData":{"id":5148,"type":"article-journal","abstract":"Climate change increasingly affects urban building energy performance, leading to varying energy demand patterns and increased maintenance costs. This study assesses the impact of climate change on city-scale building energy performance by integrating future climatic variations into urban building energy modelling (UBEM). Extensive building information is firstly collected using geographic information system (GIS) technologies. Then, a morphing statistical method is employed to generate future meteorological data considering different Shared Socio-Economic Pathways (SSPs) scenarios. An automated workflow is further proposed to generate prototype building models, facilitating the bottom-up development of the city-scale UBEM from building-level to city-scale, capturing various building types, geometric features, and construction years. Lastly, the UBEM is validated against measured building energy data. A case study of Fuzhou City, China, encompassing over 75,000 buildings, reveals that climate change is projected to increase the whole city's total electricity demand by up to 3.1 % by 2060, among which commercial buildings are the most affected category, with total electricity demand rising by up to 4.1 %. The whole city's HVAC electricity demand is projected to increase up to 14.9 % with transport buildings experiencing the most significant impact by rising up to 21.2 % by 2060.","archive_location":"WOS:001460787900001","container-title":"SUSTAINABLE CITIES AND SOCIETY","DOI":"10.1016/j.scs.2025.106331","ISSN":"2210-6707","title":"Climate change impacts on city-scale building energy performance based on GIS-informed urban building energy modelling","volume":"125","author":[{"family":"Wang","given":"M"},{"family":"Zhou","given":"JF"},{"family":"Liang","given":"YJ"},{"family":"Yu","given":"H"},{"family":"Jing","given":"R"}],"issued":{"date-parts":[["2025",5,1]]}}},{"id":6348,"uris":["http://zotero.org/users/10067813/items/3EM7EBST"],"itemData":{"id":6348,"type":"article-journal","archive_location":"WOS:001197038000001","container-title":"NPJ URBAN SUSTAINABILITY","DOI":"10.1038/s42949-024-00159-8","ISSN":"2661-8001","issue":"1","title":"Building energy savings by green roofs and cool roofs in current and future climates","volume":"4","author":[{"family":"Jia","given":"SQ"},{"family":"Weng","given":"QH"},{"family":"Yoo","given":"C"},{"family":"Xiao","given":"HJ"},{"family":"Zhong","given":"QW"}],"issued":{"date-parts":[["2024",4,3]]}}}],"schema":"https://github.com/citation-style-language/schema/raw/master/csl-citation.json"} </w:instrText>
      </w:r>
      <w:r>
        <w:rPr>
          <w:rFonts w:eastAsia="微软雅黑" w:cs="Times New Roman"/>
          <w:szCs w:val="28"/>
          <w:lang w:val="en-GB"/>
        </w:rPr>
        <w:fldChar w:fldCharType="separate"/>
      </w:r>
      <w:r w:rsidRPr="00E124C1">
        <w:rPr>
          <w:rFonts w:cs="Times New Roman"/>
          <w:kern w:val="0"/>
          <w:vertAlign w:val="superscript"/>
        </w:rPr>
        <w:t>63,65</w:t>
      </w:r>
      <w:r>
        <w:rPr>
          <w:rFonts w:eastAsia="微软雅黑" w:cs="Times New Roman"/>
          <w:szCs w:val="28"/>
          <w:lang w:val="en-GB"/>
        </w:rPr>
        <w:fldChar w:fldCharType="end"/>
      </w:r>
      <w:r w:rsidRPr="00471AAE">
        <w:rPr>
          <w:rFonts w:eastAsia="微软雅黑" w:cs="Times New Roman" w:hint="eastAsia"/>
          <w:szCs w:val="28"/>
          <w:lang w:val="en-GB"/>
        </w:rPr>
        <w:t>.</w:t>
      </w:r>
      <w:r w:rsidRPr="00FA7C7C">
        <w:rPr>
          <w:rFonts w:eastAsia="微软雅黑" w:cs="Times New Roman"/>
          <w:szCs w:val="28"/>
        </w:rPr>
        <w:t xml:space="preserve"> </w:t>
      </w:r>
      <w:r>
        <w:rPr>
          <w:rFonts w:eastAsia="微软雅黑" w:cs="Times New Roman" w:hint="eastAsia"/>
          <w:szCs w:val="28"/>
        </w:rPr>
        <w:t>R</w:t>
      </w:r>
      <w:r w:rsidRPr="00FA7C7C">
        <w:rPr>
          <w:rFonts w:eastAsia="微软雅黑" w:cs="Times New Roman"/>
          <w:szCs w:val="28"/>
        </w:rPr>
        <w:t xml:space="preserve">epresentative future TMY profiles are provided in </w:t>
      </w:r>
      <w:r w:rsidRPr="00276DEA">
        <w:rPr>
          <w:rFonts w:eastAsia="微软雅黑" w:cs="Times New Roman"/>
          <w:b/>
          <w:bCs/>
          <w:szCs w:val="28"/>
          <w:lang w:val="en-GB"/>
        </w:rPr>
        <w:t>Supplementary</w:t>
      </w:r>
      <w:r w:rsidRPr="00997773">
        <w:rPr>
          <w:rFonts w:eastAsia="微软雅黑" w:cs="Times New Roman" w:hint="eastAsia"/>
          <w:szCs w:val="28"/>
          <w:lang w:val="en-GB"/>
        </w:rPr>
        <w:t xml:space="preserve"> </w:t>
      </w:r>
      <w:r>
        <w:rPr>
          <w:rFonts w:eastAsia="微软雅黑" w:cs="Times New Roman" w:hint="eastAsia"/>
          <w:b/>
          <w:bCs/>
          <w:szCs w:val="28"/>
          <w:lang w:val="en-GB"/>
        </w:rPr>
        <w:t>S4</w:t>
      </w:r>
      <w:r w:rsidRPr="00FA7C7C">
        <w:rPr>
          <w:rFonts w:eastAsia="微软雅黑" w:cs="Times New Roman"/>
          <w:szCs w:val="28"/>
        </w:rPr>
        <w:t>.</w:t>
      </w:r>
    </w:p>
    <w:p w14:paraId="14976569" w14:textId="77777777" w:rsidR="002F0E50" w:rsidRDefault="002F0E50" w:rsidP="00BA01F1">
      <w:pPr>
        <w:spacing w:afterLines="50" w:after="163"/>
        <w:ind w:firstLine="420"/>
        <w:rPr>
          <w:rFonts w:eastAsia="微软雅黑" w:cs="Times New Roman"/>
          <w:szCs w:val="28"/>
          <w:lang w:val="en-GB"/>
        </w:rPr>
      </w:pPr>
    </w:p>
    <w:p w14:paraId="2C90341F" w14:textId="08208336" w:rsidR="00BA01F1" w:rsidRDefault="00BA01F1" w:rsidP="00BA01F1">
      <w:pPr>
        <w:pStyle w:val="Heading2"/>
      </w:pPr>
      <w:r w:rsidRPr="00BA01F1">
        <w:t>Urban Building Energy Modeling</w:t>
      </w:r>
      <w:r w:rsidRPr="00BA01F1">
        <w:rPr>
          <w:rFonts w:hint="eastAsia"/>
        </w:rPr>
        <w:t xml:space="preserve"> </w:t>
      </w:r>
    </w:p>
    <w:p w14:paraId="0B58ED40" w14:textId="7881923B" w:rsidR="0029767E" w:rsidRDefault="0029767E" w:rsidP="00BA01F1">
      <w:pPr>
        <w:spacing w:afterLines="50" w:after="163"/>
        <w:ind w:firstLine="420"/>
        <w:rPr>
          <w:b/>
          <w:bCs/>
        </w:rPr>
      </w:pPr>
      <w:r>
        <w:rPr>
          <w:rFonts w:hint="eastAsia"/>
        </w:rPr>
        <w:t>S</w:t>
      </w:r>
      <w:r w:rsidRPr="0029767E">
        <w:t xml:space="preserve">erving as the foundation for our </w:t>
      </w:r>
      <w:r>
        <w:rPr>
          <w:rFonts w:hint="eastAsia"/>
        </w:rPr>
        <w:t>assessment</w:t>
      </w:r>
      <w:r w:rsidRPr="0029767E">
        <w:t xml:space="preserve">, we </w:t>
      </w:r>
      <w:r w:rsidR="003518FC">
        <w:rPr>
          <w:rFonts w:hint="eastAsia"/>
        </w:rPr>
        <w:t xml:space="preserve">collected </w:t>
      </w:r>
      <w:r w:rsidR="009F50B6">
        <w:rPr>
          <w:rFonts w:hint="eastAsia"/>
        </w:rPr>
        <w:t>information</w:t>
      </w:r>
      <w:r w:rsidR="008177BD">
        <w:rPr>
          <w:rFonts w:hint="eastAsia"/>
        </w:rPr>
        <w:t xml:space="preserve"> for </w:t>
      </w:r>
      <w:r w:rsidR="009F50B6" w:rsidRPr="0029767E">
        <w:t>individual buildings across the six representative megacities</w:t>
      </w:r>
      <w:r w:rsidR="008177BD">
        <w:rPr>
          <w:rFonts w:hint="eastAsia"/>
        </w:rPr>
        <w:t xml:space="preserve">, including the </w:t>
      </w:r>
      <w:r w:rsidR="008177BD" w:rsidRPr="0029767E">
        <w:t xml:space="preserve">explicit </w:t>
      </w:r>
      <w:r w:rsidR="009F50B6">
        <w:rPr>
          <w:rFonts w:hint="eastAsia"/>
        </w:rPr>
        <w:t xml:space="preserve">locations, </w:t>
      </w:r>
      <w:r w:rsidR="008177BD" w:rsidRPr="0029767E">
        <w:t>geometries, construction ages, and corresponding thermophysical properties</w:t>
      </w:r>
      <w:r w:rsidR="008177BD">
        <w:rPr>
          <w:rFonts w:hint="eastAsia"/>
        </w:rPr>
        <w:t xml:space="preserve">, </w:t>
      </w:r>
      <w:r w:rsidR="008177BD" w:rsidRPr="0029767E">
        <w:t>specifically envelope thermal transmittance (U-values), window-to-wall ratios, solar heat gain coefficients, and air infiltration rates</w:t>
      </w:r>
      <w:r w:rsidR="009F50B6">
        <w:rPr>
          <w:rFonts w:hint="eastAsia"/>
        </w:rPr>
        <w:t>.</w:t>
      </w:r>
      <w:r w:rsidR="008177BD">
        <w:rPr>
          <w:rFonts w:hint="eastAsia"/>
        </w:rPr>
        <w:t xml:space="preserve"> </w:t>
      </w:r>
      <w:r w:rsidR="009F50B6">
        <w:rPr>
          <w:rFonts w:hint="eastAsia"/>
        </w:rPr>
        <w:t>Based</w:t>
      </w:r>
      <w:r w:rsidRPr="0029767E">
        <w:t xml:space="preserve"> upon this spatially </w:t>
      </w:r>
      <w:r w:rsidRPr="0029767E">
        <w:lastRenderedPageBreak/>
        <w:t xml:space="preserve">explicit inventory, we developed a bottom-up Urban Building Energy Modeling (UBEM) driven by the robust, physics-based simulator </w:t>
      </w:r>
      <w:r w:rsidRPr="00CE0EB8">
        <w:t>EnergyPlus</w:t>
      </w:r>
      <w:r>
        <w:rPr>
          <w:lang w:val="en-GB"/>
        </w:rPr>
        <w:fldChar w:fldCharType="begin"/>
      </w:r>
      <w:r>
        <w:rPr>
          <w:lang w:val="en-GB"/>
        </w:rPr>
        <w:instrText xml:space="preserve"> ADDIN EN.CITE &lt;EndNote&gt;&lt;Cite&gt;&lt;Author&gt;Crawley&lt;/Author&gt;&lt;Year&gt;2001&lt;/Year&gt;&lt;RecNum&gt;395&lt;/RecNum&gt;&lt;DisplayText&gt;&lt;style face="superscript"&gt;52&lt;/style&gt;&lt;/DisplayText&gt;&lt;record&gt;&lt;rec-number&gt;395&lt;/rec-number&gt;&lt;foreign-keys&gt;&lt;key app="EN" db-id="set5050trwx9eqexvdi55ar3tzwppspaxsdd" timestamp="1773061966"&gt;395&lt;/key&gt;&lt;/foreign-keys&gt;&lt;ref-type name="Journal Article"&gt;17&lt;/ref-type&gt;&lt;contributors&gt;&lt;authors&gt;&lt;author&gt;Crawley, Drury B.&lt;/author&gt;&lt;author&gt;Lawrie, Linda K.&lt;/author&gt;&lt;author&gt;Winkelmann, Frederick C.&lt;/author&gt;&lt;author&gt;Buhl, W. F.&lt;/author&gt;&lt;author&gt;Huang, Y. Joe&lt;/author&gt;&lt;author&gt;Pedersen, Curtis O.&lt;/author&gt;&lt;author&gt;Strand, Richard K.&lt;/author&gt;&lt;author&gt;Liesen, Richard J.&lt;/author&gt;&lt;author&gt;Fisher, Daniel E.&lt;/author&gt;&lt;author&gt;Witte, Michael J.&lt;/author&gt;&lt;author&gt;Glazer, Jason&lt;/author&gt;&lt;/authors&gt;&lt;/contributors&gt;&lt;titles&gt;&lt;title&gt;EnergyPlus: creating a new-generation building energy simulation program&lt;/title&gt;&lt;secondary-title&gt;Energy and Buildings&lt;/secondary-title&gt;&lt;/titles&gt;&lt;periodical&gt;&lt;full-title&gt;Energy and Buildings&lt;/full-title&gt;&lt;abbr-1&gt;Energ Buildings&lt;/abbr-1&gt;&lt;/periodical&gt;&lt;pages&gt;319-331&lt;/pages&gt;&lt;volume&gt;33&lt;/volume&gt;&lt;number&gt;4&lt;/number&gt;&lt;keywords&gt;&lt;keyword&gt;Building performance&lt;/keyword&gt;&lt;keyword&gt;Simulation&lt;/keyword&gt;&lt;keyword&gt;Energy performance&lt;/keyword&gt;&lt;keyword&gt;Heat balance&lt;/keyword&gt;&lt;keyword&gt;Mass balance&lt;/keyword&gt;&lt;keyword&gt;Modular simulation&lt;/keyword&gt;&lt;/keywords&gt;&lt;dates&gt;&lt;year&gt;2001&lt;/year&gt;&lt;pub-dates&gt;&lt;date&gt;2001/04/01/&lt;/date&gt;&lt;/pub-dates&gt;&lt;/dates&gt;&lt;isbn&gt;0378-7788&lt;/isbn&gt;&lt;urls&gt;&lt;related-urls&gt;&lt;url&gt;https://www.sciencedirect.com/science/article/pii/S0378778800001146&lt;/url&gt;&lt;/related-urls&gt;&lt;/urls&gt;&lt;electronic-resource-num&gt;https://doi.org/10.1016/S0378-7788(00)00114-6&lt;/electronic-resource-num&gt;&lt;/record&gt;&lt;/Cite&gt;&lt;/EndNote&gt;</w:instrText>
      </w:r>
      <w:r>
        <w:rPr>
          <w:lang w:val="en-GB"/>
        </w:rPr>
        <w:fldChar w:fldCharType="separate"/>
      </w:r>
      <w:r w:rsidRPr="00A7029C">
        <w:rPr>
          <w:noProof/>
          <w:vertAlign w:val="superscript"/>
          <w:lang w:val="en-GB"/>
        </w:rPr>
        <w:t>52</w:t>
      </w:r>
      <w:r>
        <w:rPr>
          <w:lang w:val="en-GB"/>
        </w:rPr>
        <w:fldChar w:fldCharType="end"/>
      </w:r>
      <w:r>
        <w:rPr>
          <w:rFonts w:hint="eastAsia"/>
        </w:rPr>
        <w:t xml:space="preserve">. </w:t>
      </w:r>
      <w:r w:rsidRPr="0029767E">
        <w:t xml:space="preserve">By capturing the transient thermal dynamics of </w:t>
      </w:r>
      <w:r>
        <w:t>buildings</w:t>
      </w:r>
      <w:r w:rsidRPr="0029767E">
        <w:t xml:space="preserve"> under varying meteorological boundary conditions, our UBEM effectively translates prevailing outdoor climate forcing into </w:t>
      </w:r>
      <w:r w:rsidRPr="00E7394A">
        <w:t xml:space="preserve">realized indoor </w:t>
      </w:r>
      <w:r w:rsidR="00213F4D">
        <w:rPr>
          <w:rFonts w:hint="eastAsia"/>
        </w:rPr>
        <w:t>micro</w:t>
      </w:r>
      <w:r w:rsidR="00213F4D" w:rsidRPr="0029767E">
        <w:t>climate</w:t>
      </w:r>
      <w:r w:rsidR="00213F4D" w:rsidRPr="00213F4D">
        <w:t>s</w:t>
      </w:r>
      <w:r w:rsidR="00213F4D" w:rsidRPr="0029767E">
        <w:t xml:space="preserve"> </w:t>
      </w:r>
      <w:r w:rsidRPr="00E7394A">
        <w:t xml:space="preserve">and the energy required to maintain </w:t>
      </w:r>
      <w:r>
        <w:rPr>
          <w:rFonts w:hint="eastAsia"/>
        </w:rPr>
        <w:t xml:space="preserve">indoor </w:t>
      </w:r>
      <w:r w:rsidR="00213F4D">
        <w:rPr>
          <w:rFonts w:hint="eastAsia"/>
        </w:rPr>
        <w:t>micro</w:t>
      </w:r>
      <w:r w:rsidR="00213F4D" w:rsidRPr="0029767E">
        <w:t>climate</w:t>
      </w:r>
      <w:r w:rsidR="00213F4D" w:rsidRPr="00213F4D">
        <w:t>s</w:t>
      </w:r>
      <w:r w:rsidRPr="00E7394A">
        <w:t>.</w:t>
      </w:r>
    </w:p>
    <w:p w14:paraId="790A6F03" w14:textId="7B4111D8" w:rsidR="00CE0EB8" w:rsidRDefault="0029767E" w:rsidP="00BA01F1">
      <w:pPr>
        <w:spacing w:afterLines="50" w:after="163"/>
        <w:ind w:firstLine="420"/>
        <w:rPr>
          <w:lang w:val="en-GB"/>
        </w:rPr>
      </w:pPr>
      <w:r w:rsidRPr="0029767E">
        <w:t>Given the computational scale required to simulat</w:t>
      </w:r>
      <w:r w:rsidRPr="009F50B6">
        <w:rPr>
          <w:highlight w:val="yellow"/>
        </w:rPr>
        <w:t>e XXX b</w:t>
      </w:r>
      <w:r w:rsidRPr="0029767E">
        <w:t xml:space="preserve">uildings across decadal climate projections, our modeling pipeline necessitated strategic </w:t>
      </w:r>
      <w:r>
        <w:rPr>
          <w:rFonts w:hint="eastAsia"/>
        </w:rPr>
        <w:t>assumptions</w:t>
      </w:r>
      <w:r w:rsidRPr="0029767E">
        <w:t xml:space="preserve"> to balance computational tractability with physical fidelity. First, we implemented archetype-driven standardizations: spatial layouts were generalized by floor level, and HVAC configurations were assigned based on primary building typologies (e.g., split-unit air conditioners for residential buildings). Second, to standardize operational behaviors, static schedules for occupancy, internal heat gains (lighting and equipment), and characteristic thermostat setpoints were rigorously calibrated against China’s national Building Design Standards corresponding to each </w:t>
      </w:r>
      <w:r>
        <w:rPr>
          <w:rFonts w:hint="eastAsia"/>
        </w:rPr>
        <w:t>building</w:t>
      </w:r>
      <w:r>
        <w:t>’</w:t>
      </w:r>
      <w:r>
        <w:rPr>
          <w:rFonts w:hint="eastAsia"/>
        </w:rPr>
        <w:t xml:space="preserve">s </w:t>
      </w:r>
      <w:r w:rsidRPr="0029767E">
        <w:t>construction era</w:t>
      </w:r>
      <w:r>
        <w:fldChar w:fldCharType="begin">
          <w:fldData xml:space="preserve">PEVuZE5vdGU+PENpdGU+PEF1dGhvcj5NeWxvbmFzPC9BdXRob3I+PFllYXI+MjAyNDwvWWVhcj48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</w:fldData>
        </w:fldChar>
      </w:r>
      <w:r>
        <w:instrText xml:space="preserve"> ADDIN EN.CITE </w:instrText>
      </w:r>
      <w:r>
        <w:fldChar w:fldCharType="begin">
          <w:fldData xml:space="preserve">PEVuZE5vdGU+PENpdGU+PEF1dGhvcj5NeWxvbmFzPC9BdXRob3I+PFllYXI+MjAyNDwvWWVhcj48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</w:fldData>
        </w:fldChar>
      </w:r>
      <w:r>
        <w:instrText xml:space="preserve"> ADDIN EN.CITE.DATA </w:instrText>
      </w:r>
      <w:r>
        <w:fldChar w:fldCharType="end"/>
      </w:r>
      <w:r>
        <w:fldChar w:fldCharType="separate"/>
      </w:r>
      <w:r w:rsidRPr="00A7029C">
        <w:rPr>
          <w:noProof/>
          <w:vertAlign w:val="superscript"/>
        </w:rPr>
        <w:t>53-56</w:t>
      </w:r>
      <w:r>
        <w:fldChar w:fldCharType="end"/>
      </w:r>
      <w:r w:rsidRPr="0029767E">
        <w:t xml:space="preserve">. </w:t>
      </w:r>
      <w:r w:rsidR="0060515A">
        <w:rPr>
          <w:rFonts w:hint="eastAsia"/>
        </w:rPr>
        <w:t xml:space="preserve">Third, </w:t>
      </w:r>
      <w:r>
        <w:rPr>
          <w:rFonts w:hint="eastAsia"/>
        </w:rPr>
        <w:t>to isolate</w:t>
      </w:r>
      <w:r w:rsidR="00CE0EB8">
        <w:t xml:space="preserve"> the </w:t>
      </w:r>
      <w:r w:rsidR="00CE0EB8">
        <w:rPr>
          <w:rFonts w:hint="eastAsia"/>
        </w:rPr>
        <w:t>sleep-period thermal comfort variation</w:t>
      </w:r>
      <w:r w:rsidR="00CE0EB8">
        <w:t xml:space="preserve"> under</w:t>
      </w:r>
      <w:r w:rsidR="00CE0EB8">
        <w:rPr>
          <w:rFonts w:hint="eastAsia"/>
        </w:rPr>
        <w:t xml:space="preserve"> climate change, while other </w:t>
      </w:r>
      <w:r w:rsidR="00CE0EB8">
        <w:t xml:space="preserve">system-level </w:t>
      </w:r>
      <w:r w:rsidR="00CE0EB8">
        <w:rPr>
          <w:rFonts w:hint="eastAsia"/>
        </w:rPr>
        <w:t xml:space="preserve">factors such as </w:t>
      </w:r>
      <w:r w:rsidR="00CE0EB8" w:rsidRPr="004A62D1">
        <w:t xml:space="preserve">renewable </w:t>
      </w:r>
      <w:r w:rsidR="00CE0EB8">
        <w:rPr>
          <w:rFonts w:hint="eastAsia"/>
        </w:rPr>
        <w:t>integration and efficiency improvement</w:t>
      </w:r>
      <w:r w:rsidR="00CE0EB8">
        <w:t>s</w:t>
      </w:r>
      <w:r w:rsidR="00CE0EB8">
        <w:rPr>
          <w:rFonts w:hint="eastAsia"/>
        </w:rPr>
        <w:t xml:space="preserve"> are </w:t>
      </w:r>
      <w:r>
        <w:rPr>
          <w:rFonts w:hint="eastAsia"/>
        </w:rPr>
        <w:t xml:space="preserve">assumed </w:t>
      </w:r>
      <w:r w:rsidRPr="0029767E">
        <w:t>as constants in future projections</w:t>
      </w:r>
      <w:r w:rsidR="00CE0EB8" w:rsidRPr="004A62D1">
        <w:t>.</w:t>
      </w:r>
      <w:r w:rsidR="00CE0EB8">
        <w:rPr>
          <w:rFonts w:hint="eastAsia"/>
        </w:rPr>
        <w:t xml:space="preserve"> </w:t>
      </w:r>
      <w:r w:rsidR="00CE0EB8" w:rsidRPr="00F50A30">
        <w:rPr>
          <w:rFonts w:hint="eastAsia"/>
          <w:highlight w:val="yellow"/>
          <w:lang w:val="en-GB"/>
        </w:rPr>
        <w:t xml:space="preserve">Detailed </w:t>
      </w:r>
      <w:r w:rsidRPr="0029767E">
        <w:t xml:space="preserve">configurations </w:t>
      </w:r>
      <w:r w:rsidR="00CE0EB8">
        <w:rPr>
          <w:rFonts w:hint="eastAsia"/>
          <w:lang w:val="en-GB"/>
        </w:rPr>
        <w:t xml:space="preserve">on </w:t>
      </w:r>
      <w:r w:rsidR="00CE0EB8" w:rsidRPr="001653A1">
        <w:rPr>
          <w:lang w:val="en-GB"/>
        </w:rPr>
        <w:t xml:space="preserve">EnergyPlus </w:t>
      </w:r>
      <w:r w:rsidR="00CE0EB8">
        <w:rPr>
          <w:rFonts w:hint="eastAsia"/>
          <w:lang w:val="en-GB"/>
        </w:rPr>
        <w:t xml:space="preserve">simulation, including the </w:t>
      </w:r>
      <w:r w:rsidR="00CE0EB8" w:rsidRPr="001653A1">
        <w:rPr>
          <w:lang w:val="en-GB"/>
        </w:rPr>
        <w:t>specific infiltration</w:t>
      </w:r>
      <w:r w:rsidR="00CE0EB8">
        <w:rPr>
          <w:rFonts w:hint="eastAsia"/>
          <w:lang w:val="en-GB"/>
        </w:rPr>
        <w:t>s</w:t>
      </w:r>
      <w:r w:rsidR="00CE0EB8" w:rsidRPr="001653A1">
        <w:rPr>
          <w:lang w:val="en-GB"/>
        </w:rPr>
        <w:t>, internal gains, HVAC templates, and schedules</w:t>
      </w:r>
      <w:r w:rsidR="00CE0EB8">
        <w:rPr>
          <w:rFonts w:hint="eastAsia"/>
          <w:lang w:val="en-GB"/>
        </w:rPr>
        <w:t>,</w:t>
      </w:r>
      <w:r w:rsidR="00CE0EB8" w:rsidRPr="001653A1">
        <w:rPr>
          <w:lang w:val="en-GB"/>
        </w:rPr>
        <w:t xml:space="preserve"> are provided in </w:t>
      </w:r>
      <w:r w:rsidR="00CE0EB8" w:rsidRPr="001653A1">
        <w:rPr>
          <w:b/>
          <w:bCs/>
          <w:lang w:val="en-GB"/>
        </w:rPr>
        <w:t>Supplementary S</w:t>
      </w:r>
      <w:r w:rsidR="00CE0EB8">
        <w:rPr>
          <w:rFonts w:hint="eastAsia"/>
          <w:b/>
          <w:bCs/>
          <w:lang w:val="en-GB"/>
        </w:rPr>
        <w:t>3</w:t>
      </w:r>
      <w:r w:rsidR="00CE0EB8">
        <w:rPr>
          <w:rFonts w:hint="eastAsia"/>
          <w:lang w:val="en-GB"/>
        </w:rPr>
        <w:t>.</w:t>
      </w:r>
    </w:p>
    <w:p w14:paraId="7953BA91" w14:textId="77777777" w:rsidR="002F0E50" w:rsidRPr="0060515A" w:rsidRDefault="002F0E50" w:rsidP="00BA01F1">
      <w:pPr>
        <w:spacing w:afterLines="50" w:after="163"/>
        <w:ind w:firstLine="420"/>
      </w:pPr>
    </w:p>
    <w:p w14:paraId="4FA2438C" w14:textId="1536C228" w:rsidR="00DC175F" w:rsidRPr="007676B4" w:rsidRDefault="005049F2" w:rsidP="007676B4">
      <w:pPr>
        <w:pStyle w:val="Heading2"/>
      </w:pPr>
      <w:r>
        <w:rPr>
          <w:rFonts w:hint="eastAsia"/>
        </w:rPr>
        <w:t>Simulating s</w:t>
      </w:r>
      <w:r w:rsidR="00896777" w:rsidRPr="00896777">
        <w:t>leep-period discomfort</w:t>
      </w:r>
    </w:p>
    <w:p w14:paraId="6CCE9785" w14:textId="43FD05AA" w:rsidR="00213F4D" w:rsidRPr="00213F4D" w:rsidRDefault="00213F4D" w:rsidP="00BA01F1">
      <w:pPr>
        <w:spacing w:afterLines="50" w:after="163"/>
        <w:ind w:firstLine="420"/>
      </w:pPr>
      <w:r w:rsidRPr="00213F4D">
        <w:t xml:space="preserve">To </w:t>
      </w:r>
      <w:r>
        <w:rPr>
          <w:rFonts w:hint="eastAsia"/>
        </w:rPr>
        <w:t xml:space="preserve">further </w:t>
      </w:r>
      <w:r w:rsidRPr="00213F4D">
        <w:t xml:space="preserve">translate the indoor microclimates into human physiological heat stress, we employed the Standard Effective Temperature (SET) as our core </w:t>
      </w:r>
      <w:r>
        <w:rPr>
          <w:rFonts w:hint="eastAsia"/>
        </w:rPr>
        <w:t xml:space="preserve">evaluation </w:t>
      </w:r>
      <w:r w:rsidRPr="00213F4D">
        <w:t xml:space="preserve">metric. Unlike simple air temperature, </w:t>
      </w:r>
      <w:commentRangeStart w:id="7"/>
      <w:r w:rsidRPr="00213F4D">
        <w:t xml:space="preserve">SET </w:t>
      </w:r>
      <w:commentRangeEnd w:id="7"/>
      <w:r w:rsidRPr="00213F4D">
        <w:rPr>
          <w:rStyle w:val="CommentReference"/>
          <w:sz w:val="24"/>
        </w:rPr>
        <w:commentReference w:id="7"/>
      </w:r>
      <w:r w:rsidRPr="00213F4D">
        <w:t xml:space="preserve">is a comprehensive biometeorological index that integrates </w:t>
      </w:r>
      <w:r w:rsidRPr="00213F4D">
        <w:rPr>
          <w:highlight w:val="yellow"/>
        </w:rPr>
        <w:t>indoor air temperature, mean radiant temperature (capturing the thermal radiation from the heated building envelope), relative humidity, and indoor air velocity</w:t>
      </w:r>
      <w:r w:rsidRPr="00213F4D">
        <w:t>. These transient variables were directly coupled from the UBEM outputs at an hourly resolution. We specifically isolated the sleep perio</w:t>
      </w:r>
      <w:r w:rsidRPr="00B76021">
        <w:rPr>
          <w:highlight w:val="yellow"/>
        </w:rPr>
        <w:t>d (e.g., 22:00 to 08:00),</w:t>
      </w:r>
      <w:r w:rsidRPr="00213F4D">
        <w:t xml:space="preserve"> as elevated nighttime temperatures critically disrupt the human body</w:t>
      </w:r>
      <w:r>
        <w:t>’</w:t>
      </w:r>
      <w:r w:rsidRPr="00213F4D">
        <w:t>s natural thermoregulatory recovery, representing a pivotal window of physiological vulnerability.</w:t>
      </w:r>
      <w:r w:rsidR="00BA01F1">
        <w:rPr>
          <w:rFonts w:hint="eastAsia"/>
        </w:rPr>
        <w:t xml:space="preserve"> </w:t>
      </w:r>
      <w:r w:rsidRPr="00213F4D">
        <w:t>To conceptualize the interplay between thermal exposure and adaptation under intensified future warming, we evaluated the sleep-period discomfort under two contrasting scenarios:</w:t>
      </w:r>
    </w:p>
    <w:p w14:paraId="4C97B1C4" w14:textId="19AD6003" w:rsidR="00213F4D" w:rsidRPr="00213F4D" w:rsidRDefault="00BA01F1" w:rsidP="00BA01F1">
      <w:pPr>
        <w:spacing w:afterLines="50" w:after="163"/>
        <w:ind w:firstLine="420"/>
      </w:pPr>
      <w:r>
        <w:rPr>
          <w:rFonts w:hint="eastAsia"/>
        </w:rPr>
        <w:t xml:space="preserve">(i) </w:t>
      </w:r>
      <w:r w:rsidR="00213F4D" w:rsidRPr="00213F4D">
        <w:t>In th</w:t>
      </w:r>
      <w:r w:rsidR="00B76021">
        <w:rPr>
          <w:rFonts w:hint="eastAsia"/>
        </w:rPr>
        <w:t xml:space="preserve">e </w:t>
      </w:r>
      <w:r w:rsidR="00213F4D" w:rsidRPr="00213F4D">
        <w:t xml:space="preserve">baseline configuration, we constrained the air conditioning (AC) systems strictly to their current installation capacities and penetration rates. </w:t>
      </w:r>
      <w:r>
        <w:rPr>
          <w:rFonts w:hint="eastAsia"/>
        </w:rPr>
        <w:t>T</w:t>
      </w:r>
      <w:r w:rsidR="00213F4D" w:rsidRPr="00213F4D">
        <w:t>h</w:t>
      </w:r>
      <w:r>
        <w:rPr>
          <w:rFonts w:hint="eastAsia"/>
        </w:rPr>
        <w:t>is</w:t>
      </w:r>
      <w:r w:rsidR="00213F4D" w:rsidRPr="00213F4D">
        <w:t xml:space="preserve"> existing </w:t>
      </w:r>
      <w:r>
        <w:rPr>
          <w:rFonts w:hint="eastAsia"/>
        </w:rPr>
        <w:t>AC setup</w:t>
      </w:r>
      <w:r w:rsidR="00213F4D" w:rsidRPr="00213F4D">
        <w:t xml:space="preserve"> afford</w:t>
      </w:r>
      <w:r>
        <w:rPr>
          <w:rFonts w:hint="eastAsia"/>
        </w:rPr>
        <w:t>s</w:t>
      </w:r>
      <w:r w:rsidR="00213F4D" w:rsidRPr="00213F4D">
        <w:t xml:space="preserve"> a baseline level of sheltering</w:t>
      </w:r>
      <w:r w:rsidRPr="00BA01F1">
        <w:t xml:space="preserve"> </w:t>
      </w:r>
      <w:r w:rsidRPr="00213F4D">
        <w:t>currently</w:t>
      </w:r>
      <w:r w:rsidR="00213F4D" w:rsidRPr="00213F4D">
        <w:t>, leaving only marginal discomfort hours</w:t>
      </w:r>
      <w:r>
        <w:rPr>
          <w:rFonts w:hint="eastAsia"/>
        </w:rPr>
        <w:t>.</w:t>
      </w:r>
      <w:r w:rsidR="00213F4D" w:rsidRPr="00213F4D">
        <w:t xml:space="preserve"> </w:t>
      </w:r>
      <w:r>
        <w:rPr>
          <w:rFonts w:hint="eastAsia"/>
        </w:rPr>
        <w:t>O</w:t>
      </w:r>
      <w:r w:rsidR="00213F4D" w:rsidRPr="00213F4D">
        <w:t xml:space="preserve">ur simulations reveal how projected </w:t>
      </w:r>
      <w:r w:rsidR="005E234C">
        <w:rPr>
          <w:rFonts w:hint="eastAsia"/>
        </w:rPr>
        <w:t>future</w:t>
      </w:r>
      <w:r w:rsidR="00213F4D" w:rsidRPr="00213F4D">
        <w:t xml:space="preserve"> </w:t>
      </w:r>
      <w:r>
        <w:rPr>
          <w:rFonts w:hint="eastAsia"/>
        </w:rPr>
        <w:t xml:space="preserve">increasing outdoor </w:t>
      </w:r>
      <w:r w:rsidR="00213F4D" w:rsidRPr="00213F4D">
        <w:t>temperature will breach</w:t>
      </w:r>
      <w:r w:rsidR="005E234C">
        <w:rPr>
          <w:rFonts w:hint="eastAsia"/>
        </w:rPr>
        <w:t xml:space="preserve"> </w:t>
      </w:r>
      <w:r>
        <w:rPr>
          <w:rFonts w:hint="eastAsia"/>
        </w:rPr>
        <w:t xml:space="preserve">the </w:t>
      </w:r>
      <w:r w:rsidR="00213F4D" w:rsidRPr="00213F4D">
        <w:t>existing s</w:t>
      </w:r>
      <w:r>
        <w:rPr>
          <w:rFonts w:hint="eastAsia"/>
        </w:rPr>
        <w:t>tatus,</w:t>
      </w:r>
      <w:r w:rsidR="00213F4D" w:rsidRPr="00213F4D">
        <w:t xml:space="preserve"> resulting </w:t>
      </w:r>
      <w:r>
        <w:rPr>
          <w:rFonts w:hint="eastAsia"/>
        </w:rPr>
        <w:t xml:space="preserve">in a </w:t>
      </w:r>
      <w:r w:rsidR="00213F4D" w:rsidRPr="00213F4D">
        <w:t xml:space="preserve">surge </w:t>
      </w:r>
      <w:r>
        <w:rPr>
          <w:rFonts w:hint="eastAsia"/>
        </w:rPr>
        <w:t>of</w:t>
      </w:r>
      <w:r w:rsidR="00213F4D" w:rsidRPr="00213F4D">
        <w:t xml:space="preserve"> sleep-</w:t>
      </w:r>
      <w:r w:rsidR="00213F4D" w:rsidRPr="00213F4D">
        <w:lastRenderedPageBreak/>
        <w:t>period discomfort hours.</w:t>
      </w:r>
    </w:p>
    <w:p w14:paraId="56D37276" w14:textId="51D10303" w:rsidR="005E234C" w:rsidRDefault="00BA01F1" w:rsidP="00BA01F1">
      <w:pPr>
        <w:spacing w:afterLines="50" w:after="163"/>
        <w:ind w:firstLine="420"/>
      </w:pPr>
      <w:r w:rsidRPr="00BA01F1">
        <w:rPr>
          <w:rFonts w:hint="eastAsia"/>
        </w:rPr>
        <w:t xml:space="preserve">(ii) </w:t>
      </w:r>
      <w:r w:rsidR="00213F4D" w:rsidRPr="00213F4D">
        <w:t>To quantify the cost of maintaining absolute thermal safety</w:t>
      </w:r>
      <w:r>
        <w:rPr>
          <w:rFonts w:hint="eastAsia"/>
        </w:rPr>
        <w:t xml:space="preserve"> for all</w:t>
      </w:r>
      <w:r w:rsidR="00213F4D" w:rsidRPr="00213F4D">
        <w:t>, we employed the</w:t>
      </w:r>
      <w:r w:rsidR="005E234C">
        <w:rPr>
          <w:rFonts w:hint="eastAsia"/>
        </w:rPr>
        <w:t xml:space="preserve"> </w:t>
      </w:r>
      <w:r w:rsidR="00213F4D" w:rsidRPr="00213F4D">
        <w:t>autosiz</w:t>
      </w:r>
      <w:r w:rsidR="005E234C">
        <w:rPr>
          <w:rFonts w:hint="eastAsia"/>
        </w:rPr>
        <w:t>ing</w:t>
      </w:r>
      <w:r w:rsidR="00213F4D" w:rsidRPr="00213F4D">
        <w:t xml:space="preserve"> function within the EnergyPlus engine. This protocol simulates an adaptive environment where AC capacities and operational durations dynamically uncap and scale to perfectly </w:t>
      </w:r>
      <w:r w:rsidR="005E234C">
        <w:rPr>
          <w:rFonts w:hint="eastAsia"/>
        </w:rPr>
        <w:t>fulfill</w:t>
      </w:r>
      <w:r w:rsidR="00213F4D" w:rsidRPr="00213F4D">
        <w:t xml:space="preserve"> any cooling load, thereby driving the indoor SET back into the comfort zone. </w:t>
      </w:r>
      <w:r w:rsidR="005E234C">
        <w:rPr>
          <w:rFonts w:hint="eastAsia"/>
        </w:rPr>
        <w:t xml:space="preserve">Consequently, the </w:t>
      </w:r>
      <w:r w:rsidR="005E234C" w:rsidRPr="00213F4D">
        <w:t>building</w:t>
      </w:r>
      <w:r w:rsidR="005E234C">
        <w:t>’</w:t>
      </w:r>
      <w:r w:rsidR="005E234C">
        <w:rPr>
          <w:rFonts w:hint="eastAsia"/>
        </w:rPr>
        <w:t>s</w:t>
      </w:r>
      <w:r w:rsidR="005E234C" w:rsidRPr="00213F4D">
        <w:t xml:space="preserve"> cooling Energy Use Intensity (EUI) </w:t>
      </w:r>
      <w:r w:rsidR="005E234C">
        <w:rPr>
          <w:rFonts w:hint="eastAsia"/>
        </w:rPr>
        <w:t xml:space="preserve">would surge </w:t>
      </w:r>
      <w:r w:rsidR="005E234C" w:rsidRPr="00213F4D">
        <w:t>to artificially buy back sleep</w:t>
      </w:r>
      <w:r w:rsidR="005E234C">
        <w:rPr>
          <w:rFonts w:hint="eastAsia"/>
        </w:rPr>
        <w:t>-period discomfort</w:t>
      </w:r>
      <w:r w:rsidR="005E234C" w:rsidRPr="00213F4D">
        <w:t xml:space="preserve"> in a warming climate</w:t>
      </w:r>
      <w:r w:rsidR="005E234C" w:rsidRPr="005E234C">
        <w:rPr>
          <w:rFonts w:hint="eastAsia"/>
        </w:rPr>
        <w:t>.</w:t>
      </w:r>
    </w:p>
    <w:p w14:paraId="774367CF" w14:textId="77777777" w:rsidR="002F0E50" w:rsidRPr="005E234C" w:rsidRDefault="002F0E50" w:rsidP="00BA01F1">
      <w:pPr>
        <w:spacing w:afterLines="50" w:after="163"/>
        <w:ind w:firstLine="420"/>
      </w:pPr>
    </w:p>
    <w:p w14:paraId="18E513BE" w14:textId="33A153DB" w:rsidR="005049F2" w:rsidRDefault="00AD7E62" w:rsidP="005049F2">
      <w:pPr>
        <w:pStyle w:val="Heading2"/>
      </w:pPr>
      <w:r>
        <w:rPr>
          <w:rFonts w:hint="eastAsia"/>
        </w:rPr>
        <w:t>Two</w:t>
      </w:r>
      <w:r w:rsidRPr="00CD6DE2">
        <w:t>-tiered</w:t>
      </w:r>
      <w:r>
        <w:rPr>
          <w:rFonts w:hint="eastAsia"/>
        </w:rPr>
        <w:t xml:space="preserve"> v</w:t>
      </w:r>
      <w:r w:rsidR="005049F2">
        <w:rPr>
          <w:rFonts w:hint="eastAsia"/>
        </w:rPr>
        <w:t>alidation</w:t>
      </w:r>
      <w:r>
        <w:rPr>
          <w:rFonts w:hint="eastAsia"/>
        </w:rPr>
        <w:t xml:space="preserve"> of both </w:t>
      </w:r>
      <w:r w:rsidRPr="00AD7E62">
        <w:t>quantity and distribution</w:t>
      </w:r>
    </w:p>
    <w:p w14:paraId="47DE31E6" w14:textId="2A118A58" w:rsidR="00B76021" w:rsidRDefault="00CD6DE2" w:rsidP="00BA01F1">
      <w:pPr>
        <w:spacing w:afterLines="50" w:after="163"/>
        <w:ind w:firstLine="420"/>
      </w:pPr>
      <w:r w:rsidRPr="00CD6DE2">
        <w:t xml:space="preserve">To ensure both the epidemiological fidelity and the spatial-behavioral robustness of our </w:t>
      </w:r>
      <w:r>
        <w:rPr>
          <w:rFonts w:hint="eastAsia"/>
        </w:rPr>
        <w:t>simulation</w:t>
      </w:r>
      <w:r w:rsidRPr="00CD6DE2">
        <w:t xml:space="preserve">, we implemented a </w:t>
      </w:r>
      <w:r>
        <w:rPr>
          <w:rFonts w:hint="eastAsia"/>
        </w:rPr>
        <w:t>two</w:t>
      </w:r>
      <w:r w:rsidRPr="00CD6DE2">
        <w:t>-tiered cross-validation, bridging macro-scale public health consensus with micro-scale empirical social feedback.</w:t>
      </w:r>
    </w:p>
    <w:p w14:paraId="463D471A" w14:textId="79267E91" w:rsidR="00B76021" w:rsidRDefault="00CD6DE2" w:rsidP="00BA01F1">
      <w:pPr>
        <w:spacing w:afterLines="50" w:after="163"/>
        <w:ind w:firstLine="420"/>
      </w:pPr>
      <w:r>
        <w:rPr>
          <w:rFonts w:hint="eastAsia"/>
        </w:rPr>
        <w:t xml:space="preserve">(i) </w:t>
      </w:r>
      <w:r w:rsidRPr="00CD6DE2">
        <w:t>At the fundamental physic</w:t>
      </w:r>
      <w:r w:rsidR="009F50B6">
        <w:rPr>
          <w:rFonts w:hint="eastAsia"/>
        </w:rPr>
        <w:t>s-based</w:t>
      </w:r>
      <w:r w:rsidRPr="00CD6DE2">
        <w:t xml:space="preserve"> modeling level, our configurations </w:t>
      </w:r>
      <w:r w:rsidR="009F50B6">
        <w:rPr>
          <w:rFonts w:hint="eastAsia"/>
        </w:rPr>
        <w:t xml:space="preserve">for simulation </w:t>
      </w:r>
      <w:r w:rsidRPr="00CD6DE2">
        <w:t xml:space="preserve">were first strictly benchmarked against national building codes and </w:t>
      </w:r>
      <w:r>
        <w:rPr>
          <w:rFonts w:hint="eastAsia"/>
        </w:rPr>
        <w:t xml:space="preserve">peer-reviewed </w:t>
      </w:r>
      <w:r w:rsidRPr="003A608B">
        <w:rPr>
          <w:highlight w:val="yellow"/>
        </w:rPr>
        <w:t>publi</w:t>
      </w:r>
      <w:r>
        <w:rPr>
          <w:rFonts w:hint="eastAsia"/>
        </w:rPr>
        <w:t>cations</w:t>
      </w:r>
      <w:r w:rsidRPr="00CD6DE2">
        <w:t xml:space="preserve"> [XXX].</w:t>
      </w:r>
      <w:r>
        <w:rPr>
          <w:rFonts w:hint="eastAsia"/>
        </w:rPr>
        <w:t xml:space="preserve"> T</w:t>
      </w:r>
      <w:r w:rsidRPr="005E234C">
        <w:t>he</w:t>
      </w:r>
      <w:r>
        <w:rPr>
          <w:rFonts w:hint="eastAsia"/>
        </w:rPr>
        <w:t xml:space="preserve">n, </w:t>
      </w:r>
      <w:r w:rsidRPr="00CD6DE2">
        <w:t xml:space="preserve">moving from building physics to human stress, the simulated magnitudes of per capita sleep-discomfort hours and the </w:t>
      </w:r>
      <w:r w:rsidRPr="005E234C">
        <w:t>number of affected people</w:t>
      </w:r>
      <w:r w:rsidRPr="00CD6DE2">
        <w:t xml:space="preserve"> </w:t>
      </w:r>
      <w:r w:rsidRPr="005E234C">
        <w:t xml:space="preserve">demonstrated strong concordance when validated against </w:t>
      </w:r>
      <w:r>
        <w:rPr>
          <w:rFonts w:hint="eastAsia"/>
        </w:rPr>
        <w:t>well-</w:t>
      </w:r>
      <w:r w:rsidRPr="003A608B">
        <w:t>recognized</w:t>
      </w:r>
      <w:r>
        <w:rPr>
          <w:rFonts w:hint="eastAsia"/>
        </w:rPr>
        <w:t xml:space="preserve"> </w:t>
      </w:r>
      <w:r w:rsidRPr="005E234C">
        <w:t xml:space="preserve">epidemiological assessments, </w:t>
      </w:r>
      <w:r w:rsidRPr="003A608B">
        <w:rPr>
          <w:highlight w:val="yellow"/>
        </w:rPr>
        <w:t>notably the</w:t>
      </w:r>
      <w:r w:rsidRPr="003A608B">
        <w:rPr>
          <w:rFonts w:hint="eastAsia"/>
          <w:highlight w:val="yellow"/>
        </w:rPr>
        <w:t xml:space="preserve"> </w:t>
      </w:r>
      <w:r w:rsidRPr="003A608B">
        <w:rPr>
          <w:i/>
          <w:iCs/>
          <w:highlight w:val="yellow"/>
        </w:rPr>
        <w:t>Lancet Countdown</w:t>
      </w:r>
      <w:r w:rsidRPr="003A608B">
        <w:rPr>
          <w:rFonts w:hint="eastAsia"/>
          <w:highlight w:val="yellow"/>
        </w:rPr>
        <w:t xml:space="preserve"> </w:t>
      </w:r>
      <w:r w:rsidRPr="003A608B">
        <w:rPr>
          <w:highlight w:val="yellow"/>
        </w:rPr>
        <w:t>reports, as well as highly resolved regional findings published in recent</w:t>
      </w:r>
      <w:r w:rsidRPr="003A608B">
        <w:rPr>
          <w:rFonts w:hint="eastAsia"/>
          <w:highlight w:val="yellow"/>
        </w:rPr>
        <w:t xml:space="preserve"> </w:t>
      </w:r>
      <w:r>
        <w:rPr>
          <w:rFonts w:hint="eastAsia"/>
        </w:rPr>
        <w:t xml:space="preserve">peer-reviewed </w:t>
      </w:r>
      <w:r w:rsidRPr="003A608B">
        <w:rPr>
          <w:highlight w:val="yellow"/>
        </w:rPr>
        <w:t>publi</w:t>
      </w:r>
      <w:r>
        <w:rPr>
          <w:rFonts w:hint="eastAsia"/>
        </w:rPr>
        <w:t xml:space="preserve">cations </w:t>
      </w:r>
      <w:r w:rsidRPr="00CD6DE2">
        <w:t>[XXX].</w:t>
      </w:r>
      <w:r>
        <w:rPr>
          <w:rFonts w:hint="eastAsia"/>
        </w:rPr>
        <w:t xml:space="preserve"> </w:t>
      </w:r>
      <w:r w:rsidRPr="00CD6DE2">
        <w:t>This top-down validation confirms that our derived physiological metrics accurately reflect the aggregate energetic realties and documented public health burdens of a warming climate.</w:t>
      </w:r>
    </w:p>
    <w:p w14:paraId="6EB9D969" w14:textId="4E0C3AEC" w:rsidR="00CD6DE2" w:rsidRDefault="00CD6DE2" w:rsidP="00BA01F1">
      <w:pPr>
        <w:spacing w:afterLines="50" w:after="163"/>
        <w:ind w:firstLine="420"/>
      </w:pPr>
      <w:r>
        <w:rPr>
          <w:rFonts w:hint="eastAsia"/>
        </w:rPr>
        <w:t>(ii) Beyond</w:t>
      </w:r>
      <w:r w:rsidRPr="00CD6DE2">
        <w:t xml:space="preserve"> epidemiological reports validate the quantitative magnitude of thermal risks, validating the</w:t>
      </w:r>
      <w:r>
        <w:rPr>
          <w:rFonts w:hint="eastAsia"/>
        </w:rPr>
        <w:t xml:space="preserve"> </w:t>
      </w:r>
      <w:r w:rsidRPr="00B76021">
        <w:t>spatial distribution</w:t>
      </w:r>
      <w:r w:rsidRPr="00B76021">
        <w:rPr>
          <w:rFonts w:hint="eastAsia"/>
        </w:rPr>
        <w:t xml:space="preserve"> </w:t>
      </w:r>
      <w:r w:rsidRPr="00CD6DE2">
        <w:t>of such risks requires unprecedented granular observations</w:t>
      </w:r>
      <w:r w:rsidR="00B76021">
        <w:rPr>
          <w:rFonts w:hint="eastAsia"/>
        </w:rPr>
        <w:t xml:space="preserve"> [XXNC]</w:t>
      </w:r>
      <w:r w:rsidRPr="00CD6DE2">
        <w:t>. To bridge this gap, we introduced a</w:t>
      </w:r>
      <w:r w:rsidR="00B76021">
        <w:rPr>
          <w:rFonts w:hint="eastAsia"/>
        </w:rPr>
        <w:t>n interesting</w:t>
      </w:r>
      <w:r w:rsidRPr="00CD6DE2">
        <w:t xml:space="preserve"> spatial validation approach leveraging high-resolution social sensing networks. We performed targeted data mining on Weibo (China’s largest microblogging platform) to extract massive, geotagged user-generated texts during </w:t>
      </w:r>
      <w:r w:rsidR="00B76021">
        <w:rPr>
          <w:rFonts w:hint="eastAsia"/>
        </w:rPr>
        <w:t>last 5 years</w:t>
      </w:r>
      <w:r w:rsidRPr="00CD6DE2">
        <w:t xml:space="preserve"> summer heatwaves. By applying natural language processing logic to identify specific semantic markers of nocturnal heat stress (e.g., user-declared complaints of </w:t>
      </w:r>
      <w:r w:rsidR="00B76021">
        <w:t>“</w:t>
      </w:r>
      <w:r w:rsidRPr="00CD6DE2">
        <w:t>too hot to sleep</w:t>
      </w:r>
      <w:r w:rsidR="00B76021">
        <w:t>”</w:t>
      </w:r>
      <w:r w:rsidRPr="00CD6DE2">
        <w:t xml:space="preserve">), we reconstructed an empirical spatial distribution of real-world </w:t>
      </w:r>
      <w:r w:rsidR="00B76021">
        <w:rPr>
          <w:rFonts w:hint="eastAsia"/>
        </w:rPr>
        <w:t>discomfort</w:t>
      </w:r>
      <w:r w:rsidRPr="00CD6DE2">
        <w:t xml:space="preserve">. Crucially, the spatial clustering of these geotagged physiological complaints aligned remarkably well with the theoretical </w:t>
      </w:r>
      <w:r w:rsidR="00B76021">
        <w:t>“</w:t>
      </w:r>
      <w:r w:rsidRPr="00CD6DE2">
        <w:t>vulnerability hotspots</w:t>
      </w:r>
      <w:r w:rsidR="00B76021">
        <w:t>”</w:t>
      </w:r>
      <w:r w:rsidRPr="00CD6DE2">
        <w:t xml:space="preserve"> independently predicted by our building-level SET simulations</w:t>
      </w:r>
      <w:r w:rsidR="00B76021">
        <w:rPr>
          <w:rFonts w:hint="eastAsia"/>
        </w:rPr>
        <w:t xml:space="preserve"> (see </w:t>
      </w:r>
      <w:r w:rsidR="00B76021" w:rsidRPr="00B76021">
        <w:rPr>
          <w:b/>
          <w:bCs/>
        </w:rPr>
        <w:t>Supplementary</w:t>
      </w:r>
      <w:r w:rsidR="00B76021" w:rsidRPr="00B76021">
        <w:rPr>
          <w:rFonts w:hint="eastAsia"/>
          <w:b/>
          <w:bCs/>
        </w:rPr>
        <w:t xml:space="preserve"> XX</w:t>
      </w:r>
      <w:r w:rsidR="00B76021">
        <w:rPr>
          <w:rFonts w:hint="eastAsia"/>
        </w:rPr>
        <w:t>)</w:t>
      </w:r>
      <w:r w:rsidRPr="00CD6DE2">
        <w:t>.</w:t>
      </w:r>
    </w:p>
    <w:p w14:paraId="091B03A8" w14:textId="476DBE05" w:rsidR="00B76021" w:rsidRDefault="00B76021" w:rsidP="00BA01F1">
      <w:pPr>
        <w:spacing w:afterLines="50" w:after="163"/>
        <w:ind w:firstLine="420"/>
      </w:pPr>
      <w:r>
        <w:rPr>
          <w:rFonts w:hint="eastAsia"/>
        </w:rPr>
        <w:t>Such a</w:t>
      </w:r>
      <w:r w:rsidRPr="00B76021">
        <w:t xml:space="preserve"> multifaceted validation anchor</w:t>
      </w:r>
      <w:r>
        <w:rPr>
          <w:rFonts w:hint="eastAsia"/>
        </w:rPr>
        <w:t>s</w:t>
      </w:r>
      <w:r w:rsidRPr="00B76021">
        <w:t xml:space="preserve"> </w:t>
      </w:r>
      <w:r>
        <w:rPr>
          <w:rFonts w:hint="eastAsia"/>
        </w:rPr>
        <w:t xml:space="preserve">our </w:t>
      </w:r>
      <w:r w:rsidRPr="005E234C">
        <w:t>bottom-up</w:t>
      </w:r>
      <w:r>
        <w:rPr>
          <w:rFonts w:hint="eastAsia"/>
        </w:rPr>
        <w:t xml:space="preserve"> simulation</w:t>
      </w:r>
      <w:r w:rsidRPr="00B76021">
        <w:t xml:space="preserve"> with both top-down authoritative medical reports and crowdsourced behavior</w:t>
      </w:r>
      <w:r>
        <w:rPr>
          <w:rFonts w:hint="eastAsia"/>
        </w:rPr>
        <w:t>, evid</w:t>
      </w:r>
      <w:r w:rsidRPr="00B76021">
        <w:t>enc</w:t>
      </w:r>
      <w:r>
        <w:rPr>
          <w:rFonts w:hint="eastAsia"/>
        </w:rPr>
        <w:t>ing</w:t>
      </w:r>
      <w:r w:rsidRPr="00B76021">
        <w:t xml:space="preserve"> that our model accurately captures both the </w:t>
      </w:r>
      <w:r w:rsidRPr="00B76021">
        <w:lastRenderedPageBreak/>
        <w:t>true magnitude and the hidden spatial heterogeneities of urban thermal inequalities</w:t>
      </w:r>
      <w:r>
        <w:rPr>
          <w:rFonts w:hint="eastAsia"/>
        </w:rPr>
        <w:t xml:space="preserve">. </w:t>
      </w:r>
    </w:p>
    <w:p w14:paraId="49C1152A" w14:textId="77777777" w:rsidR="005E234C" w:rsidRPr="00213F4D" w:rsidRDefault="005E234C" w:rsidP="00AC7E68"/>
    <w:p w14:paraId="5DEA9271" w14:textId="65DC662E" w:rsidR="00DC175F" w:rsidRDefault="007676B4" w:rsidP="007676B4">
      <w:pPr>
        <w:pStyle w:val="Heading2"/>
      </w:pPr>
      <w:r w:rsidRPr="007676B4">
        <w:t>Socio-human data</w:t>
      </w:r>
      <w:r>
        <w:rPr>
          <w:rFonts w:hint="eastAsia"/>
        </w:rPr>
        <w:t xml:space="preserve"> fusion</w:t>
      </w:r>
    </w:p>
    <w:p w14:paraId="3FEEE1E7" w14:textId="722CEE32" w:rsidR="00172D82" w:rsidRDefault="003A608B" w:rsidP="003A608B">
      <w:r w:rsidRPr="003A608B">
        <w:t>To unmask the hidden spatial inequities in thermal vulnerability, our analytical pipeline coupl</w:t>
      </w:r>
      <w:r>
        <w:rPr>
          <w:rFonts w:hint="eastAsia"/>
        </w:rPr>
        <w:t>es</w:t>
      </w:r>
      <w:r w:rsidRPr="003A608B">
        <w:t xml:space="preserve"> the building-level physical simulations with high-resolution human geographies. Specifically, grid-level demographic censuses detailing the spatial distribution of physiologically sensitive cohorts</w:t>
      </w:r>
      <w:r>
        <w:rPr>
          <w:rFonts w:hint="eastAsia"/>
        </w:rPr>
        <w:t xml:space="preserve"> (i.e., </w:t>
      </w:r>
      <w:r w:rsidRPr="003A608B">
        <w:t>the elderly and children</w:t>
      </w:r>
      <w:r>
        <w:rPr>
          <w:rFonts w:hint="eastAsia"/>
        </w:rPr>
        <w:t xml:space="preserve">) </w:t>
      </w:r>
      <w:r w:rsidRPr="003A608B">
        <w:t xml:space="preserve">were spatially explicit overlaid onto our </w:t>
      </w:r>
      <w:r w:rsidR="009F50B6">
        <w:rPr>
          <w:rFonts w:hint="eastAsia"/>
        </w:rPr>
        <w:t>building information inventory</w:t>
      </w:r>
      <w:r w:rsidRPr="003A608B">
        <w:t xml:space="preserve">. This precise pixel-to-building alignment bridges the gap between thermodynamic building performance and localized demographic exposure, enabling us to pinpoint </w:t>
      </w:r>
      <w:r>
        <w:rPr>
          <w:rFonts w:hint="eastAsia"/>
        </w:rPr>
        <w:t xml:space="preserve">the </w:t>
      </w:r>
      <w:r w:rsidRPr="003A608B">
        <w:t xml:space="preserve">vulnerability hotspots where the breach of </w:t>
      </w:r>
      <w:r>
        <w:rPr>
          <w:rFonts w:hint="eastAsia"/>
        </w:rPr>
        <w:t>building</w:t>
      </w:r>
      <w:r>
        <w:t>’</w:t>
      </w:r>
      <w:r>
        <w:rPr>
          <w:rFonts w:hint="eastAsia"/>
        </w:rPr>
        <w:t xml:space="preserve">s </w:t>
      </w:r>
      <w:r w:rsidRPr="003A608B">
        <w:t>buffering disproportionately threatens sensitive populations.</w:t>
      </w:r>
    </w:p>
    <w:p w14:paraId="72FD5C52" w14:textId="77777777" w:rsidR="00172D82" w:rsidRPr="003A608B" w:rsidRDefault="00172D82" w:rsidP="003A608B"/>
    <w:p w14:paraId="54A0EB1F" w14:textId="48642064" w:rsidR="003A608B" w:rsidRPr="003A608B" w:rsidRDefault="003A608B" w:rsidP="003A608B">
      <w:r w:rsidRPr="003A608B">
        <w:t xml:space="preserve">For future climate projections (i.e., 2040 and 2060), we </w:t>
      </w:r>
      <w:r>
        <w:rPr>
          <w:rFonts w:hint="eastAsia"/>
        </w:rPr>
        <w:t>assume</w:t>
      </w:r>
      <w:r w:rsidRPr="003A608B">
        <w:t xml:space="preserve"> </w:t>
      </w:r>
      <w:r>
        <w:rPr>
          <w:rFonts w:hint="eastAsia"/>
        </w:rPr>
        <w:t xml:space="preserve">a stationary </w:t>
      </w:r>
      <w:r w:rsidRPr="003A608B">
        <w:t>demographic structur</w:t>
      </w:r>
      <w:r w:rsidRPr="00172D82">
        <w:rPr>
          <w:rFonts w:hint="eastAsia"/>
        </w:rPr>
        <w:t>e</w:t>
      </w:r>
      <w:r w:rsidRPr="003A608B">
        <w:t xml:space="preserve">, holding the spatial footprints and age distribution of these cohorts constant at the current baseline level. This </w:t>
      </w:r>
      <w:r>
        <w:rPr>
          <w:rFonts w:hint="eastAsia"/>
        </w:rPr>
        <w:t>assumption</w:t>
      </w:r>
      <w:r w:rsidRPr="003A608B">
        <w:t xml:space="preserve"> is justifiable for the selected megacities</w:t>
      </w:r>
      <w:r>
        <w:rPr>
          <w:rFonts w:hint="eastAsia"/>
        </w:rPr>
        <w:t>,</w:t>
      </w:r>
      <w:r w:rsidRPr="003A608B">
        <w:t xml:space="preserve"> </w:t>
      </w:r>
      <w:r>
        <w:rPr>
          <w:rFonts w:hint="eastAsia"/>
        </w:rPr>
        <w:t>a</w:t>
      </w:r>
      <w:r w:rsidRPr="003A608B">
        <w:t xml:space="preserve">s </w:t>
      </w:r>
      <w:r>
        <w:rPr>
          <w:rFonts w:hint="eastAsia"/>
        </w:rPr>
        <w:t xml:space="preserve">they are </w:t>
      </w:r>
      <w:r w:rsidRPr="003A608B">
        <w:t>premier national economic hubs</w:t>
      </w:r>
      <w:r>
        <w:rPr>
          <w:rFonts w:hint="eastAsia"/>
        </w:rPr>
        <w:t xml:space="preserve"> with</w:t>
      </w:r>
      <w:r w:rsidRPr="003A608B">
        <w:t xml:space="preserve"> a robust and sustained demographic pull. The continuous, large-scale influx of younger labor migrants effectively replenishes the demographic profile, counterbalancing natural aging trajectories and ensuring a relatively steady-state macro age structure. More crucially</w:t>
      </w:r>
      <w:r>
        <w:rPr>
          <w:rFonts w:hint="eastAsia"/>
        </w:rPr>
        <w:t>,</w:t>
      </w:r>
      <w:r w:rsidRPr="003A608B">
        <w:t xml:space="preserve"> from a study design perspective, constraining the demographic variables, allows us to strictly isolate and quantify the spatially heterogeneous risks driven purely by the </w:t>
      </w:r>
      <w:r>
        <w:rPr>
          <w:rFonts w:hint="eastAsia"/>
        </w:rPr>
        <w:t>climatic</w:t>
      </w:r>
      <w:r w:rsidRPr="003A608B">
        <w:t xml:space="preserve"> warming.</w:t>
      </w:r>
    </w:p>
    <w:p w14:paraId="02A5AEE4" w14:textId="77777777" w:rsidR="00DC175F" w:rsidRPr="00DC175F" w:rsidRDefault="00DC175F" w:rsidP="00AC7E68"/>
    <w:p w14:paraId="6CF9577D" w14:textId="3430FF61" w:rsidR="00FC00B9" w:rsidRDefault="00FC00B9" w:rsidP="003B2A66">
      <w:pPr>
        <w:pStyle w:val="Heading1"/>
      </w:pPr>
      <w:r>
        <w:rPr>
          <w:rFonts w:hint="eastAsia"/>
        </w:rPr>
        <w:t>Data availability</w:t>
      </w:r>
    </w:p>
    <w:p w14:paraId="400E8939" w14:textId="669495B4" w:rsidR="007676B4" w:rsidRDefault="009F50B6" w:rsidP="007676B4">
      <w:r>
        <w:rPr>
          <w:rFonts w:hint="eastAsia"/>
        </w:rPr>
        <w:t>列出用到的数据</w:t>
      </w:r>
    </w:p>
    <w:p w14:paraId="4B1E9ADF" w14:textId="23650875" w:rsidR="009F50B6" w:rsidRDefault="009F50B6" w:rsidP="007676B4">
      <w:r>
        <w:rPr>
          <w:rFonts w:hint="eastAsia"/>
        </w:rPr>
        <w:t>（</w:t>
      </w:r>
      <w:r>
        <w:rPr>
          <w:rFonts w:hint="eastAsia"/>
        </w:rPr>
        <w:t>1</w:t>
      </w:r>
      <w:r>
        <w:rPr>
          <w:rFonts w:hint="eastAsia"/>
        </w:rPr>
        <w:t>）</w:t>
      </w:r>
      <w:r>
        <w:rPr>
          <w:rFonts w:hint="eastAsia"/>
        </w:rPr>
        <w:t xml:space="preserve">building info inventory </w:t>
      </w:r>
      <w:r>
        <w:t>including</w:t>
      </w:r>
      <w:r>
        <w:rPr>
          <w:rFonts w:hint="eastAsia"/>
        </w:rPr>
        <w:t xml:space="preserve"> XXX buildings for six megacities, due to data privacy, </w:t>
      </w:r>
    </w:p>
    <w:p w14:paraId="5CBA0A38" w14:textId="76055168" w:rsidR="009F50B6" w:rsidRDefault="009F50B6" w:rsidP="007676B4">
      <w:r>
        <w:rPr>
          <w:rFonts w:hint="eastAsia"/>
        </w:rPr>
        <w:t>（</w:t>
      </w:r>
      <w:r>
        <w:rPr>
          <w:rFonts w:hint="eastAsia"/>
        </w:rPr>
        <w:t>2</w:t>
      </w:r>
      <w:r>
        <w:rPr>
          <w:rFonts w:hint="eastAsia"/>
        </w:rPr>
        <w:t>）</w:t>
      </w:r>
      <w:r>
        <w:rPr>
          <w:rFonts w:hint="eastAsia"/>
        </w:rPr>
        <w:t>hourly weather data for 2020 baseline and SSP1-2.6, SSP2-4.5, and SSP5-8.5 scenarios in 2040 and 2060</w:t>
      </w:r>
    </w:p>
    <w:p w14:paraId="109D5A2E" w14:textId="388EB04A" w:rsidR="009F50B6" w:rsidRDefault="009F50B6" w:rsidP="007676B4">
      <w:r>
        <w:rPr>
          <w:rFonts w:hint="eastAsia"/>
        </w:rPr>
        <w:t>（</w:t>
      </w:r>
      <w:r>
        <w:rPr>
          <w:rFonts w:hint="eastAsia"/>
        </w:rPr>
        <w:t>3</w:t>
      </w:r>
      <w:r>
        <w:rPr>
          <w:rFonts w:hint="eastAsia"/>
        </w:rPr>
        <w:t>）</w:t>
      </w:r>
    </w:p>
    <w:p w14:paraId="3688E402" w14:textId="0EB27F0F" w:rsidR="009F50B6" w:rsidRDefault="009F50B6" w:rsidP="007676B4">
      <w:r>
        <w:rPr>
          <w:rFonts w:hint="eastAsia"/>
        </w:rPr>
        <w:t>（</w:t>
      </w:r>
      <w:r>
        <w:rPr>
          <w:rFonts w:hint="eastAsia"/>
        </w:rPr>
        <w:t>4</w:t>
      </w:r>
      <w:r>
        <w:rPr>
          <w:rFonts w:hint="eastAsia"/>
        </w:rPr>
        <w:t>）</w:t>
      </w:r>
    </w:p>
    <w:p w14:paraId="2DC5A613" w14:textId="7CB34B1D" w:rsidR="007676B4" w:rsidRDefault="007676B4" w:rsidP="007676B4">
      <w:pPr>
        <w:pStyle w:val="Heading1"/>
      </w:pPr>
      <w:r>
        <w:rPr>
          <w:rFonts w:hint="eastAsia"/>
        </w:rPr>
        <w:t>Code availability</w:t>
      </w:r>
    </w:p>
    <w:p w14:paraId="51B60203" w14:textId="77777777" w:rsidR="007676B4" w:rsidRPr="007676B4" w:rsidRDefault="007676B4" w:rsidP="007676B4"/>
    <w:p w14:paraId="6B70472F" w14:textId="77777777" w:rsidR="007676B4" w:rsidRDefault="007676B4" w:rsidP="007676B4">
      <w:pPr>
        <w:pStyle w:val="Heading1"/>
      </w:pPr>
      <w:r>
        <w:t>Acknowledgment</w:t>
      </w:r>
    </w:p>
    <w:p w14:paraId="4D67BF46" w14:textId="77777777" w:rsidR="007676B4" w:rsidRDefault="007676B4" w:rsidP="007676B4"/>
    <w:p w14:paraId="2021BB2C" w14:textId="77777777" w:rsidR="007676B4" w:rsidRPr="00FA6933" w:rsidRDefault="007676B4" w:rsidP="007676B4">
      <w:pPr>
        <w:pStyle w:val="Heading1"/>
      </w:pPr>
      <w:r>
        <w:rPr>
          <w:rFonts w:hint="eastAsia"/>
        </w:rPr>
        <w:lastRenderedPageBreak/>
        <w:t>Declare of interests</w:t>
      </w:r>
    </w:p>
    <w:p w14:paraId="5B3F7DB0" w14:textId="77777777" w:rsidR="007676B4" w:rsidRPr="007676B4" w:rsidRDefault="007676B4" w:rsidP="007676B4"/>
    <w:p w14:paraId="304F2B73" w14:textId="77777777" w:rsidR="00AC7E68" w:rsidRDefault="00AC7E68">
      <w:pPr>
        <w:widowControl/>
        <w:spacing w:line="240" w:lineRule="auto"/>
        <w:ind w:firstLine="420"/>
        <w:jc w:val="center"/>
      </w:pPr>
    </w:p>
    <w:p w14:paraId="3DC0550A" w14:textId="239899C0" w:rsidR="009D30D3" w:rsidRDefault="00AA33CA">
      <w:pPr>
        <w:widowControl/>
        <w:spacing w:line="240" w:lineRule="auto"/>
        <w:ind w:firstLine="420"/>
        <w:jc w:val="center"/>
        <w:rPr>
          <w:rFonts w:cs="Times New Roman"/>
        </w:rPr>
      </w:pPr>
      <w:r>
        <w:rPr>
          <w:rFonts w:cs="Times New Roman"/>
        </w:rPr>
        <w:br w:type="page"/>
      </w:r>
    </w:p>
    <w:p w14:paraId="7CD908C9" w14:textId="77777777" w:rsidR="009D30D3" w:rsidRDefault="00AA33CA">
      <w:pPr>
        <w:spacing w:before="120" w:after="120" w:line="360" w:lineRule="auto"/>
        <w:outlineLvl w:val="0"/>
        <w:rPr>
          <w:rFonts w:cs="Times New Roman"/>
          <w:b/>
          <w:sz w:val="28"/>
          <w:szCs w:val="28"/>
        </w:rPr>
      </w:pPr>
      <w:r>
        <w:rPr>
          <w:rFonts w:cs="Times New Roman"/>
          <w:b/>
          <w:sz w:val="28"/>
          <w:szCs w:val="28"/>
        </w:rPr>
        <w:lastRenderedPageBreak/>
        <w:t>Reference</w:t>
      </w:r>
    </w:p>
    <w:p w14:paraId="43D29727" w14:textId="77777777" w:rsidR="009D30D3" w:rsidRDefault="009D30D3">
      <w:pPr>
        <w:adjustRightInd w:val="0"/>
        <w:snapToGrid w:val="0"/>
        <w:spacing w:afterLines="50" w:after="163" w:line="300" w:lineRule="auto"/>
        <w:jc w:val="left"/>
        <w:rPr>
          <w:rFonts w:cs="Times New Roman"/>
        </w:rPr>
      </w:pPr>
    </w:p>
    <w:p w14:paraId="30943A5D" w14:textId="77777777" w:rsidR="009D30D3" w:rsidRPr="00AA2D15" w:rsidRDefault="00AA33CA">
      <w:pPr>
        <w:pStyle w:val="Heading1"/>
        <w:rPr>
          <w:rFonts w:cs="Times New Roman"/>
        </w:rPr>
      </w:pPr>
      <w:commentRangeStart w:id="8"/>
      <w:r w:rsidRPr="00AA2D15">
        <w:rPr>
          <w:rFonts w:cs="Times New Roman"/>
        </w:rPr>
        <w:t>Supplementary</w:t>
      </w:r>
      <w:commentRangeEnd w:id="8"/>
      <w:r w:rsidR="006726B1" w:rsidRPr="00AA2D15">
        <w:rPr>
          <w:rStyle w:val="CommentReference"/>
          <w:rFonts w:cs="Times New Roman"/>
          <w:sz w:val="28"/>
          <w:szCs w:val="28"/>
        </w:rPr>
        <w:commentReference w:id="8"/>
      </w:r>
    </w:p>
    <w:p w14:paraId="13863B93" w14:textId="77777777" w:rsidR="009D30D3" w:rsidRDefault="009D30D3">
      <w:pPr>
        <w:adjustRightInd w:val="0"/>
        <w:snapToGrid w:val="0"/>
        <w:spacing w:afterLines="50" w:after="163" w:line="300" w:lineRule="auto"/>
        <w:jc w:val="left"/>
        <w:rPr>
          <w:rFonts w:cs="Times New Roman"/>
        </w:rPr>
      </w:pPr>
    </w:p>
    <w:sectPr w:rsidR="009D30D3">
      <w:pgSz w:w="11906" w:h="16838"/>
      <w:pgMar w:top="1440" w:right="1080" w:bottom="1440" w:left="1080" w:header="851" w:footer="992" w:gutter="0"/>
      <w:cols w:space="425"/>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Rui Jing" w:date="2026-05-02T16:22:00Z" w:initials="RJ">
    <w:p w14:paraId="1AFC520F" w14:textId="77777777" w:rsidR="006726B1" w:rsidRDefault="006726B1" w:rsidP="006726B1">
      <w:pPr>
        <w:pStyle w:val="CommentText"/>
      </w:pPr>
      <w:r>
        <w:rPr>
          <w:rStyle w:val="CommentReference"/>
        </w:rPr>
        <w:annotationRef/>
      </w:r>
      <w:r>
        <w:rPr>
          <w:rFonts w:hint="eastAsia"/>
        </w:rPr>
        <w:t>图片美化建议</w:t>
      </w:r>
    </w:p>
    <w:p w14:paraId="4678C304" w14:textId="1A6B6AEC" w:rsidR="006726B1" w:rsidRDefault="006726B1" w:rsidP="006726B1">
      <w:pPr>
        <w:pStyle w:val="CommentText"/>
      </w:pPr>
      <w:r>
        <w:rPr>
          <w:noProof/>
        </w:rPr>
        <w:drawing>
          <wp:inline distT="0" distB="0" distL="0" distR="0" wp14:anchorId="25F1AA71" wp14:editId="654D042C">
            <wp:extent cx="6188710" cy="4571365"/>
            <wp:effectExtent l="0" t="0" r="2540" b="635"/>
            <wp:docPr id="9558107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1070" name="Picture 95581070" descr="Image"/>
                    <pic:cNvPicPr/>
                  </pic:nvPicPr>
                  <pic:blipFill>
                    <a:blip r:embed="rId1">
                      <a:extLst>
                        <a:ext uri="{28A0092B-C50C-407E-A947-70E740481C1C}">
                          <a14:useLocalDpi xmlns:a14="http://schemas.microsoft.com/office/drawing/2010/main" val="0"/>
                        </a:ext>
                      </a:extLst>
                    </a:blip>
                    <a:stretch>
                      <a:fillRect/>
                    </a:stretch>
                  </pic:blipFill>
                  <pic:spPr>
                    <a:xfrm>
                      <a:off x="0" y="0"/>
                      <a:ext cx="6188710" cy="4571365"/>
                    </a:xfrm>
                    <a:prstGeom prst="rect">
                      <a:avLst/>
                    </a:prstGeom>
                  </pic:spPr>
                </pic:pic>
              </a:graphicData>
            </a:graphic>
          </wp:inline>
        </w:drawing>
      </w:r>
    </w:p>
  </w:comment>
  <w:comment w:id="3" w:author="Rui Jing" w:date="2026-04-22T22:25:00Z" w:initials="RJ">
    <w:p w14:paraId="7E61991E" w14:textId="7F122ED1" w:rsidR="00D24D1F" w:rsidRDefault="00D24D1F" w:rsidP="00D24D1F">
      <w:pPr>
        <w:pStyle w:val="CommentText"/>
      </w:pPr>
      <w:r>
        <w:rPr>
          <w:rStyle w:val="CommentReference"/>
        </w:rPr>
        <w:annotationRef/>
      </w:r>
      <w:r>
        <w:rPr>
          <w:noProof/>
        </w:rPr>
        <w:drawing>
          <wp:inline distT="0" distB="0" distL="0" distR="0" wp14:anchorId="779AF638" wp14:editId="10E8917E">
            <wp:extent cx="6188710" cy="4343400"/>
            <wp:effectExtent l="0" t="0" r="2540" b="0"/>
            <wp:docPr id="53518513"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8513" name="Picture 53518513" descr="Image"/>
                    <pic:cNvPicPr/>
                  </pic:nvPicPr>
                  <pic:blipFill>
                    <a:blip r:embed="rId2">
                      <a:extLst>
                        <a:ext uri="{28A0092B-C50C-407E-A947-70E740481C1C}">
                          <a14:useLocalDpi xmlns:a14="http://schemas.microsoft.com/office/drawing/2010/main" val="0"/>
                        </a:ext>
                      </a:extLst>
                    </a:blip>
                    <a:stretch>
                      <a:fillRect/>
                    </a:stretch>
                  </pic:blipFill>
                  <pic:spPr>
                    <a:xfrm>
                      <a:off x="0" y="0"/>
                      <a:ext cx="6188710" cy="4343400"/>
                    </a:xfrm>
                    <a:prstGeom prst="rect">
                      <a:avLst/>
                    </a:prstGeom>
                  </pic:spPr>
                </pic:pic>
              </a:graphicData>
            </a:graphic>
          </wp:inline>
        </w:drawing>
      </w:r>
    </w:p>
  </w:comment>
  <w:comment w:id="4" w:author="Rui Jing" w:date="2026-04-22T22:27:00Z" w:initials="RJ">
    <w:p w14:paraId="7FE81FFF" w14:textId="34077561" w:rsidR="00D24D1F" w:rsidRDefault="00D24D1F" w:rsidP="00D24D1F">
      <w:pPr>
        <w:pStyle w:val="CommentText"/>
      </w:pPr>
      <w:r>
        <w:rPr>
          <w:rStyle w:val="CommentReference"/>
        </w:rPr>
        <w:annotationRef/>
      </w:r>
      <w:r>
        <w:rPr>
          <w:noProof/>
        </w:rPr>
        <w:drawing>
          <wp:inline distT="0" distB="0" distL="0" distR="0" wp14:anchorId="1D2EDAA4" wp14:editId="7AB68E87">
            <wp:extent cx="6188710" cy="2896235"/>
            <wp:effectExtent l="0" t="0" r="2540" b="0"/>
            <wp:docPr id="1826480265"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80265" name="Picture 1826480265" descr="Image"/>
                    <pic:cNvPicPr/>
                  </pic:nvPicPr>
                  <pic:blipFill>
                    <a:blip r:embed="rId3">
                      <a:extLst>
                        <a:ext uri="{28A0092B-C50C-407E-A947-70E740481C1C}">
                          <a14:useLocalDpi xmlns:a14="http://schemas.microsoft.com/office/drawing/2010/main" val="0"/>
                        </a:ext>
                      </a:extLst>
                    </a:blip>
                    <a:stretch>
                      <a:fillRect/>
                    </a:stretch>
                  </pic:blipFill>
                  <pic:spPr>
                    <a:xfrm>
                      <a:off x="0" y="0"/>
                      <a:ext cx="6188710" cy="2896235"/>
                    </a:xfrm>
                    <a:prstGeom prst="rect">
                      <a:avLst/>
                    </a:prstGeom>
                  </pic:spPr>
                </pic:pic>
              </a:graphicData>
            </a:graphic>
          </wp:inline>
        </w:drawing>
      </w:r>
    </w:p>
  </w:comment>
  <w:comment w:id="5" w:author="Rui Jing" w:date="2026-04-22T23:01:00Z" w:initials="RJ">
    <w:p w14:paraId="023A1D5C" w14:textId="77777777" w:rsidR="001248DE" w:rsidRDefault="001248DE" w:rsidP="001248DE">
      <w:pPr>
        <w:pStyle w:val="CommentText"/>
      </w:pPr>
      <w:r>
        <w:rPr>
          <w:rStyle w:val="CommentReference"/>
        </w:rPr>
        <w:annotationRef/>
      </w:r>
      <w:r>
        <w:t>Minor, K., Bjerre-Nielsen, A., Jonasdottir, S. S., Lehmann, S. &amp;</w:t>
      </w:r>
    </w:p>
    <w:p w14:paraId="0A851543" w14:textId="77777777" w:rsidR="001248DE" w:rsidRDefault="001248DE" w:rsidP="001248DE">
      <w:pPr>
        <w:pStyle w:val="CommentText"/>
      </w:pPr>
      <w:r>
        <w:t>Obradovich, N. Rising temperatures erode human sleep globally.</w:t>
      </w:r>
    </w:p>
    <w:p w14:paraId="58CF1994" w14:textId="77777777" w:rsidR="001248DE" w:rsidRDefault="001248DE" w:rsidP="001248DE">
      <w:pPr>
        <w:pStyle w:val="CommentText"/>
      </w:pPr>
      <w:r>
        <w:t>One Earth 5, 534–549 (2022).</w:t>
      </w:r>
    </w:p>
  </w:comment>
  <w:comment w:id="6" w:author="Rui Jing" w:date="2026-05-02T16:21:00Z" w:initials="RJ">
    <w:p w14:paraId="5A01CCB4" w14:textId="4DC11A4B" w:rsidR="006726B1" w:rsidRDefault="006726B1" w:rsidP="006726B1">
      <w:pPr>
        <w:pStyle w:val="CommentText"/>
      </w:pPr>
      <w:r>
        <w:rPr>
          <w:rStyle w:val="CommentReference"/>
        </w:rPr>
        <w:annotationRef/>
      </w:r>
      <w:r>
        <w:rPr>
          <w:rFonts w:hint="eastAsia"/>
          <w:color w:val="0F1115"/>
        </w:rPr>
        <w:t>两篇后续文章：</w:t>
      </w:r>
      <w:r>
        <w:rPr>
          <w:color w:val="0F1115"/>
        </w:rPr>
        <w:br/>
      </w:r>
      <w:r>
        <w:rPr>
          <w:rFonts w:hint="eastAsia"/>
          <w:color w:val="0F1115"/>
        </w:rPr>
        <w:t>PMV</w:t>
      </w:r>
      <w:r>
        <w:rPr>
          <w:rFonts w:hint="eastAsia"/>
          <w:color w:val="0F1115"/>
        </w:rPr>
        <w:t>或老年人特异性温度阈值</w:t>
      </w:r>
      <w:r>
        <w:rPr>
          <w:rFonts w:hint="eastAsia"/>
        </w:rPr>
        <w:t xml:space="preserve"> </w:t>
      </w:r>
      <w:r>
        <w:rPr>
          <w:rFonts w:hint="eastAsia"/>
        </w:rPr>
        <w:t>、</w:t>
      </w:r>
      <w:r>
        <w:rPr>
          <w:rFonts w:hint="eastAsia"/>
        </w:rPr>
        <w:t>schedule</w:t>
      </w:r>
      <w:r>
        <w:rPr>
          <w:rFonts w:hint="eastAsia"/>
        </w:rPr>
        <w:t>差异性</w:t>
      </w:r>
    </w:p>
    <w:p w14:paraId="1216F65A" w14:textId="77777777" w:rsidR="006726B1" w:rsidRDefault="006726B1" w:rsidP="006726B1">
      <w:pPr>
        <w:pStyle w:val="CommentText"/>
      </w:pPr>
    </w:p>
    <w:p w14:paraId="73CFE057" w14:textId="77777777" w:rsidR="006726B1" w:rsidRDefault="006726B1" w:rsidP="006726B1">
      <w:pPr>
        <w:pStyle w:val="CommentText"/>
      </w:pPr>
      <w:r>
        <w:rPr>
          <w:rFonts w:hint="eastAsia"/>
        </w:rPr>
        <w:t>顶层不公平</w:t>
      </w:r>
      <w:r>
        <w:rPr>
          <w:rFonts w:hint="eastAsia"/>
        </w:rPr>
        <w:t>-</w:t>
      </w:r>
      <w:r>
        <w:rPr>
          <w:rFonts w:hint="eastAsia"/>
        </w:rPr>
        <w:t>睡眠</w:t>
      </w:r>
    </w:p>
  </w:comment>
  <w:comment w:id="7" w:author="Rui Jing" w:date="2026-04-06T19:39:00Z" w:initials="RJ">
    <w:p w14:paraId="4B0F4BD6" w14:textId="40CCB88A" w:rsidR="00213F4D" w:rsidRDefault="00213F4D" w:rsidP="00213F4D">
      <w:pPr>
        <w:pStyle w:val="CommentText"/>
      </w:pPr>
      <w:r>
        <w:rPr>
          <w:rStyle w:val="CommentReference"/>
        </w:rPr>
        <w:annotationRef/>
      </w:r>
      <w:r>
        <w:rPr>
          <w:rFonts w:hint="eastAsia"/>
        </w:rPr>
        <w:t>还需要设置生理参数？</w:t>
      </w:r>
    </w:p>
  </w:comment>
  <w:comment w:id="8" w:author="Rui Jing" w:date="2026-05-02T16:18:00Z" w:initials="RJ">
    <w:p w14:paraId="547CE126" w14:textId="77777777" w:rsidR="006726B1" w:rsidRDefault="006726B1" w:rsidP="006726B1">
      <w:pPr>
        <w:pStyle w:val="CommentText"/>
      </w:pPr>
      <w:r>
        <w:rPr>
          <w:rStyle w:val="CommentReference"/>
        </w:rPr>
        <w:annotationRef/>
      </w:r>
      <w:r>
        <w:rPr>
          <w:rFonts w:hint="eastAsia"/>
          <w:color w:val="0F1115"/>
          <w:highlight w:val="white"/>
        </w:rPr>
        <w:t>用公开数据（如</w:t>
      </w:r>
      <w:r>
        <w:rPr>
          <w:rFonts w:hint="eastAsia"/>
          <w:color w:val="0F1115"/>
          <w:highlight w:val="white"/>
        </w:rPr>
        <w:t>NYC Open Data</w:t>
      </w:r>
      <w:r>
        <w:rPr>
          <w:rFonts w:hint="eastAsia"/>
          <w:color w:val="0F1115"/>
          <w:highlight w:val="white"/>
        </w:rPr>
        <w:t>）选取纽约</w:t>
      </w:r>
      <w:r>
        <w:rPr>
          <w:rFonts w:hint="eastAsia"/>
          <w:color w:val="0F1115"/>
          <w:highlight w:val="white"/>
        </w:rPr>
        <w:t>100</w:t>
      </w:r>
      <w:r>
        <w:rPr>
          <w:rFonts w:hint="eastAsia"/>
          <w:color w:val="0F1115"/>
          <w:highlight w:val="white"/>
        </w:rPr>
        <w:t>栋典型住宅，跑</w:t>
      </w:r>
      <w:r>
        <w:rPr>
          <w:rFonts w:hint="eastAsia"/>
          <w:color w:val="0F1115"/>
          <w:highlight w:val="white"/>
        </w:rPr>
        <w:t>UBEM</w:t>
      </w:r>
      <w:r>
        <w:rPr>
          <w:rFonts w:hint="eastAsia"/>
          <w:color w:val="0F1115"/>
          <w:highlight w:val="white"/>
        </w:rPr>
        <w:t>模拟（或简单热模型），与当地社交媒体（</w:t>
      </w:r>
      <w:r>
        <w:rPr>
          <w:rFonts w:hint="eastAsia"/>
          <w:color w:val="0F1115"/>
          <w:highlight w:val="white"/>
        </w:rPr>
        <w:t>Twitter/X</w:t>
      </w:r>
      <w:r>
        <w:rPr>
          <w:rFonts w:hint="eastAsia"/>
          <w:color w:val="0F1115"/>
          <w:highlight w:val="white"/>
        </w:rPr>
        <w:t>）数据进行空间对齐。只需一个</w:t>
      </w:r>
      <w:r>
        <w:rPr>
          <w:rFonts w:hint="eastAsia"/>
          <w:b/>
          <w:bCs/>
          <w:color w:val="0F1115"/>
          <w:highlight w:val="white"/>
        </w:rPr>
        <w:t>图（如双变量</w:t>
      </w:r>
      <w:r>
        <w:rPr>
          <w:rFonts w:hint="eastAsia"/>
          <w:b/>
          <w:bCs/>
          <w:color w:val="0F1115"/>
          <w:highlight w:val="white"/>
        </w:rPr>
        <w:t>Moran</w:t>
      </w:r>
      <w:r>
        <w:rPr>
          <w:rFonts w:hint="eastAsia"/>
          <w:b/>
          <w:bCs/>
          <w:color w:val="0F1115"/>
          <w:highlight w:val="white"/>
        </w:rPr>
        <w:t>’</w:t>
      </w:r>
      <w:r>
        <w:rPr>
          <w:rFonts w:hint="eastAsia"/>
          <w:b/>
          <w:bCs/>
          <w:color w:val="0F1115"/>
          <w:highlight w:val="white"/>
        </w:rPr>
        <w:t>s I</w:t>
      </w:r>
      <w:r>
        <w:rPr>
          <w:rFonts w:hint="eastAsia"/>
          <w:b/>
          <w:bCs/>
          <w:color w:val="0F1115"/>
          <w:highlight w:val="white"/>
        </w:rPr>
        <w:t>）</w:t>
      </w:r>
      <w:r>
        <w:rPr>
          <w:rFonts w:hint="eastAsia"/>
          <w:color w:val="0F1115"/>
          <w:highlight w:val="white"/>
        </w:rPr>
        <w:t> </w:t>
      </w:r>
      <w:r>
        <w:rPr>
          <w:rFonts w:hint="eastAsia"/>
          <w:color w:val="0F1115"/>
          <w:highlight w:val="white"/>
        </w:rPr>
        <w:t>作为</w:t>
      </w:r>
      <w:r>
        <w:rPr>
          <w:rFonts w:hint="eastAsia"/>
          <w:color w:val="0F1115"/>
          <w:highlight w:val="white"/>
        </w:rPr>
        <w:t>Supplementary Figure</w:t>
      </w:r>
      <w:r>
        <w:rPr>
          <w:rFonts w:hint="eastAsia"/>
          <w:color w:val="0F1115"/>
          <w:highlight w:val="white"/>
        </w:rPr>
        <w:t>，证明方法在全球尺度可迁移。</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78C304" w15:done="0"/>
  <w15:commentEx w15:paraId="7E61991E" w15:done="0"/>
  <w15:commentEx w15:paraId="7FE81FFF" w15:done="0"/>
  <w15:commentEx w15:paraId="58CF1994" w15:done="0"/>
  <w15:commentEx w15:paraId="73CFE057" w15:done="0"/>
  <w15:commentEx w15:paraId="4B0F4BD6" w15:done="0"/>
  <w15:commentEx w15:paraId="547CE1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77E3F9" w16cex:dateUtc="2026-05-02T08:22:00Z"/>
  <w16cex:commentExtensible w16cex:durableId="636E969A" w16cex:dateUtc="2026-04-22T14:25:00Z"/>
  <w16cex:commentExtensible w16cex:durableId="21EAE6C9" w16cex:dateUtc="2026-04-22T14:27:00Z"/>
  <w16cex:commentExtensible w16cex:durableId="6F25C975" w16cex:dateUtc="2026-04-22T15:01:00Z"/>
  <w16cex:commentExtensible w16cex:durableId="00746A96" w16cex:dateUtc="2026-05-02T08:21:00Z"/>
  <w16cex:commentExtensible w16cex:durableId="0FD23202" w16cex:dateUtc="2026-04-06T11:39:00Z"/>
  <w16cex:commentExtensible w16cex:durableId="7ECE2D8F" w16cex:dateUtc="2026-05-02T08: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78C304" w16cid:durableId="0C77E3F9"/>
  <w16cid:commentId w16cid:paraId="7E61991E" w16cid:durableId="636E969A"/>
  <w16cid:commentId w16cid:paraId="7FE81FFF" w16cid:durableId="21EAE6C9"/>
  <w16cid:commentId w16cid:paraId="58CF1994" w16cid:durableId="6F25C975"/>
  <w16cid:commentId w16cid:paraId="73CFE057" w16cid:durableId="00746A96"/>
  <w16cid:commentId w16cid:paraId="4B0F4BD6" w16cid:durableId="0FD23202"/>
  <w16cid:commentId w16cid:paraId="547CE126" w16cid:durableId="7ECE2D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9A113" w14:textId="77777777" w:rsidR="009F78D0" w:rsidRDefault="009F78D0">
      <w:pPr>
        <w:spacing w:line="240" w:lineRule="auto"/>
      </w:pPr>
      <w:r>
        <w:separator/>
      </w:r>
    </w:p>
  </w:endnote>
  <w:endnote w:type="continuationSeparator" w:id="0">
    <w:p w14:paraId="19411318" w14:textId="77777777" w:rsidR="009F78D0" w:rsidRDefault="009F78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 w:name="AdvGulliv-I">
    <w:altName w:val="Cambria"/>
    <w:charset w:val="00"/>
    <w:family w:val="roman"/>
    <w:pitch w:val="default"/>
  </w:font>
  <w:font w:name="MinionPro-Regular">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C751C" w14:textId="77777777" w:rsidR="009D30D3" w:rsidRDefault="009D30D3">
    <w:pPr>
      <w:pStyle w:val="Footer"/>
    </w:pPr>
  </w:p>
  <w:p w14:paraId="0806B08D" w14:textId="77777777" w:rsidR="009D30D3" w:rsidRDefault="009D30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C5F38" w14:textId="77777777" w:rsidR="009F78D0" w:rsidRDefault="009F78D0">
      <w:r>
        <w:separator/>
      </w:r>
    </w:p>
  </w:footnote>
  <w:footnote w:type="continuationSeparator" w:id="0">
    <w:p w14:paraId="27AD8691" w14:textId="77777777" w:rsidR="009F78D0" w:rsidRDefault="009F78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C3FDB"/>
    <w:multiLevelType w:val="multilevel"/>
    <w:tmpl w:val="E08AD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50147D"/>
    <w:multiLevelType w:val="multilevel"/>
    <w:tmpl w:val="6CE4F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D9356E"/>
    <w:multiLevelType w:val="multilevel"/>
    <w:tmpl w:val="FB06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756813">
    <w:abstractNumId w:val="2"/>
  </w:num>
  <w:num w:numId="2" w16cid:durableId="907619536">
    <w:abstractNumId w:val="0"/>
  </w:num>
  <w:num w:numId="3" w16cid:durableId="76292333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i Jing">
    <w15:presenceInfo w15:providerId="Windows Live" w15:userId="6025c4a52ddff1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HorizontalSpacing w:val="120"/>
  <w:drawingGridVerticalSpacing w:val="163"/>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A0MDMztTQ0MTC1MLJQ0lEKTi0uzszPAykwMa0FAHlNejctAAAA"/>
    <w:docVar w:name="EN.InstantFormat" w:val="&lt;ENInstantFormat&gt;&lt;Enabled&gt;1&lt;/Enabled&gt;&lt;ScanUnformatted&gt;1&lt;/ScanUnformatted&gt;&lt;ScanChanges&gt;1&lt;/ScanChanges&gt;&lt;Suspended&gt;1&lt;/Suspended&gt;&lt;/ENInstantFormat&gt;"/>
    <w:docVar w:name="EN.Layout" w:val="&lt;ENLayout&gt;&lt;Style&gt;Applied Energ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ps0ppxvrrwerqe55vfv9xd0aaevp0wversv&quot;&gt;My EndNote Library&lt;record-ids&gt;&lt;item&gt;718&lt;/item&gt;&lt;item&gt;878&lt;/item&gt;&lt;item&gt;962&lt;/item&gt;&lt;item&gt;995&lt;/item&gt;&lt;item&gt;1055&lt;/item&gt;&lt;item&gt;1121&lt;/item&gt;&lt;item&gt;1230&lt;/item&gt;&lt;item&gt;1232&lt;/item&gt;&lt;item&gt;1235&lt;/item&gt;&lt;item&gt;1236&lt;/item&gt;&lt;item&gt;1237&lt;/item&gt;&lt;item&gt;1239&lt;/item&gt;&lt;item&gt;1255&lt;/item&gt;&lt;item&gt;1258&lt;/item&gt;&lt;item&gt;1271&lt;/item&gt;&lt;item&gt;1274&lt;/item&gt;&lt;item&gt;1275&lt;/item&gt;&lt;item&gt;1278&lt;/item&gt;&lt;item&gt;1279&lt;/item&gt;&lt;item&gt;1329&lt;/item&gt;&lt;item&gt;1330&lt;/item&gt;&lt;item&gt;1331&lt;/item&gt;&lt;item&gt;1332&lt;/item&gt;&lt;item&gt;1376&lt;/item&gt;&lt;item&gt;1377&lt;/item&gt;&lt;item&gt;1378&lt;/item&gt;&lt;item&gt;1379&lt;/item&gt;&lt;item&gt;1380&lt;/item&gt;&lt;item&gt;1381&lt;/item&gt;&lt;item&gt;1382&lt;/item&gt;&lt;item&gt;1383&lt;/item&gt;&lt;item&gt;1384&lt;/item&gt;&lt;item&gt;1385&lt;/item&gt;&lt;item&gt;1386&lt;/item&gt;&lt;item&gt;1400&lt;/item&gt;&lt;item&gt;1401&lt;/item&gt;&lt;item&gt;1402&lt;/item&gt;&lt;item&gt;1403&lt;/item&gt;&lt;item&gt;1404&lt;/item&gt;&lt;item&gt;1405&lt;/item&gt;&lt;item&gt;1406&lt;/item&gt;&lt;item&gt;1407&lt;/item&gt;&lt;item&gt;1409&lt;/item&gt;&lt;item&gt;1411&lt;/item&gt;&lt;item&gt;1413&lt;/item&gt;&lt;/record-ids&gt;&lt;/item&gt;&lt;/Libraries&gt;"/>
  </w:docVars>
  <w:rsids>
    <w:rsidRoot w:val="006641C5"/>
    <w:rsid w:val="0000003A"/>
    <w:rsid w:val="000006F0"/>
    <w:rsid w:val="000006FD"/>
    <w:rsid w:val="00001431"/>
    <w:rsid w:val="000017FC"/>
    <w:rsid w:val="00001AEA"/>
    <w:rsid w:val="00002E3E"/>
    <w:rsid w:val="00002E86"/>
    <w:rsid w:val="00004C6D"/>
    <w:rsid w:val="000056B2"/>
    <w:rsid w:val="00006161"/>
    <w:rsid w:val="00010007"/>
    <w:rsid w:val="000112AD"/>
    <w:rsid w:val="000131CF"/>
    <w:rsid w:val="00014710"/>
    <w:rsid w:val="00017266"/>
    <w:rsid w:val="0001752B"/>
    <w:rsid w:val="000176C2"/>
    <w:rsid w:val="00020007"/>
    <w:rsid w:val="000203F1"/>
    <w:rsid w:val="000216A8"/>
    <w:rsid w:val="00021F3E"/>
    <w:rsid w:val="0002267F"/>
    <w:rsid w:val="000229B1"/>
    <w:rsid w:val="00022A78"/>
    <w:rsid w:val="000231DD"/>
    <w:rsid w:val="00023518"/>
    <w:rsid w:val="000262FC"/>
    <w:rsid w:val="00027087"/>
    <w:rsid w:val="0003046B"/>
    <w:rsid w:val="000317D2"/>
    <w:rsid w:val="00032122"/>
    <w:rsid w:val="00032F72"/>
    <w:rsid w:val="00033B8D"/>
    <w:rsid w:val="00035BF4"/>
    <w:rsid w:val="00036D4E"/>
    <w:rsid w:val="000400B0"/>
    <w:rsid w:val="0004027B"/>
    <w:rsid w:val="00040890"/>
    <w:rsid w:val="00040C0F"/>
    <w:rsid w:val="00042633"/>
    <w:rsid w:val="00045834"/>
    <w:rsid w:val="00046065"/>
    <w:rsid w:val="00046B06"/>
    <w:rsid w:val="000472DC"/>
    <w:rsid w:val="00047E4D"/>
    <w:rsid w:val="00050AE9"/>
    <w:rsid w:val="000526FD"/>
    <w:rsid w:val="0005308A"/>
    <w:rsid w:val="000533F9"/>
    <w:rsid w:val="000537FE"/>
    <w:rsid w:val="000547A8"/>
    <w:rsid w:val="000558ED"/>
    <w:rsid w:val="00056094"/>
    <w:rsid w:val="00056EB7"/>
    <w:rsid w:val="00056F71"/>
    <w:rsid w:val="00057607"/>
    <w:rsid w:val="00060038"/>
    <w:rsid w:val="00060D2A"/>
    <w:rsid w:val="00061524"/>
    <w:rsid w:val="00061AD4"/>
    <w:rsid w:val="0006259F"/>
    <w:rsid w:val="00062A8C"/>
    <w:rsid w:val="000670C5"/>
    <w:rsid w:val="00067ABE"/>
    <w:rsid w:val="00067B1D"/>
    <w:rsid w:val="000703D1"/>
    <w:rsid w:val="00072C5B"/>
    <w:rsid w:val="000741AF"/>
    <w:rsid w:val="00074398"/>
    <w:rsid w:val="00074AB3"/>
    <w:rsid w:val="00074DBA"/>
    <w:rsid w:val="00074FCF"/>
    <w:rsid w:val="0007681C"/>
    <w:rsid w:val="00076D23"/>
    <w:rsid w:val="00076E1D"/>
    <w:rsid w:val="000777C2"/>
    <w:rsid w:val="00077FAC"/>
    <w:rsid w:val="000811A2"/>
    <w:rsid w:val="000816DA"/>
    <w:rsid w:val="0008172B"/>
    <w:rsid w:val="00082017"/>
    <w:rsid w:val="00083FF0"/>
    <w:rsid w:val="00084483"/>
    <w:rsid w:val="0008478A"/>
    <w:rsid w:val="000848B4"/>
    <w:rsid w:val="000850B8"/>
    <w:rsid w:val="00085227"/>
    <w:rsid w:val="0008547D"/>
    <w:rsid w:val="00090324"/>
    <w:rsid w:val="000921C4"/>
    <w:rsid w:val="000940F8"/>
    <w:rsid w:val="00095FE6"/>
    <w:rsid w:val="000972EF"/>
    <w:rsid w:val="000979E9"/>
    <w:rsid w:val="00097D67"/>
    <w:rsid w:val="000A0956"/>
    <w:rsid w:val="000A2F62"/>
    <w:rsid w:val="000A4A3D"/>
    <w:rsid w:val="000A4BC4"/>
    <w:rsid w:val="000A50A6"/>
    <w:rsid w:val="000A578A"/>
    <w:rsid w:val="000A595D"/>
    <w:rsid w:val="000A5C46"/>
    <w:rsid w:val="000A72EC"/>
    <w:rsid w:val="000B0202"/>
    <w:rsid w:val="000B0FA7"/>
    <w:rsid w:val="000B255D"/>
    <w:rsid w:val="000B2723"/>
    <w:rsid w:val="000B2EAD"/>
    <w:rsid w:val="000B2F91"/>
    <w:rsid w:val="000B3384"/>
    <w:rsid w:val="000B374C"/>
    <w:rsid w:val="000B3DEB"/>
    <w:rsid w:val="000B5490"/>
    <w:rsid w:val="000B5585"/>
    <w:rsid w:val="000B5F02"/>
    <w:rsid w:val="000B62D8"/>
    <w:rsid w:val="000B64D8"/>
    <w:rsid w:val="000C267E"/>
    <w:rsid w:val="000C281B"/>
    <w:rsid w:val="000C2FFB"/>
    <w:rsid w:val="000C3667"/>
    <w:rsid w:val="000C4044"/>
    <w:rsid w:val="000C4C99"/>
    <w:rsid w:val="000C5C43"/>
    <w:rsid w:val="000C6C33"/>
    <w:rsid w:val="000C6ED2"/>
    <w:rsid w:val="000C6EEA"/>
    <w:rsid w:val="000D46C6"/>
    <w:rsid w:val="000D4729"/>
    <w:rsid w:val="000D625C"/>
    <w:rsid w:val="000D79CD"/>
    <w:rsid w:val="000E0F38"/>
    <w:rsid w:val="000E17EC"/>
    <w:rsid w:val="000E275A"/>
    <w:rsid w:val="000E2BD0"/>
    <w:rsid w:val="000E3422"/>
    <w:rsid w:val="000E38E7"/>
    <w:rsid w:val="000E3CE0"/>
    <w:rsid w:val="000E4371"/>
    <w:rsid w:val="000E4B59"/>
    <w:rsid w:val="000E528C"/>
    <w:rsid w:val="000E5520"/>
    <w:rsid w:val="000E6F82"/>
    <w:rsid w:val="000E7443"/>
    <w:rsid w:val="000E7630"/>
    <w:rsid w:val="000E7704"/>
    <w:rsid w:val="000F0077"/>
    <w:rsid w:val="000F0127"/>
    <w:rsid w:val="000F089D"/>
    <w:rsid w:val="000F2DC8"/>
    <w:rsid w:val="000F3475"/>
    <w:rsid w:val="000F4A97"/>
    <w:rsid w:val="000F4C53"/>
    <w:rsid w:val="000F53D6"/>
    <w:rsid w:val="000F68E2"/>
    <w:rsid w:val="000F6FED"/>
    <w:rsid w:val="000F777E"/>
    <w:rsid w:val="00100D2D"/>
    <w:rsid w:val="00101E1D"/>
    <w:rsid w:val="00101E50"/>
    <w:rsid w:val="001021D9"/>
    <w:rsid w:val="00102271"/>
    <w:rsid w:val="001022AD"/>
    <w:rsid w:val="00103CF6"/>
    <w:rsid w:val="00103E62"/>
    <w:rsid w:val="00104E07"/>
    <w:rsid w:val="00105FEF"/>
    <w:rsid w:val="0010602C"/>
    <w:rsid w:val="001069DF"/>
    <w:rsid w:val="00106E35"/>
    <w:rsid w:val="001074F3"/>
    <w:rsid w:val="00107BAA"/>
    <w:rsid w:val="00110D2A"/>
    <w:rsid w:val="00111A7E"/>
    <w:rsid w:val="0011388E"/>
    <w:rsid w:val="00114B45"/>
    <w:rsid w:val="00114BB9"/>
    <w:rsid w:val="00115E48"/>
    <w:rsid w:val="00115FE8"/>
    <w:rsid w:val="00117B1A"/>
    <w:rsid w:val="001211AB"/>
    <w:rsid w:val="001220B0"/>
    <w:rsid w:val="00122456"/>
    <w:rsid w:val="00124605"/>
    <w:rsid w:val="001248DE"/>
    <w:rsid w:val="00126930"/>
    <w:rsid w:val="00127013"/>
    <w:rsid w:val="00130163"/>
    <w:rsid w:val="0013092E"/>
    <w:rsid w:val="00130C10"/>
    <w:rsid w:val="00130DB5"/>
    <w:rsid w:val="00131966"/>
    <w:rsid w:val="00131C8D"/>
    <w:rsid w:val="00132B82"/>
    <w:rsid w:val="00132FBD"/>
    <w:rsid w:val="00135672"/>
    <w:rsid w:val="00141B1C"/>
    <w:rsid w:val="00142731"/>
    <w:rsid w:val="00142D32"/>
    <w:rsid w:val="0014440A"/>
    <w:rsid w:val="00144C32"/>
    <w:rsid w:val="0014585C"/>
    <w:rsid w:val="00145E17"/>
    <w:rsid w:val="001462C0"/>
    <w:rsid w:val="00147629"/>
    <w:rsid w:val="0014775A"/>
    <w:rsid w:val="001477D0"/>
    <w:rsid w:val="00147C65"/>
    <w:rsid w:val="00151545"/>
    <w:rsid w:val="00151FBE"/>
    <w:rsid w:val="001532E4"/>
    <w:rsid w:val="00155D78"/>
    <w:rsid w:val="001564F8"/>
    <w:rsid w:val="001576D6"/>
    <w:rsid w:val="001603AA"/>
    <w:rsid w:val="0016113C"/>
    <w:rsid w:val="00162114"/>
    <w:rsid w:val="001633F1"/>
    <w:rsid w:val="00163FA9"/>
    <w:rsid w:val="00163FF2"/>
    <w:rsid w:val="00163FF5"/>
    <w:rsid w:val="0016760C"/>
    <w:rsid w:val="001705C8"/>
    <w:rsid w:val="0017096F"/>
    <w:rsid w:val="00171B68"/>
    <w:rsid w:val="00172375"/>
    <w:rsid w:val="00172D82"/>
    <w:rsid w:val="00173D9E"/>
    <w:rsid w:val="001751AF"/>
    <w:rsid w:val="001766D4"/>
    <w:rsid w:val="0018028D"/>
    <w:rsid w:val="00180A82"/>
    <w:rsid w:val="0018141A"/>
    <w:rsid w:val="00181B48"/>
    <w:rsid w:val="001823FD"/>
    <w:rsid w:val="00182F67"/>
    <w:rsid w:val="00183C36"/>
    <w:rsid w:val="00184CD9"/>
    <w:rsid w:val="00184D1C"/>
    <w:rsid w:val="0018511B"/>
    <w:rsid w:val="00185905"/>
    <w:rsid w:val="00185DCC"/>
    <w:rsid w:val="00186AD7"/>
    <w:rsid w:val="00187693"/>
    <w:rsid w:val="001907DA"/>
    <w:rsid w:val="00191A90"/>
    <w:rsid w:val="001922C7"/>
    <w:rsid w:val="001931E2"/>
    <w:rsid w:val="00193957"/>
    <w:rsid w:val="00193BE3"/>
    <w:rsid w:val="0019444D"/>
    <w:rsid w:val="00194B1B"/>
    <w:rsid w:val="00194B49"/>
    <w:rsid w:val="001951D0"/>
    <w:rsid w:val="001954FB"/>
    <w:rsid w:val="00196880"/>
    <w:rsid w:val="00196907"/>
    <w:rsid w:val="00196ACA"/>
    <w:rsid w:val="00197CC9"/>
    <w:rsid w:val="00197CFD"/>
    <w:rsid w:val="001A00F0"/>
    <w:rsid w:val="001A0701"/>
    <w:rsid w:val="001A0C9A"/>
    <w:rsid w:val="001A311C"/>
    <w:rsid w:val="001A3C10"/>
    <w:rsid w:val="001A4F57"/>
    <w:rsid w:val="001A511B"/>
    <w:rsid w:val="001A6116"/>
    <w:rsid w:val="001A670A"/>
    <w:rsid w:val="001A77DA"/>
    <w:rsid w:val="001A7918"/>
    <w:rsid w:val="001A7D34"/>
    <w:rsid w:val="001A7F73"/>
    <w:rsid w:val="001B1676"/>
    <w:rsid w:val="001B19DC"/>
    <w:rsid w:val="001B19E2"/>
    <w:rsid w:val="001B1CFE"/>
    <w:rsid w:val="001B2062"/>
    <w:rsid w:val="001B2850"/>
    <w:rsid w:val="001B2915"/>
    <w:rsid w:val="001B3B7D"/>
    <w:rsid w:val="001B4525"/>
    <w:rsid w:val="001B533F"/>
    <w:rsid w:val="001B59A2"/>
    <w:rsid w:val="001B6110"/>
    <w:rsid w:val="001B628E"/>
    <w:rsid w:val="001B7051"/>
    <w:rsid w:val="001B7E5A"/>
    <w:rsid w:val="001B7F68"/>
    <w:rsid w:val="001C1234"/>
    <w:rsid w:val="001C1C35"/>
    <w:rsid w:val="001C23F7"/>
    <w:rsid w:val="001C32A4"/>
    <w:rsid w:val="001C38A0"/>
    <w:rsid w:val="001C3D70"/>
    <w:rsid w:val="001C5A80"/>
    <w:rsid w:val="001C6844"/>
    <w:rsid w:val="001C6B5D"/>
    <w:rsid w:val="001C7070"/>
    <w:rsid w:val="001C776C"/>
    <w:rsid w:val="001C7996"/>
    <w:rsid w:val="001D2716"/>
    <w:rsid w:val="001D2B8A"/>
    <w:rsid w:val="001D2EA2"/>
    <w:rsid w:val="001D3665"/>
    <w:rsid w:val="001D427F"/>
    <w:rsid w:val="001D4915"/>
    <w:rsid w:val="001D5BEF"/>
    <w:rsid w:val="001D60E2"/>
    <w:rsid w:val="001D62F4"/>
    <w:rsid w:val="001D75BE"/>
    <w:rsid w:val="001E0BAA"/>
    <w:rsid w:val="001E0C95"/>
    <w:rsid w:val="001E1DD5"/>
    <w:rsid w:val="001E2D86"/>
    <w:rsid w:val="001E30CD"/>
    <w:rsid w:val="001E396B"/>
    <w:rsid w:val="001E4480"/>
    <w:rsid w:val="001E511A"/>
    <w:rsid w:val="001E5A95"/>
    <w:rsid w:val="001E6870"/>
    <w:rsid w:val="001E6C51"/>
    <w:rsid w:val="001F21F7"/>
    <w:rsid w:val="001F2618"/>
    <w:rsid w:val="001F2EDF"/>
    <w:rsid w:val="001F3520"/>
    <w:rsid w:val="001F4DDC"/>
    <w:rsid w:val="001F55EE"/>
    <w:rsid w:val="002001CD"/>
    <w:rsid w:val="00201056"/>
    <w:rsid w:val="00201D94"/>
    <w:rsid w:val="00201FF0"/>
    <w:rsid w:val="00202F2B"/>
    <w:rsid w:val="00203A83"/>
    <w:rsid w:val="00203DFF"/>
    <w:rsid w:val="002044F7"/>
    <w:rsid w:val="002045C4"/>
    <w:rsid w:val="00204EB7"/>
    <w:rsid w:val="0020545E"/>
    <w:rsid w:val="00206B22"/>
    <w:rsid w:val="00207334"/>
    <w:rsid w:val="00207533"/>
    <w:rsid w:val="00207918"/>
    <w:rsid w:val="00207F31"/>
    <w:rsid w:val="00207FC3"/>
    <w:rsid w:val="002103FD"/>
    <w:rsid w:val="002119B6"/>
    <w:rsid w:val="00212ED8"/>
    <w:rsid w:val="00213773"/>
    <w:rsid w:val="002139C0"/>
    <w:rsid w:val="00213F4D"/>
    <w:rsid w:val="00215390"/>
    <w:rsid w:val="00215AAE"/>
    <w:rsid w:val="00216342"/>
    <w:rsid w:val="0021691D"/>
    <w:rsid w:val="00216A20"/>
    <w:rsid w:val="00217468"/>
    <w:rsid w:val="00217835"/>
    <w:rsid w:val="00217C6B"/>
    <w:rsid w:val="00220798"/>
    <w:rsid w:val="0022095E"/>
    <w:rsid w:val="0022225C"/>
    <w:rsid w:val="00222D8F"/>
    <w:rsid w:val="00224773"/>
    <w:rsid w:val="0022558A"/>
    <w:rsid w:val="002265A0"/>
    <w:rsid w:val="002276FD"/>
    <w:rsid w:val="00230582"/>
    <w:rsid w:val="00231501"/>
    <w:rsid w:val="00231578"/>
    <w:rsid w:val="00234954"/>
    <w:rsid w:val="00234A98"/>
    <w:rsid w:val="00234DD0"/>
    <w:rsid w:val="002356B4"/>
    <w:rsid w:val="0023604F"/>
    <w:rsid w:val="00237AD3"/>
    <w:rsid w:val="0024035A"/>
    <w:rsid w:val="00243011"/>
    <w:rsid w:val="0024380C"/>
    <w:rsid w:val="002442ED"/>
    <w:rsid w:val="00244F3F"/>
    <w:rsid w:val="0024533C"/>
    <w:rsid w:val="00245569"/>
    <w:rsid w:val="0024578B"/>
    <w:rsid w:val="002470D2"/>
    <w:rsid w:val="00251150"/>
    <w:rsid w:val="0025162D"/>
    <w:rsid w:val="00253B41"/>
    <w:rsid w:val="002546AB"/>
    <w:rsid w:val="00254D8B"/>
    <w:rsid w:val="00255070"/>
    <w:rsid w:val="00255718"/>
    <w:rsid w:val="00255F16"/>
    <w:rsid w:val="00256C2B"/>
    <w:rsid w:val="002604D9"/>
    <w:rsid w:val="00260D44"/>
    <w:rsid w:val="00260ED2"/>
    <w:rsid w:val="00261249"/>
    <w:rsid w:val="00262B2E"/>
    <w:rsid w:val="00263633"/>
    <w:rsid w:val="002660CD"/>
    <w:rsid w:val="00266A33"/>
    <w:rsid w:val="00266C99"/>
    <w:rsid w:val="002674C8"/>
    <w:rsid w:val="0026769E"/>
    <w:rsid w:val="002746A3"/>
    <w:rsid w:val="002755AA"/>
    <w:rsid w:val="002770A7"/>
    <w:rsid w:val="002770BC"/>
    <w:rsid w:val="002771AD"/>
    <w:rsid w:val="00280960"/>
    <w:rsid w:val="00280BED"/>
    <w:rsid w:val="002818ED"/>
    <w:rsid w:val="0028194D"/>
    <w:rsid w:val="00281B5D"/>
    <w:rsid w:val="002823E1"/>
    <w:rsid w:val="00283D34"/>
    <w:rsid w:val="00284197"/>
    <w:rsid w:val="002865ED"/>
    <w:rsid w:val="00286CB0"/>
    <w:rsid w:val="00290DD0"/>
    <w:rsid w:val="002911FC"/>
    <w:rsid w:val="00291229"/>
    <w:rsid w:val="0029222C"/>
    <w:rsid w:val="00292E78"/>
    <w:rsid w:val="00293018"/>
    <w:rsid w:val="0029314D"/>
    <w:rsid w:val="00293D75"/>
    <w:rsid w:val="00294384"/>
    <w:rsid w:val="002945A1"/>
    <w:rsid w:val="00295B57"/>
    <w:rsid w:val="00295BB8"/>
    <w:rsid w:val="0029767E"/>
    <w:rsid w:val="00297A48"/>
    <w:rsid w:val="002A1790"/>
    <w:rsid w:val="002A2256"/>
    <w:rsid w:val="002A2FE3"/>
    <w:rsid w:val="002A34F7"/>
    <w:rsid w:val="002A482A"/>
    <w:rsid w:val="002A4D99"/>
    <w:rsid w:val="002A5A0A"/>
    <w:rsid w:val="002A5CE6"/>
    <w:rsid w:val="002A64B0"/>
    <w:rsid w:val="002A6990"/>
    <w:rsid w:val="002A725B"/>
    <w:rsid w:val="002B0158"/>
    <w:rsid w:val="002B22FD"/>
    <w:rsid w:val="002B2F27"/>
    <w:rsid w:val="002B30A7"/>
    <w:rsid w:val="002B3350"/>
    <w:rsid w:val="002B37A8"/>
    <w:rsid w:val="002B4942"/>
    <w:rsid w:val="002B496B"/>
    <w:rsid w:val="002B579F"/>
    <w:rsid w:val="002B5CAB"/>
    <w:rsid w:val="002B5CD9"/>
    <w:rsid w:val="002B5E41"/>
    <w:rsid w:val="002C03E9"/>
    <w:rsid w:val="002C0859"/>
    <w:rsid w:val="002C0F39"/>
    <w:rsid w:val="002C1A09"/>
    <w:rsid w:val="002C3B20"/>
    <w:rsid w:val="002C4703"/>
    <w:rsid w:val="002C4AE1"/>
    <w:rsid w:val="002C4C77"/>
    <w:rsid w:val="002C5251"/>
    <w:rsid w:val="002C6327"/>
    <w:rsid w:val="002C639F"/>
    <w:rsid w:val="002C6AA3"/>
    <w:rsid w:val="002C6EFC"/>
    <w:rsid w:val="002C723D"/>
    <w:rsid w:val="002C7DC0"/>
    <w:rsid w:val="002D0272"/>
    <w:rsid w:val="002D0345"/>
    <w:rsid w:val="002D1033"/>
    <w:rsid w:val="002D1BF1"/>
    <w:rsid w:val="002D27DD"/>
    <w:rsid w:val="002D2945"/>
    <w:rsid w:val="002D2B2F"/>
    <w:rsid w:val="002D341B"/>
    <w:rsid w:val="002D58E9"/>
    <w:rsid w:val="002D6115"/>
    <w:rsid w:val="002D62F4"/>
    <w:rsid w:val="002D6943"/>
    <w:rsid w:val="002E040C"/>
    <w:rsid w:val="002E10EC"/>
    <w:rsid w:val="002E1519"/>
    <w:rsid w:val="002E158A"/>
    <w:rsid w:val="002E196C"/>
    <w:rsid w:val="002E1B55"/>
    <w:rsid w:val="002E2263"/>
    <w:rsid w:val="002E268E"/>
    <w:rsid w:val="002E30F7"/>
    <w:rsid w:val="002E318B"/>
    <w:rsid w:val="002E36FE"/>
    <w:rsid w:val="002E3729"/>
    <w:rsid w:val="002E4D2D"/>
    <w:rsid w:val="002E5268"/>
    <w:rsid w:val="002F0262"/>
    <w:rsid w:val="002F0E50"/>
    <w:rsid w:val="002F1C09"/>
    <w:rsid w:val="002F21D4"/>
    <w:rsid w:val="002F2827"/>
    <w:rsid w:val="002F45AC"/>
    <w:rsid w:val="002F4EEE"/>
    <w:rsid w:val="00300392"/>
    <w:rsid w:val="00300F9C"/>
    <w:rsid w:val="003013C4"/>
    <w:rsid w:val="00301CC2"/>
    <w:rsid w:val="0030240F"/>
    <w:rsid w:val="00302F49"/>
    <w:rsid w:val="00303A74"/>
    <w:rsid w:val="00304163"/>
    <w:rsid w:val="003041DC"/>
    <w:rsid w:val="00304E2F"/>
    <w:rsid w:val="0030537F"/>
    <w:rsid w:val="00305D4C"/>
    <w:rsid w:val="00307A81"/>
    <w:rsid w:val="00310145"/>
    <w:rsid w:val="003105BC"/>
    <w:rsid w:val="00315C70"/>
    <w:rsid w:val="003166A5"/>
    <w:rsid w:val="00316EB0"/>
    <w:rsid w:val="00317263"/>
    <w:rsid w:val="00320C44"/>
    <w:rsid w:val="003229ED"/>
    <w:rsid w:val="00322C4F"/>
    <w:rsid w:val="003232BF"/>
    <w:rsid w:val="00323989"/>
    <w:rsid w:val="003240D8"/>
    <w:rsid w:val="0032494D"/>
    <w:rsid w:val="00325FF4"/>
    <w:rsid w:val="00330D8D"/>
    <w:rsid w:val="0033419F"/>
    <w:rsid w:val="00335C99"/>
    <w:rsid w:val="00336323"/>
    <w:rsid w:val="003366D1"/>
    <w:rsid w:val="0033714B"/>
    <w:rsid w:val="0033721B"/>
    <w:rsid w:val="00337348"/>
    <w:rsid w:val="003377EB"/>
    <w:rsid w:val="003412D6"/>
    <w:rsid w:val="00341330"/>
    <w:rsid w:val="00342432"/>
    <w:rsid w:val="0034274C"/>
    <w:rsid w:val="003452CC"/>
    <w:rsid w:val="003458C1"/>
    <w:rsid w:val="0034677E"/>
    <w:rsid w:val="00347539"/>
    <w:rsid w:val="003506E4"/>
    <w:rsid w:val="003518FC"/>
    <w:rsid w:val="00352B7A"/>
    <w:rsid w:val="003530DB"/>
    <w:rsid w:val="00353349"/>
    <w:rsid w:val="00355BCB"/>
    <w:rsid w:val="00357EAB"/>
    <w:rsid w:val="003605BD"/>
    <w:rsid w:val="00360C10"/>
    <w:rsid w:val="00360CA2"/>
    <w:rsid w:val="0036166C"/>
    <w:rsid w:val="00361A5B"/>
    <w:rsid w:val="00364A1D"/>
    <w:rsid w:val="00365D0B"/>
    <w:rsid w:val="00365F26"/>
    <w:rsid w:val="00366440"/>
    <w:rsid w:val="0037031D"/>
    <w:rsid w:val="00374BD8"/>
    <w:rsid w:val="00374F42"/>
    <w:rsid w:val="00375E3B"/>
    <w:rsid w:val="00375F75"/>
    <w:rsid w:val="0037656B"/>
    <w:rsid w:val="00376A47"/>
    <w:rsid w:val="00377078"/>
    <w:rsid w:val="0038029A"/>
    <w:rsid w:val="00380550"/>
    <w:rsid w:val="0038080F"/>
    <w:rsid w:val="00380B5A"/>
    <w:rsid w:val="003810C4"/>
    <w:rsid w:val="003812CD"/>
    <w:rsid w:val="0038179B"/>
    <w:rsid w:val="00382059"/>
    <w:rsid w:val="003821F9"/>
    <w:rsid w:val="00384BD3"/>
    <w:rsid w:val="00385A76"/>
    <w:rsid w:val="00385F0B"/>
    <w:rsid w:val="003864B0"/>
    <w:rsid w:val="00386DA6"/>
    <w:rsid w:val="003872EC"/>
    <w:rsid w:val="00387E35"/>
    <w:rsid w:val="00391346"/>
    <w:rsid w:val="003916DB"/>
    <w:rsid w:val="003916F0"/>
    <w:rsid w:val="0039171A"/>
    <w:rsid w:val="00391FC9"/>
    <w:rsid w:val="0039270C"/>
    <w:rsid w:val="00392AD3"/>
    <w:rsid w:val="00392C76"/>
    <w:rsid w:val="00394FB0"/>
    <w:rsid w:val="00396A2B"/>
    <w:rsid w:val="00397ACC"/>
    <w:rsid w:val="003A0768"/>
    <w:rsid w:val="003A15F0"/>
    <w:rsid w:val="003A1CDA"/>
    <w:rsid w:val="003A1F8D"/>
    <w:rsid w:val="003A21A5"/>
    <w:rsid w:val="003A21E9"/>
    <w:rsid w:val="003A2260"/>
    <w:rsid w:val="003A34A1"/>
    <w:rsid w:val="003A4990"/>
    <w:rsid w:val="003A53D7"/>
    <w:rsid w:val="003A608B"/>
    <w:rsid w:val="003A6529"/>
    <w:rsid w:val="003A6A10"/>
    <w:rsid w:val="003A6B61"/>
    <w:rsid w:val="003A7AD5"/>
    <w:rsid w:val="003B29DE"/>
    <w:rsid w:val="003B2A66"/>
    <w:rsid w:val="003B2B1F"/>
    <w:rsid w:val="003B5391"/>
    <w:rsid w:val="003B64BD"/>
    <w:rsid w:val="003B6935"/>
    <w:rsid w:val="003B769F"/>
    <w:rsid w:val="003C0256"/>
    <w:rsid w:val="003C0CE7"/>
    <w:rsid w:val="003C2163"/>
    <w:rsid w:val="003C2A7E"/>
    <w:rsid w:val="003C2AC1"/>
    <w:rsid w:val="003C37D1"/>
    <w:rsid w:val="003C394A"/>
    <w:rsid w:val="003C4E0C"/>
    <w:rsid w:val="003C5291"/>
    <w:rsid w:val="003C6253"/>
    <w:rsid w:val="003C6395"/>
    <w:rsid w:val="003C6C68"/>
    <w:rsid w:val="003C7794"/>
    <w:rsid w:val="003D1F6B"/>
    <w:rsid w:val="003D2C93"/>
    <w:rsid w:val="003D2D03"/>
    <w:rsid w:val="003D2EEE"/>
    <w:rsid w:val="003D35EC"/>
    <w:rsid w:val="003D3A6B"/>
    <w:rsid w:val="003D4700"/>
    <w:rsid w:val="003D58C4"/>
    <w:rsid w:val="003D5A41"/>
    <w:rsid w:val="003D5B15"/>
    <w:rsid w:val="003D5E3B"/>
    <w:rsid w:val="003D74B1"/>
    <w:rsid w:val="003D7D78"/>
    <w:rsid w:val="003E135D"/>
    <w:rsid w:val="003E1CCE"/>
    <w:rsid w:val="003E1FE3"/>
    <w:rsid w:val="003E2F86"/>
    <w:rsid w:val="003E4DAA"/>
    <w:rsid w:val="003E57A2"/>
    <w:rsid w:val="003E5D3C"/>
    <w:rsid w:val="003E6BFA"/>
    <w:rsid w:val="003F05A5"/>
    <w:rsid w:val="003F05EF"/>
    <w:rsid w:val="003F494B"/>
    <w:rsid w:val="003F4FB6"/>
    <w:rsid w:val="003F5F99"/>
    <w:rsid w:val="003F75AE"/>
    <w:rsid w:val="0040020A"/>
    <w:rsid w:val="0040059A"/>
    <w:rsid w:val="004044C3"/>
    <w:rsid w:val="004056E5"/>
    <w:rsid w:val="00406DBF"/>
    <w:rsid w:val="00407039"/>
    <w:rsid w:val="00411EA6"/>
    <w:rsid w:val="0041381A"/>
    <w:rsid w:val="00413B25"/>
    <w:rsid w:val="00413C9B"/>
    <w:rsid w:val="00413F67"/>
    <w:rsid w:val="00414205"/>
    <w:rsid w:val="0041446E"/>
    <w:rsid w:val="00414800"/>
    <w:rsid w:val="00415A74"/>
    <w:rsid w:val="004163BE"/>
    <w:rsid w:val="00416938"/>
    <w:rsid w:val="0041791A"/>
    <w:rsid w:val="00417B17"/>
    <w:rsid w:val="004202B4"/>
    <w:rsid w:val="00422DC9"/>
    <w:rsid w:val="00423B1D"/>
    <w:rsid w:val="00423E01"/>
    <w:rsid w:val="0042401D"/>
    <w:rsid w:val="00425037"/>
    <w:rsid w:val="004258FA"/>
    <w:rsid w:val="00425BF8"/>
    <w:rsid w:val="0042676A"/>
    <w:rsid w:val="00427049"/>
    <w:rsid w:val="00427F38"/>
    <w:rsid w:val="0043235D"/>
    <w:rsid w:val="00432C6D"/>
    <w:rsid w:val="00433148"/>
    <w:rsid w:val="00433AB1"/>
    <w:rsid w:val="004409DD"/>
    <w:rsid w:val="00440C75"/>
    <w:rsid w:val="0044116C"/>
    <w:rsid w:val="00441291"/>
    <w:rsid w:val="004419A7"/>
    <w:rsid w:val="00441C06"/>
    <w:rsid w:val="00443EC8"/>
    <w:rsid w:val="00445292"/>
    <w:rsid w:val="00446F97"/>
    <w:rsid w:val="00447299"/>
    <w:rsid w:val="004479AE"/>
    <w:rsid w:val="00451896"/>
    <w:rsid w:val="00452BB5"/>
    <w:rsid w:val="0045504E"/>
    <w:rsid w:val="00455F27"/>
    <w:rsid w:val="00457A99"/>
    <w:rsid w:val="00460703"/>
    <w:rsid w:val="00460B09"/>
    <w:rsid w:val="00460ECF"/>
    <w:rsid w:val="004611D2"/>
    <w:rsid w:val="0046142B"/>
    <w:rsid w:val="00463F1B"/>
    <w:rsid w:val="00464BF8"/>
    <w:rsid w:val="00466CA0"/>
    <w:rsid w:val="004678A4"/>
    <w:rsid w:val="004705F5"/>
    <w:rsid w:val="00470AA2"/>
    <w:rsid w:val="00470B29"/>
    <w:rsid w:val="00471646"/>
    <w:rsid w:val="0047168C"/>
    <w:rsid w:val="00472829"/>
    <w:rsid w:val="004736DC"/>
    <w:rsid w:val="00474EEF"/>
    <w:rsid w:val="0047593F"/>
    <w:rsid w:val="00475BE5"/>
    <w:rsid w:val="00477091"/>
    <w:rsid w:val="00480775"/>
    <w:rsid w:val="00480AD2"/>
    <w:rsid w:val="00480CC4"/>
    <w:rsid w:val="004815EA"/>
    <w:rsid w:val="00481C14"/>
    <w:rsid w:val="004823E8"/>
    <w:rsid w:val="00483FF2"/>
    <w:rsid w:val="00485518"/>
    <w:rsid w:val="00485B5D"/>
    <w:rsid w:val="0048603C"/>
    <w:rsid w:val="004867F0"/>
    <w:rsid w:val="00487005"/>
    <w:rsid w:val="004870DF"/>
    <w:rsid w:val="00487250"/>
    <w:rsid w:val="00487484"/>
    <w:rsid w:val="00487E89"/>
    <w:rsid w:val="00490865"/>
    <w:rsid w:val="00490D94"/>
    <w:rsid w:val="0049148B"/>
    <w:rsid w:val="004925AB"/>
    <w:rsid w:val="00492D96"/>
    <w:rsid w:val="00494873"/>
    <w:rsid w:val="004960FF"/>
    <w:rsid w:val="0049674A"/>
    <w:rsid w:val="004976D3"/>
    <w:rsid w:val="004A03EF"/>
    <w:rsid w:val="004A21CA"/>
    <w:rsid w:val="004A41FE"/>
    <w:rsid w:val="004A606D"/>
    <w:rsid w:val="004A632E"/>
    <w:rsid w:val="004A6879"/>
    <w:rsid w:val="004A7085"/>
    <w:rsid w:val="004A7DF4"/>
    <w:rsid w:val="004A7E57"/>
    <w:rsid w:val="004B092C"/>
    <w:rsid w:val="004B1908"/>
    <w:rsid w:val="004B3B48"/>
    <w:rsid w:val="004B3CC8"/>
    <w:rsid w:val="004C0DF6"/>
    <w:rsid w:val="004C166F"/>
    <w:rsid w:val="004C295A"/>
    <w:rsid w:val="004C2ECF"/>
    <w:rsid w:val="004C3F01"/>
    <w:rsid w:val="004C3F3B"/>
    <w:rsid w:val="004C443A"/>
    <w:rsid w:val="004C4CEE"/>
    <w:rsid w:val="004C7A4B"/>
    <w:rsid w:val="004D11F7"/>
    <w:rsid w:val="004D1A71"/>
    <w:rsid w:val="004D1EE9"/>
    <w:rsid w:val="004D22CD"/>
    <w:rsid w:val="004D2A30"/>
    <w:rsid w:val="004D2C03"/>
    <w:rsid w:val="004D61DF"/>
    <w:rsid w:val="004D6882"/>
    <w:rsid w:val="004D7243"/>
    <w:rsid w:val="004D74E1"/>
    <w:rsid w:val="004E0678"/>
    <w:rsid w:val="004E2851"/>
    <w:rsid w:val="004E3DB9"/>
    <w:rsid w:val="004E4B7F"/>
    <w:rsid w:val="004E4EE1"/>
    <w:rsid w:val="004E55B4"/>
    <w:rsid w:val="004E610F"/>
    <w:rsid w:val="004E67DF"/>
    <w:rsid w:val="004E7BF2"/>
    <w:rsid w:val="004E7DE2"/>
    <w:rsid w:val="004F2108"/>
    <w:rsid w:val="004F2836"/>
    <w:rsid w:val="004F3086"/>
    <w:rsid w:val="004F3E46"/>
    <w:rsid w:val="004F3F62"/>
    <w:rsid w:val="004F44C8"/>
    <w:rsid w:val="004F504D"/>
    <w:rsid w:val="004F54C2"/>
    <w:rsid w:val="004F6632"/>
    <w:rsid w:val="0050015C"/>
    <w:rsid w:val="00500160"/>
    <w:rsid w:val="0050378D"/>
    <w:rsid w:val="00503C8B"/>
    <w:rsid w:val="00503CB8"/>
    <w:rsid w:val="005049F2"/>
    <w:rsid w:val="00504CF3"/>
    <w:rsid w:val="00505962"/>
    <w:rsid w:val="00505D40"/>
    <w:rsid w:val="00505FD6"/>
    <w:rsid w:val="005063D5"/>
    <w:rsid w:val="00506469"/>
    <w:rsid w:val="005069B3"/>
    <w:rsid w:val="00511F55"/>
    <w:rsid w:val="005122A9"/>
    <w:rsid w:val="00512BD3"/>
    <w:rsid w:val="00514B83"/>
    <w:rsid w:val="00514C38"/>
    <w:rsid w:val="00515298"/>
    <w:rsid w:val="00515430"/>
    <w:rsid w:val="00516A26"/>
    <w:rsid w:val="00520B52"/>
    <w:rsid w:val="00521086"/>
    <w:rsid w:val="00522BA8"/>
    <w:rsid w:val="00522E03"/>
    <w:rsid w:val="0052561F"/>
    <w:rsid w:val="00525E2F"/>
    <w:rsid w:val="00526265"/>
    <w:rsid w:val="00526C01"/>
    <w:rsid w:val="005271E6"/>
    <w:rsid w:val="00527287"/>
    <w:rsid w:val="005272CD"/>
    <w:rsid w:val="00530E8B"/>
    <w:rsid w:val="00530F53"/>
    <w:rsid w:val="00531DA3"/>
    <w:rsid w:val="00532D28"/>
    <w:rsid w:val="00533869"/>
    <w:rsid w:val="00533A2D"/>
    <w:rsid w:val="00533E36"/>
    <w:rsid w:val="0053490F"/>
    <w:rsid w:val="00540008"/>
    <w:rsid w:val="00540010"/>
    <w:rsid w:val="00540549"/>
    <w:rsid w:val="00540587"/>
    <w:rsid w:val="00541E75"/>
    <w:rsid w:val="00542415"/>
    <w:rsid w:val="00542731"/>
    <w:rsid w:val="00542A7C"/>
    <w:rsid w:val="00542FBA"/>
    <w:rsid w:val="00543B2F"/>
    <w:rsid w:val="0054431F"/>
    <w:rsid w:val="00544C03"/>
    <w:rsid w:val="00550086"/>
    <w:rsid w:val="0055034C"/>
    <w:rsid w:val="00550802"/>
    <w:rsid w:val="005509C9"/>
    <w:rsid w:val="00552A4C"/>
    <w:rsid w:val="005547EE"/>
    <w:rsid w:val="005548CB"/>
    <w:rsid w:val="00554DB9"/>
    <w:rsid w:val="005552C3"/>
    <w:rsid w:val="005557F9"/>
    <w:rsid w:val="00557D2E"/>
    <w:rsid w:val="00557E47"/>
    <w:rsid w:val="00557ED8"/>
    <w:rsid w:val="005604F9"/>
    <w:rsid w:val="0056081B"/>
    <w:rsid w:val="00560F1B"/>
    <w:rsid w:val="00561C53"/>
    <w:rsid w:val="00561EBE"/>
    <w:rsid w:val="0056348C"/>
    <w:rsid w:val="005635FA"/>
    <w:rsid w:val="00563ECA"/>
    <w:rsid w:val="00564A0F"/>
    <w:rsid w:val="005658A5"/>
    <w:rsid w:val="00566526"/>
    <w:rsid w:val="00567BE2"/>
    <w:rsid w:val="00570361"/>
    <w:rsid w:val="005704D1"/>
    <w:rsid w:val="005719CF"/>
    <w:rsid w:val="00571F10"/>
    <w:rsid w:val="0057315D"/>
    <w:rsid w:val="00573AA0"/>
    <w:rsid w:val="00573FC0"/>
    <w:rsid w:val="00574676"/>
    <w:rsid w:val="00575BDB"/>
    <w:rsid w:val="005776B9"/>
    <w:rsid w:val="005779B1"/>
    <w:rsid w:val="00580084"/>
    <w:rsid w:val="00581C47"/>
    <w:rsid w:val="005820C9"/>
    <w:rsid w:val="00584509"/>
    <w:rsid w:val="00584C2D"/>
    <w:rsid w:val="00585708"/>
    <w:rsid w:val="00586C6A"/>
    <w:rsid w:val="00587501"/>
    <w:rsid w:val="0058790E"/>
    <w:rsid w:val="00590557"/>
    <w:rsid w:val="005936BC"/>
    <w:rsid w:val="00593945"/>
    <w:rsid w:val="005948C4"/>
    <w:rsid w:val="005951FC"/>
    <w:rsid w:val="00595490"/>
    <w:rsid w:val="00595519"/>
    <w:rsid w:val="00595856"/>
    <w:rsid w:val="0059630E"/>
    <w:rsid w:val="005A0E26"/>
    <w:rsid w:val="005A0EFA"/>
    <w:rsid w:val="005A111D"/>
    <w:rsid w:val="005A229D"/>
    <w:rsid w:val="005A34F3"/>
    <w:rsid w:val="005A560D"/>
    <w:rsid w:val="005A56ED"/>
    <w:rsid w:val="005A74EB"/>
    <w:rsid w:val="005A759B"/>
    <w:rsid w:val="005A7A45"/>
    <w:rsid w:val="005B008F"/>
    <w:rsid w:val="005B04E7"/>
    <w:rsid w:val="005B0749"/>
    <w:rsid w:val="005B0BD2"/>
    <w:rsid w:val="005B118B"/>
    <w:rsid w:val="005B419F"/>
    <w:rsid w:val="005B49DB"/>
    <w:rsid w:val="005B56AA"/>
    <w:rsid w:val="005B618A"/>
    <w:rsid w:val="005B64A8"/>
    <w:rsid w:val="005B68B0"/>
    <w:rsid w:val="005B6B80"/>
    <w:rsid w:val="005C161F"/>
    <w:rsid w:val="005C1644"/>
    <w:rsid w:val="005C17BE"/>
    <w:rsid w:val="005C1976"/>
    <w:rsid w:val="005C1E50"/>
    <w:rsid w:val="005C37E6"/>
    <w:rsid w:val="005C5BB1"/>
    <w:rsid w:val="005C5FCC"/>
    <w:rsid w:val="005C609F"/>
    <w:rsid w:val="005C7F8A"/>
    <w:rsid w:val="005D0169"/>
    <w:rsid w:val="005D06A1"/>
    <w:rsid w:val="005D09CE"/>
    <w:rsid w:val="005D0A09"/>
    <w:rsid w:val="005D0C6A"/>
    <w:rsid w:val="005D12A3"/>
    <w:rsid w:val="005D2858"/>
    <w:rsid w:val="005D3A96"/>
    <w:rsid w:val="005D54FD"/>
    <w:rsid w:val="005D575D"/>
    <w:rsid w:val="005D64B7"/>
    <w:rsid w:val="005E0E53"/>
    <w:rsid w:val="005E14A7"/>
    <w:rsid w:val="005E1F60"/>
    <w:rsid w:val="005E234C"/>
    <w:rsid w:val="005E2405"/>
    <w:rsid w:val="005E2DA6"/>
    <w:rsid w:val="005E3BE4"/>
    <w:rsid w:val="005E41DE"/>
    <w:rsid w:val="005E4B65"/>
    <w:rsid w:val="005E5818"/>
    <w:rsid w:val="005F0525"/>
    <w:rsid w:val="005F0731"/>
    <w:rsid w:val="005F0CDF"/>
    <w:rsid w:val="005F24AF"/>
    <w:rsid w:val="005F26A6"/>
    <w:rsid w:val="005F2E94"/>
    <w:rsid w:val="005F31BF"/>
    <w:rsid w:val="005F3602"/>
    <w:rsid w:val="005F4E03"/>
    <w:rsid w:val="005F57A6"/>
    <w:rsid w:val="005F6EDF"/>
    <w:rsid w:val="005F7EA6"/>
    <w:rsid w:val="005F7F4A"/>
    <w:rsid w:val="00600131"/>
    <w:rsid w:val="0060049C"/>
    <w:rsid w:val="00601FC2"/>
    <w:rsid w:val="006026C6"/>
    <w:rsid w:val="00603867"/>
    <w:rsid w:val="006039DC"/>
    <w:rsid w:val="0060515A"/>
    <w:rsid w:val="0060556A"/>
    <w:rsid w:val="0060560E"/>
    <w:rsid w:val="00605E0C"/>
    <w:rsid w:val="00605E55"/>
    <w:rsid w:val="00606765"/>
    <w:rsid w:val="00606775"/>
    <w:rsid w:val="00607D07"/>
    <w:rsid w:val="0061008A"/>
    <w:rsid w:val="00610A53"/>
    <w:rsid w:val="00610FB4"/>
    <w:rsid w:val="006114B6"/>
    <w:rsid w:val="0061303B"/>
    <w:rsid w:val="00613108"/>
    <w:rsid w:val="00614014"/>
    <w:rsid w:val="00614F5F"/>
    <w:rsid w:val="00615360"/>
    <w:rsid w:val="006154E3"/>
    <w:rsid w:val="006157AA"/>
    <w:rsid w:val="006208C3"/>
    <w:rsid w:val="00621992"/>
    <w:rsid w:val="00621A35"/>
    <w:rsid w:val="00623403"/>
    <w:rsid w:val="00623455"/>
    <w:rsid w:val="006238A2"/>
    <w:rsid w:val="00625707"/>
    <w:rsid w:val="00626A36"/>
    <w:rsid w:val="00627218"/>
    <w:rsid w:val="006277EC"/>
    <w:rsid w:val="00627916"/>
    <w:rsid w:val="00630247"/>
    <w:rsid w:val="0063105B"/>
    <w:rsid w:val="00632832"/>
    <w:rsid w:val="00632E6D"/>
    <w:rsid w:val="00632F5B"/>
    <w:rsid w:val="00633C06"/>
    <w:rsid w:val="00634209"/>
    <w:rsid w:val="00635667"/>
    <w:rsid w:val="00637472"/>
    <w:rsid w:val="00637E2D"/>
    <w:rsid w:val="00642DAB"/>
    <w:rsid w:val="00643722"/>
    <w:rsid w:val="00644DD7"/>
    <w:rsid w:val="00645709"/>
    <w:rsid w:val="0064736B"/>
    <w:rsid w:val="006522E3"/>
    <w:rsid w:val="0065270A"/>
    <w:rsid w:val="006534FC"/>
    <w:rsid w:val="006538A1"/>
    <w:rsid w:val="00654EFB"/>
    <w:rsid w:val="00654FD9"/>
    <w:rsid w:val="00655C2F"/>
    <w:rsid w:val="00657422"/>
    <w:rsid w:val="00662B08"/>
    <w:rsid w:val="00662C68"/>
    <w:rsid w:val="00663015"/>
    <w:rsid w:val="00663A42"/>
    <w:rsid w:val="006641C5"/>
    <w:rsid w:val="006645D1"/>
    <w:rsid w:val="006670D0"/>
    <w:rsid w:val="006672AD"/>
    <w:rsid w:val="00671169"/>
    <w:rsid w:val="0067163E"/>
    <w:rsid w:val="006726B1"/>
    <w:rsid w:val="00673974"/>
    <w:rsid w:val="00673C76"/>
    <w:rsid w:val="006747FB"/>
    <w:rsid w:val="00674C3E"/>
    <w:rsid w:val="0067759C"/>
    <w:rsid w:val="006778B1"/>
    <w:rsid w:val="00680548"/>
    <w:rsid w:val="006811C8"/>
    <w:rsid w:val="006828FF"/>
    <w:rsid w:val="00682C6E"/>
    <w:rsid w:val="00683C54"/>
    <w:rsid w:val="006869FF"/>
    <w:rsid w:val="00687195"/>
    <w:rsid w:val="006904BB"/>
    <w:rsid w:val="00690677"/>
    <w:rsid w:val="00690C0A"/>
    <w:rsid w:val="00691510"/>
    <w:rsid w:val="006918DB"/>
    <w:rsid w:val="00694164"/>
    <w:rsid w:val="00694287"/>
    <w:rsid w:val="00694C31"/>
    <w:rsid w:val="0069661C"/>
    <w:rsid w:val="006977A1"/>
    <w:rsid w:val="00697FEA"/>
    <w:rsid w:val="006A073F"/>
    <w:rsid w:val="006A0E15"/>
    <w:rsid w:val="006A1C58"/>
    <w:rsid w:val="006A21DD"/>
    <w:rsid w:val="006A26B6"/>
    <w:rsid w:val="006A2DF1"/>
    <w:rsid w:val="006A35C3"/>
    <w:rsid w:val="006A395F"/>
    <w:rsid w:val="006A3E2E"/>
    <w:rsid w:val="006A3E8E"/>
    <w:rsid w:val="006A43DB"/>
    <w:rsid w:val="006A4F8C"/>
    <w:rsid w:val="006A5C1E"/>
    <w:rsid w:val="006A5F8C"/>
    <w:rsid w:val="006A63B9"/>
    <w:rsid w:val="006A7B98"/>
    <w:rsid w:val="006A7F6A"/>
    <w:rsid w:val="006B0A7C"/>
    <w:rsid w:val="006B0A9E"/>
    <w:rsid w:val="006B0BBE"/>
    <w:rsid w:val="006B20DA"/>
    <w:rsid w:val="006B3326"/>
    <w:rsid w:val="006B3B5D"/>
    <w:rsid w:val="006B7AC4"/>
    <w:rsid w:val="006C2175"/>
    <w:rsid w:val="006C21D8"/>
    <w:rsid w:val="006C234D"/>
    <w:rsid w:val="006C27AC"/>
    <w:rsid w:val="006C2D64"/>
    <w:rsid w:val="006C36AD"/>
    <w:rsid w:val="006C3744"/>
    <w:rsid w:val="006D02E8"/>
    <w:rsid w:val="006D171F"/>
    <w:rsid w:val="006D1753"/>
    <w:rsid w:val="006D21E9"/>
    <w:rsid w:val="006D2D8E"/>
    <w:rsid w:val="006D461B"/>
    <w:rsid w:val="006D4D38"/>
    <w:rsid w:val="006D54AA"/>
    <w:rsid w:val="006D5766"/>
    <w:rsid w:val="006D61E3"/>
    <w:rsid w:val="006D61E8"/>
    <w:rsid w:val="006D6F89"/>
    <w:rsid w:val="006E1CA2"/>
    <w:rsid w:val="006E1DE7"/>
    <w:rsid w:val="006E214D"/>
    <w:rsid w:val="006E32A4"/>
    <w:rsid w:val="006E4F8C"/>
    <w:rsid w:val="006E5A52"/>
    <w:rsid w:val="006E7631"/>
    <w:rsid w:val="006E7B52"/>
    <w:rsid w:val="006F063F"/>
    <w:rsid w:val="006F0A50"/>
    <w:rsid w:val="006F1052"/>
    <w:rsid w:val="006F1612"/>
    <w:rsid w:val="006F1B9F"/>
    <w:rsid w:val="006F25AA"/>
    <w:rsid w:val="006F25F3"/>
    <w:rsid w:val="006F3907"/>
    <w:rsid w:val="006F3FA5"/>
    <w:rsid w:val="006F41AB"/>
    <w:rsid w:val="006F4239"/>
    <w:rsid w:val="006F475E"/>
    <w:rsid w:val="006F4A49"/>
    <w:rsid w:val="006F4ACB"/>
    <w:rsid w:val="006F4F6F"/>
    <w:rsid w:val="006F5193"/>
    <w:rsid w:val="006F5636"/>
    <w:rsid w:val="00701142"/>
    <w:rsid w:val="007019A2"/>
    <w:rsid w:val="00702124"/>
    <w:rsid w:val="007032B2"/>
    <w:rsid w:val="00703968"/>
    <w:rsid w:val="00703EDE"/>
    <w:rsid w:val="00704DA0"/>
    <w:rsid w:val="007055D0"/>
    <w:rsid w:val="0070701B"/>
    <w:rsid w:val="0070712F"/>
    <w:rsid w:val="00707415"/>
    <w:rsid w:val="00707417"/>
    <w:rsid w:val="00707DC4"/>
    <w:rsid w:val="00710E52"/>
    <w:rsid w:val="00712C7C"/>
    <w:rsid w:val="007143C5"/>
    <w:rsid w:val="00714A41"/>
    <w:rsid w:val="0071559B"/>
    <w:rsid w:val="00716726"/>
    <w:rsid w:val="00717419"/>
    <w:rsid w:val="00720843"/>
    <w:rsid w:val="007211E3"/>
    <w:rsid w:val="0072172C"/>
    <w:rsid w:val="007217C6"/>
    <w:rsid w:val="00722742"/>
    <w:rsid w:val="007237C2"/>
    <w:rsid w:val="00723B45"/>
    <w:rsid w:val="00725F3C"/>
    <w:rsid w:val="007265CF"/>
    <w:rsid w:val="007266E6"/>
    <w:rsid w:val="00727213"/>
    <w:rsid w:val="0072732E"/>
    <w:rsid w:val="00730DE4"/>
    <w:rsid w:val="00730EFB"/>
    <w:rsid w:val="007314C1"/>
    <w:rsid w:val="0073196A"/>
    <w:rsid w:val="00733C21"/>
    <w:rsid w:val="00733E31"/>
    <w:rsid w:val="00734A15"/>
    <w:rsid w:val="00734D33"/>
    <w:rsid w:val="00735B99"/>
    <w:rsid w:val="0073631D"/>
    <w:rsid w:val="00737857"/>
    <w:rsid w:val="00737FDB"/>
    <w:rsid w:val="007408A5"/>
    <w:rsid w:val="007435DA"/>
    <w:rsid w:val="00744B40"/>
    <w:rsid w:val="007454C5"/>
    <w:rsid w:val="007457AD"/>
    <w:rsid w:val="00745D6B"/>
    <w:rsid w:val="00746AC0"/>
    <w:rsid w:val="00747A1B"/>
    <w:rsid w:val="00747AA0"/>
    <w:rsid w:val="00747F71"/>
    <w:rsid w:val="00755CFB"/>
    <w:rsid w:val="007566B0"/>
    <w:rsid w:val="00757DE2"/>
    <w:rsid w:val="00761D91"/>
    <w:rsid w:val="00762084"/>
    <w:rsid w:val="0076208D"/>
    <w:rsid w:val="007651B2"/>
    <w:rsid w:val="0076591C"/>
    <w:rsid w:val="0076599A"/>
    <w:rsid w:val="007670FD"/>
    <w:rsid w:val="007672E0"/>
    <w:rsid w:val="007676B4"/>
    <w:rsid w:val="007706B8"/>
    <w:rsid w:val="00770AD3"/>
    <w:rsid w:val="007712A6"/>
    <w:rsid w:val="00771FF6"/>
    <w:rsid w:val="007721FF"/>
    <w:rsid w:val="007735A2"/>
    <w:rsid w:val="00774AC3"/>
    <w:rsid w:val="00775CDB"/>
    <w:rsid w:val="00777010"/>
    <w:rsid w:val="0077752F"/>
    <w:rsid w:val="00777A67"/>
    <w:rsid w:val="00780B82"/>
    <w:rsid w:val="007815A7"/>
    <w:rsid w:val="00781829"/>
    <w:rsid w:val="00781FC2"/>
    <w:rsid w:val="00782AFA"/>
    <w:rsid w:val="00782D26"/>
    <w:rsid w:val="00782D86"/>
    <w:rsid w:val="00783A9A"/>
    <w:rsid w:val="007843AE"/>
    <w:rsid w:val="00784592"/>
    <w:rsid w:val="00786A19"/>
    <w:rsid w:val="00786A60"/>
    <w:rsid w:val="00786DB1"/>
    <w:rsid w:val="0079064A"/>
    <w:rsid w:val="00791A44"/>
    <w:rsid w:val="007935C6"/>
    <w:rsid w:val="007935D9"/>
    <w:rsid w:val="007951F6"/>
    <w:rsid w:val="00795DEF"/>
    <w:rsid w:val="00796050"/>
    <w:rsid w:val="0079708C"/>
    <w:rsid w:val="00797C46"/>
    <w:rsid w:val="007A06BC"/>
    <w:rsid w:val="007A094D"/>
    <w:rsid w:val="007A360E"/>
    <w:rsid w:val="007A3968"/>
    <w:rsid w:val="007A3A0D"/>
    <w:rsid w:val="007A7F82"/>
    <w:rsid w:val="007B06DE"/>
    <w:rsid w:val="007B084A"/>
    <w:rsid w:val="007B1F27"/>
    <w:rsid w:val="007B2E50"/>
    <w:rsid w:val="007B3AE6"/>
    <w:rsid w:val="007B51AE"/>
    <w:rsid w:val="007B54E9"/>
    <w:rsid w:val="007B59DA"/>
    <w:rsid w:val="007B5D87"/>
    <w:rsid w:val="007B5E81"/>
    <w:rsid w:val="007B6059"/>
    <w:rsid w:val="007B70DF"/>
    <w:rsid w:val="007B73EE"/>
    <w:rsid w:val="007B766F"/>
    <w:rsid w:val="007B7C19"/>
    <w:rsid w:val="007C25A2"/>
    <w:rsid w:val="007C3B60"/>
    <w:rsid w:val="007C476B"/>
    <w:rsid w:val="007C4EA2"/>
    <w:rsid w:val="007C5D49"/>
    <w:rsid w:val="007C5FD3"/>
    <w:rsid w:val="007C6446"/>
    <w:rsid w:val="007C66FB"/>
    <w:rsid w:val="007C7B8F"/>
    <w:rsid w:val="007D0467"/>
    <w:rsid w:val="007D20C5"/>
    <w:rsid w:val="007D25B9"/>
    <w:rsid w:val="007D2F57"/>
    <w:rsid w:val="007D31A4"/>
    <w:rsid w:val="007D4BBC"/>
    <w:rsid w:val="007D7702"/>
    <w:rsid w:val="007E02D2"/>
    <w:rsid w:val="007E0670"/>
    <w:rsid w:val="007E0B01"/>
    <w:rsid w:val="007E11D1"/>
    <w:rsid w:val="007E16E1"/>
    <w:rsid w:val="007E277C"/>
    <w:rsid w:val="007E4033"/>
    <w:rsid w:val="007E4883"/>
    <w:rsid w:val="007E541B"/>
    <w:rsid w:val="007E5B50"/>
    <w:rsid w:val="007E5CFC"/>
    <w:rsid w:val="007E5DEF"/>
    <w:rsid w:val="007E6007"/>
    <w:rsid w:val="007E67EE"/>
    <w:rsid w:val="007E69CF"/>
    <w:rsid w:val="007E69D2"/>
    <w:rsid w:val="007E73E2"/>
    <w:rsid w:val="007E7841"/>
    <w:rsid w:val="007F2249"/>
    <w:rsid w:val="007F39B5"/>
    <w:rsid w:val="007F4000"/>
    <w:rsid w:val="007F6D3A"/>
    <w:rsid w:val="007F7790"/>
    <w:rsid w:val="007F7B95"/>
    <w:rsid w:val="008004CB"/>
    <w:rsid w:val="00801F00"/>
    <w:rsid w:val="00802E71"/>
    <w:rsid w:val="00803947"/>
    <w:rsid w:val="008046C0"/>
    <w:rsid w:val="00805410"/>
    <w:rsid w:val="0080659A"/>
    <w:rsid w:val="008068F3"/>
    <w:rsid w:val="00806C01"/>
    <w:rsid w:val="00806D7D"/>
    <w:rsid w:val="008070F8"/>
    <w:rsid w:val="00811BAA"/>
    <w:rsid w:val="00813357"/>
    <w:rsid w:val="0081371C"/>
    <w:rsid w:val="00813CB0"/>
    <w:rsid w:val="00813ED0"/>
    <w:rsid w:val="00814792"/>
    <w:rsid w:val="00816004"/>
    <w:rsid w:val="008166B4"/>
    <w:rsid w:val="00816A56"/>
    <w:rsid w:val="00816EFE"/>
    <w:rsid w:val="00817403"/>
    <w:rsid w:val="008177BD"/>
    <w:rsid w:val="00820340"/>
    <w:rsid w:val="00821E71"/>
    <w:rsid w:val="00822ED5"/>
    <w:rsid w:val="00823A0D"/>
    <w:rsid w:val="00824372"/>
    <w:rsid w:val="00824BA3"/>
    <w:rsid w:val="00825331"/>
    <w:rsid w:val="0082746E"/>
    <w:rsid w:val="008300A2"/>
    <w:rsid w:val="00830F64"/>
    <w:rsid w:val="008325BC"/>
    <w:rsid w:val="008326BB"/>
    <w:rsid w:val="00832992"/>
    <w:rsid w:val="00832A8D"/>
    <w:rsid w:val="00833CC1"/>
    <w:rsid w:val="00835CF9"/>
    <w:rsid w:val="00841452"/>
    <w:rsid w:val="008418AB"/>
    <w:rsid w:val="00841CC3"/>
    <w:rsid w:val="0084241C"/>
    <w:rsid w:val="0084325F"/>
    <w:rsid w:val="00843AD1"/>
    <w:rsid w:val="008460FD"/>
    <w:rsid w:val="008472D5"/>
    <w:rsid w:val="00847D70"/>
    <w:rsid w:val="008510F9"/>
    <w:rsid w:val="00851A4A"/>
    <w:rsid w:val="00851DBC"/>
    <w:rsid w:val="00852AB0"/>
    <w:rsid w:val="00852F34"/>
    <w:rsid w:val="008536A8"/>
    <w:rsid w:val="00853827"/>
    <w:rsid w:val="00853F46"/>
    <w:rsid w:val="00854784"/>
    <w:rsid w:val="00854A0F"/>
    <w:rsid w:val="008550C3"/>
    <w:rsid w:val="008562F9"/>
    <w:rsid w:val="00857AEC"/>
    <w:rsid w:val="008623DF"/>
    <w:rsid w:val="008625B7"/>
    <w:rsid w:val="00862BE7"/>
    <w:rsid w:val="008632D9"/>
    <w:rsid w:val="00863366"/>
    <w:rsid w:val="00863BF3"/>
    <w:rsid w:val="00863CFF"/>
    <w:rsid w:val="008640CB"/>
    <w:rsid w:val="008642AA"/>
    <w:rsid w:val="00864CBB"/>
    <w:rsid w:val="00864CC7"/>
    <w:rsid w:val="00865410"/>
    <w:rsid w:val="00865801"/>
    <w:rsid w:val="00866933"/>
    <w:rsid w:val="00866E5E"/>
    <w:rsid w:val="00866F7E"/>
    <w:rsid w:val="00867968"/>
    <w:rsid w:val="00867B01"/>
    <w:rsid w:val="00872375"/>
    <w:rsid w:val="00873239"/>
    <w:rsid w:val="008732C7"/>
    <w:rsid w:val="00873441"/>
    <w:rsid w:val="008735CB"/>
    <w:rsid w:val="00880EF0"/>
    <w:rsid w:val="00880FFB"/>
    <w:rsid w:val="0088153C"/>
    <w:rsid w:val="00881D5C"/>
    <w:rsid w:val="008835CB"/>
    <w:rsid w:val="00884896"/>
    <w:rsid w:val="00885250"/>
    <w:rsid w:val="00886B7C"/>
    <w:rsid w:val="008878AE"/>
    <w:rsid w:val="00887939"/>
    <w:rsid w:val="00887D11"/>
    <w:rsid w:val="00890404"/>
    <w:rsid w:val="00890828"/>
    <w:rsid w:val="0089209F"/>
    <w:rsid w:val="0089230C"/>
    <w:rsid w:val="00892901"/>
    <w:rsid w:val="00892CE1"/>
    <w:rsid w:val="00892CE2"/>
    <w:rsid w:val="0089334E"/>
    <w:rsid w:val="00893CE1"/>
    <w:rsid w:val="008943C1"/>
    <w:rsid w:val="0089457A"/>
    <w:rsid w:val="00895419"/>
    <w:rsid w:val="00896777"/>
    <w:rsid w:val="008A0BFE"/>
    <w:rsid w:val="008A1B25"/>
    <w:rsid w:val="008A2980"/>
    <w:rsid w:val="008A33EC"/>
    <w:rsid w:val="008A5043"/>
    <w:rsid w:val="008A6A66"/>
    <w:rsid w:val="008A71D0"/>
    <w:rsid w:val="008A7BC7"/>
    <w:rsid w:val="008A7EB2"/>
    <w:rsid w:val="008B113B"/>
    <w:rsid w:val="008B12A7"/>
    <w:rsid w:val="008B25E2"/>
    <w:rsid w:val="008B26D1"/>
    <w:rsid w:val="008B6589"/>
    <w:rsid w:val="008B6C49"/>
    <w:rsid w:val="008B7066"/>
    <w:rsid w:val="008B728D"/>
    <w:rsid w:val="008B7C77"/>
    <w:rsid w:val="008C122A"/>
    <w:rsid w:val="008C1C75"/>
    <w:rsid w:val="008C2E55"/>
    <w:rsid w:val="008C4005"/>
    <w:rsid w:val="008C571E"/>
    <w:rsid w:val="008C643B"/>
    <w:rsid w:val="008C66C1"/>
    <w:rsid w:val="008C7089"/>
    <w:rsid w:val="008D04FA"/>
    <w:rsid w:val="008D05F6"/>
    <w:rsid w:val="008D0788"/>
    <w:rsid w:val="008D1CFF"/>
    <w:rsid w:val="008D37B6"/>
    <w:rsid w:val="008D3FC7"/>
    <w:rsid w:val="008D47FC"/>
    <w:rsid w:val="008D492C"/>
    <w:rsid w:val="008D51B5"/>
    <w:rsid w:val="008D5993"/>
    <w:rsid w:val="008D649A"/>
    <w:rsid w:val="008D6C29"/>
    <w:rsid w:val="008D7471"/>
    <w:rsid w:val="008E083A"/>
    <w:rsid w:val="008E0DBD"/>
    <w:rsid w:val="008E1034"/>
    <w:rsid w:val="008E2B02"/>
    <w:rsid w:val="008E47B3"/>
    <w:rsid w:val="008E4EF3"/>
    <w:rsid w:val="008E5B51"/>
    <w:rsid w:val="008E65FD"/>
    <w:rsid w:val="008E7576"/>
    <w:rsid w:val="008E7C45"/>
    <w:rsid w:val="008F03E4"/>
    <w:rsid w:val="008F18E3"/>
    <w:rsid w:val="008F36EA"/>
    <w:rsid w:val="008F3EAA"/>
    <w:rsid w:val="008F4422"/>
    <w:rsid w:val="008F526E"/>
    <w:rsid w:val="008F545D"/>
    <w:rsid w:val="008F6553"/>
    <w:rsid w:val="008F6F0C"/>
    <w:rsid w:val="008F7D91"/>
    <w:rsid w:val="00900A94"/>
    <w:rsid w:val="00902119"/>
    <w:rsid w:val="00902BED"/>
    <w:rsid w:val="00904F20"/>
    <w:rsid w:val="00905853"/>
    <w:rsid w:val="00905AB3"/>
    <w:rsid w:val="00910F7B"/>
    <w:rsid w:val="0091133E"/>
    <w:rsid w:val="0091181E"/>
    <w:rsid w:val="00911B4F"/>
    <w:rsid w:val="00912456"/>
    <w:rsid w:val="00912620"/>
    <w:rsid w:val="009131C8"/>
    <w:rsid w:val="00913B24"/>
    <w:rsid w:val="00916751"/>
    <w:rsid w:val="00916C31"/>
    <w:rsid w:val="00917574"/>
    <w:rsid w:val="009201A3"/>
    <w:rsid w:val="00920CF9"/>
    <w:rsid w:val="00921019"/>
    <w:rsid w:val="00921522"/>
    <w:rsid w:val="00921BF6"/>
    <w:rsid w:val="0092328B"/>
    <w:rsid w:val="00923518"/>
    <w:rsid w:val="00923C83"/>
    <w:rsid w:val="009252BC"/>
    <w:rsid w:val="00925B46"/>
    <w:rsid w:val="00927830"/>
    <w:rsid w:val="00927F9B"/>
    <w:rsid w:val="009301A3"/>
    <w:rsid w:val="0093219C"/>
    <w:rsid w:val="009322EC"/>
    <w:rsid w:val="00932471"/>
    <w:rsid w:val="00933AFE"/>
    <w:rsid w:val="00935540"/>
    <w:rsid w:val="00937DD8"/>
    <w:rsid w:val="009408FC"/>
    <w:rsid w:val="00941CB2"/>
    <w:rsid w:val="00942B65"/>
    <w:rsid w:val="00942CCE"/>
    <w:rsid w:val="00943760"/>
    <w:rsid w:val="009461C9"/>
    <w:rsid w:val="00946F10"/>
    <w:rsid w:val="0094757D"/>
    <w:rsid w:val="009477BF"/>
    <w:rsid w:val="00947ED2"/>
    <w:rsid w:val="009506C9"/>
    <w:rsid w:val="009508A7"/>
    <w:rsid w:val="00951821"/>
    <w:rsid w:val="00951B06"/>
    <w:rsid w:val="009526A4"/>
    <w:rsid w:val="00953748"/>
    <w:rsid w:val="00954C21"/>
    <w:rsid w:val="00955998"/>
    <w:rsid w:val="00955B9F"/>
    <w:rsid w:val="00955CCC"/>
    <w:rsid w:val="0096003A"/>
    <w:rsid w:val="00960386"/>
    <w:rsid w:val="00960868"/>
    <w:rsid w:val="00960B2C"/>
    <w:rsid w:val="00961787"/>
    <w:rsid w:val="00961E44"/>
    <w:rsid w:val="00961FAE"/>
    <w:rsid w:val="00962636"/>
    <w:rsid w:val="00962D10"/>
    <w:rsid w:val="0096389D"/>
    <w:rsid w:val="00963B17"/>
    <w:rsid w:val="00965414"/>
    <w:rsid w:val="00966BEE"/>
    <w:rsid w:val="0097062E"/>
    <w:rsid w:val="00973B3C"/>
    <w:rsid w:val="00974211"/>
    <w:rsid w:val="009747FC"/>
    <w:rsid w:val="009768F2"/>
    <w:rsid w:val="00977759"/>
    <w:rsid w:val="00980CE0"/>
    <w:rsid w:val="0098136F"/>
    <w:rsid w:val="00981BA2"/>
    <w:rsid w:val="00982FEF"/>
    <w:rsid w:val="00983246"/>
    <w:rsid w:val="009832B2"/>
    <w:rsid w:val="00983377"/>
    <w:rsid w:val="00983E95"/>
    <w:rsid w:val="00985412"/>
    <w:rsid w:val="00985667"/>
    <w:rsid w:val="00986D92"/>
    <w:rsid w:val="00987299"/>
    <w:rsid w:val="0099138A"/>
    <w:rsid w:val="00991CC1"/>
    <w:rsid w:val="0099215B"/>
    <w:rsid w:val="00995E71"/>
    <w:rsid w:val="00996396"/>
    <w:rsid w:val="00997DCA"/>
    <w:rsid w:val="009A08CA"/>
    <w:rsid w:val="009A0DD7"/>
    <w:rsid w:val="009A116B"/>
    <w:rsid w:val="009A11C5"/>
    <w:rsid w:val="009A45BF"/>
    <w:rsid w:val="009A4AE5"/>
    <w:rsid w:val="009A519D"/>
    <w:rsid w:val="009A5A47"/>
    <w:rsid w:val="009A74B8"/>
    <w:rsid w:val="009B3BB4"/>
    <w:rsid w:val="009B3EF1"/>
    <w:rsid w:val="009B4917"/>
    <w:rsid w:val="009B538D"/>
    <w:rsid w:val="009B6BC8"/>
    <w:rsid w:val="009B7532"/>
    <w:rsid w:val="009B7D57"/>
    <w:rsid w:val="009C0AC3"/>
    <w:rsid w:val="009C0BEA"/>
    <w:rsid w:val="009C1C6C"/>
    <w:rsid w:val="009C33F4"/>
    <w:rsid w:val="009C40CA"/>
    <w:rsid w:val="009C59C2"/>
    <w:rsid w:val="009C5EFC"/>
    <w:rsid w:val="009C6A5B"/>
    <w:rsid w:val="009C6B53"/>
    <w:rsid w:val="009C6E02"/>
    <w:rsid w:val="009C7C78"/>
    <w:rsid w:val="009C7F2C"/>
    <w:rsid w:val="009D086E"/>
    <w:rsid w:val="009D1BC1"/>
    <w:rsid w:val="009D1DF8"/>
    <w:rsid w:val="009D2967"/>
    <w:rsid w:val="009D30D3"/>
    <w:rsid w:val="009D4622"/>
    <w:rsid w:val="009D4AC5"/>
    <w:rsid w:val="009D526B"/>
    <w:rsid w:val="009D5987"/>
    <w:rsid w:val="009D59F5"/>
    <w:rsid w:val="009D7579"/>
    <w:rsid w:val="009E0419"/>
    <w:rsid w:val="009E1A00"/>
    <w:rsid w:val="009E29B8"/>
    <w:rsid w:val="009E3BBA"/>
    <w:rsid w:val="009E4099"/>
    <w:rsid w:val="009E4DC3"/>
    <w:rsid w:val="009E590D"/>
    <w:rsid w:val="009E6629"/>
    <w:rsid w:val="009E6F0C"/>
    <w:rsid w:val="009F049B"/>
    <w:rsid w:val="009F1BD0"/>
    <w:rsid w:val="009F3CCC"/>
    <w:rsid w:val="009F4F57"/>
    <w:rsid w:val="009F50B6"/>
    <w:rsid w:val="009F5276"/>
    <w:rsid w:val="009F5EEE"/>
    <w:rsid w:val="009F65CE"/>
    <w:rsid w:val="009F6C89"/>
    <w:rsid w:val="009F7688"/>
    <w:rsid w:val="009F78D0"/>
    <w:rsid w:val="00A004D8"/>
    <w:rsid w:val="00A009CB"/>
    <w:rsid w:val="00A02525"/>
    <w:rsid w:val="00A029E6"/>
    <w:rsid w:val="00A02EB0"/>
    <w:rsid w:val="00A0335E"/>
    <w:rsid w:val="00A03AD2"/>
    <w:rsid w:val="00A04AE8"/>
    <w:rsid w:val="00A0591D"/>
    <w:rsid w:val="00A06FC9"/>
    <w:rsid w:val="00A0707D"/>
    <w:rsid w:val="00A071DC"/>
    <w:rsid w:val="00A0737A"/>
    <w:rsid w:val="00A07B86"/>
    <w:rsid w:val="00A1270B"/>
    <w:rsid w:val="00A12A37"/>
    <w:rsid w:val="00A13564"/>
    <w:rsid w:val="00A13A97"/>
    <w:rsid w:val="00A147B9"/>
    <w:rsid w:val="00A14B02"/>
    <w:rsid w:val="00A172E4"/>
    <w:rsid w:val="00A17987"/>
    <w:rsid w:val="00A201A2"/>
    <w:rsid w:val="00A209F0"/>
    <w:rsid w:val="00A216B4"/>
    <w:rsid w:val="00A21796"/>
    <w:rsid w:val="00A218C3"/>
    <w:rsid w:val="00A21E4A"/>
    <w:rsid w:val="00A2499A"/>
    <w:rsid w:val="00A25259"/>
    <w:rsid w:val="00A25351"/>
    <w:rsid w:val="00A253B4"/>
    <w:rsid w:val="00A25499"/>
    <w:rsid w:val="00A25C0E"/>
    <w:rsid w:val="00A26070"/>
    <w:rsid w:val="00A26454"/>
    <w:rsid w:val="00A26829"/>
    <w:rsid w:val="00A26C0D"/>
    <w:rsid w:val="00A26CA8"/>
    <w:rsid w:val="00A30C55"/>
    <w:rsid w:val="00A31B8C"/>
    <w:rsid w:val="00A32C07"/>
    <w:rsid w:val="00A32D56"/>
    <w:rsid w:val="00A333C2"/>
    <w:rsid w:val="00A34931"/>
    <w:rsid w:val="00A34D38"/>
    <w:rsid w:val="00A36706"/>
    <w:rsid w:val="00A36F8C"/>
    <w:rsid w:val="00A401D7"/>
    <w:rsid w:val="00A405D4"/>
    <w:rsid w:val="00A410C1"/>
    <w:rsid w:val="00A42C84"/>
    <w:rsid w:val="00A4393F"/>
    <w:rsid w:val="00A45078"/>
    <w:rsid w:val="00A450E5"/>
    <w:rsid w:val="00A451ED"/>
    <w:rsid w:val="00A457CF"/>
    <w:rsid w:val="00A459D8"/>
    <w:rsid w:val="00A47018"/>
    <w:rsid w:val="00A5446D"/>
    <w:rsid w:val="00A552A3"/>
    <w:rsid w:val="00A5571C"/>
    <w:rsid w:val="00A5613D"/>
    <w:rsid w:val="00A56512"/>
    <w:rsid w:val="00A56D68"/>
    <w:rsid w:val="00A60140"/>
    <w:rsid w:val="00A61FC4"/>
    <w:rsid w:val="00A632D9"/>
    <w:rsid w:val="00A63F68"/>
    <w:rsid w:val="00A66178"/>
    <w:rsid w:val="00A66257"/>
    <w:rsid w:val="00A66EE3"/>
    <w:rsid w:val="00A70C5A"/>
    <w:rsid w:val="00A7195D"/>
    <w:rsid w:val="00A71AD3"/>
    <w:rsid w:val="00A725E9"/>
    <w:rsid w:val="00A72815"/>
    <w:rsid w:val="00A72C1D"/>
    <w:rsid w:val="00A72C24"/>
    <w:rsid w:val="00A737BD"/>
    <w:rsid w:val="00A742DD"/>
    <w:rsid w:val="00A74E19"/>
    <w:rsid w:val="00A750EC"/>
    <w:rsid w:val="00A757BC"/>
    <w:rsid w:val="00A76660"/>
    <w:rsid w:val="00A769CF"/>
    <w:rsid w:val="00A7764D"/>
    <w:rsid w:val="00A80158"/>
    <w:rsid w:val="00A83F1E"/>
    <w:rsid w:val="00A84D22"/>
    <w:rsid w:val="00A84F6D"/>
    <w:rsid w:val="00A86253"/>
    <w:rsid w:val="00A862BB"/>
    <w:rsid w:val="00A868E8"/>
    <w:rsid w:val="00A86AA2"/>
    <w:rsid w:val="00A87483"/>
    <w:rsid w:val="00A87A55"/>
    <w:rsid w:val="00A91998"/>
    <w:rsid w:val="00A92221"/>
    <w:rsid w:val="00A92366"/>
    <w:rsid w:val="00A92864"/>
    <w:rsid w:val="00A93647"/>
    <w:rsid w:val="00A963C7"/>
    <w:rsid w:val="00A9640A"/>
    <w:rsid w:val="00A9717E"/>
    <w:rsid w:val="00A9718D"/>
    <w:rsid w:val="00AA04A0"/>
    <w:rsid w:val="00AA0FDC"/>
    <w:rsid w:val="00AA138E"/>
    <w:rsid w:val="00AA2576"/>
    <w:rsid w:val="00AA2D15"/>
    <w:rsid w:val="00AA2EF6"/>
    <w:rsid w:val="00AA33CA"/>
    <w:rsid w:val="00AA3F1B"/>
    <w:rsid w:val="00AA44F4"/>
    <w:rsid w:val="00AA66A3"/>
    <w:rsid w:val="00AB004E"/>
    <w:rsid w:val="00AB06E9"/>
    <w:rsid w:val="00AB1DCF"/>
    <w:rsid w:val="00AB20CD"/>
    <w:rsid w:val="00AB42D1"/>
    <w:rsid w:val="00AB491A"/>
    <w:rsid w:val="00AB4B4E"/>
    <w:rsid w:val="00AB4D44"/>
    <w:rsid w:val="00AB653E"/>
    <w:rsid w:val="00AB67B1"/>
    <w:rsid w:val="00AB6A1D"/>
    <w:rsid w:val="00AB6C05"/>
    <w:rsid w:val="00AB717C"/>
    <w:rsid w:val="00AC1401"/>
    <w:rsid w:val="00AC2E5A"/>
    <w:rsid w:val="00AC3550"/>
    <w:rsid w:val="00AC3806"/>
    <w:rsid w:val="00AC501D"/>
    <w:rsid w:val="00AC537A"/>
    <w:rsid w:val="00AC6254"/>
    <w:rsid w:val="00AC6A4F"/>
    <w:rsid w:val="00AC7129"/>
    <w:rsid w:val="00AC7C17"/>
    <w:rsid w:val="00AC7E4A"/>
    <w:rsid w:val="00AC7E68"/>
    <w:rsid w:val="00AD0F36"/>
    <w:rsid w:val="00AD242F"/>
    <w:rsid w:val="00AD3568"/>
    <w:rsid w:val="00AD361D"/>
    <w:rsid w:val="00AD3D65"/>
    <w:rsid w:val="00AD518B"/>
    <w:rsid w:val="00AD5F71"/>
    <w:rsid w:val="00AD781E"/>
    <w:rsid w:val="00AD7E62"/>
    <w:rsid w:val="00AE0A44"/>
    <w:rsid w:val="00AE0F04"/>
    <w:rsid w:val="00AE2418"/>
    <w:rsid w:val="00AE2AD7"/>
    <w:rsid w:val="00AE41E6"/>
    <w:rsid w:val="00AE49EF"/>
    <w:rsid w:val="00AE64DD"/>
    <w:rsid w:val="00AE7BEB"/>
    <w:rsid w:val="00AF0C0F"/>
    <w:rsid w:val="00AF2379"/>
    <w:rsid w:val="00AF2D08"/>
    <w:rsid w:val="00AF31D8"/>
    <w:rsid w:val="00AF3C2C"/>
    <w:rsid w:val="00AF3C80"/>
    <w:rsid w:val="00AF3E83"/>
    <w:rsid w:val="00AF3FC8"/>
    <w:rsid w:val="00AF7B6F"/>
    <w:rsid w:val="00B01852"/>
    <w:rsid w:val="00B02482"/>
    <w:rsid w:val="00B02A24"/>
    <w:rsid w:val="00B0311B"/>
    <w:rsid w:val="00B03EDB"/>
    <w:rsid w:val="00B04138"/>
    <w:rsid w:val="00B04F6D"/>
    <w:rsid w:val="00B05035"/>
    <w:rsid w:val="00B0601A"/>
    <w:rsid w:val="00B06BD6"/>
    <w:rsid w:val="00B07062"/>
    <w:rsid w:val="00B104C4"/>
    <w:rsid w:val="00B10548"/>
    <w:rsid w:val="00B106DC"/>
    <w:rsid w:val="00B11A46"/>
    <w:rsid w:val="00B12AA7"/>
    <w:rsid w:val="00B13BFD"/>
    <w:rsid w:val="00B13C21"/>
    <w:rsid w:val="00B143AF"/>
    <w:rsid w:val="00B14851"/>
    <w:rsid w:val="00B14C38"/>
    <w:rsid w:val="00B15939"/>
    <w:rsid w:val="00B15FAA"/>
    <w:rsid w:val="00B217C2"/>
    <w:rsid w:val="00B21986"/>
    <w:rsid w:val="00B2290E"/>
    <w:rsid w:val="00B22EA3"/>
    <w:rsid w:val="00B23543"/>
    <w:rsid w:val="00B23D0B"/>
    <w:rsid w:val="00B23E77"/>
    <w:rsid w:val="00B25335"/>
    <w:rsid w:val="00B311B6"/>
    <w:rsid w:val="00B32CA0"/>
    <w:rsid w:val="00B34FE3"/>
    <w:rsid w:val="00B36596"/>
    <w:rsid w:val="00B36777"/>
    <w:rsid w:val="00B37910"/>
    <w:rsid w:val="00B37F54"/>
    <w:rsid w:val="00B40333"/>
    <w:rsid w:val="00B414A0"/>
    <w:rsid w:val="00B415B3"/>
    <w:rsid w:val="00B416A3"/>
    <w:rsid w:val="00B417FF"/>
    <w:rsid w:val="00B41FE8"/>
    <w:rsid w:val="00B43FA1"/>
    <w:rsid w:val="00B44295"/>
    <w:rsid w:val="00B44A2E"/>
    <w:rsid w:val="00B44A75"/>
    <w:rsid w:val="00B4545B"/>
    <w:rsid w:val="00B45B3D"/>
    <w:rsid w:val="00B47EE0"/>
    <w:rsid w:val="00B50FA6"/>
    <w:rsid w:val="00B51657"/>
    <w:rsid w:val="00B52FE5"/>
    <w:rsid w:val="00B53F12"/>
    <w:rsid w:val="00B54481"/>
    <w:rsid w:val="00B54DAD"/>
    <w:rsid w:val="00B54E3F"/>
    <w:rsid w:val="00B54E81"/>
    <w:rsid w:val="00B55D4C"/>
    <w:rsid w:val="00B55FB5"/>
    <w:rsid w:val="00B5643E"/>
    <w:rsid w:val="00B56818"/>
    <w:rsid w:val="00B57379"/>
    <w:rsid w:val="00B575B8"/>
    <w:rsid w:val="00B57700"/>
    <w:rsid w:val="00B61A28"/>
    <w:rsid w:val="00B6220B"/>
    <w:rsid w:val="00B6250D"/>
    <w:rsid w:val="00B64122"/>
    <w:rsid w:val="00B64131"/>
    <w:rsid w:val="00B64F57"/>
    <w:rsid w:val="00B65AB1"/>
    <w:rsid w:val="00B6622A"/>
    <w:rsid w:val="00B66D78"/>
    <w:rsid w:val="00B67BED"/>
    <w:rsid w:val="00B70EA3"/>
    <w:rsid w:val="00B71EF9"/>
    <w:rsid w:val="00B72585"/>
    <w:rsid w:val="00B72D1C"/>
    <w:rsid w:val="00B735DF"/>
    <w:rsid w:val="00B7497D"/>
    <w:rsid w:val="00B7504B"/>
    <w:rsid w:val="00B76021"/>
    <w:rsid w:val="00B76BDA"/>
    <w:rsid w:val="00B77971"/>
    <w:rsid w:val="00B81F6A"/>
    <w:rsid w:val="00B83FDD"/>
    <w:rsid w:val="00B85257"/>
    <w:rsid w:val="00B86A45"/>
    <w:rsid w:val="00B86DD8"/>
    <w:rsid w:val="00B90512"/>
    <w:rsid w:val="00B906C2"/>
    <w:rsid w:val="00B90765"/>
    <w:rsid w:val="00B907CB"/>
    <w:rsid w:val="00B90F8F"/>
    <w:rsid w:val="00B9146C"/>
    <w:rsid w:val="00B92B11"/>
    <w:rsid w:val="00B93E3D"/>
    <w:rsid w:val="00B97510"/>
    <w:rsid w:val="00B97B47"/>
    <w:rsid w:val="00BA01F1"/>
    <w:rsid w:val="00BA15E8"/>
    <w:rsid w:val="00BA1724"/>
    <w:rsid w:val="00BA273A"/>
    <w:rsid w:val="00BA4E34"/>
    <w:rsid w:val="00BA57FD"/>
    <w:rsid w:val="00BA5F8D"/>
    <w:rsid w:val="00BA602B"/>
    <w:rsid w:val="00BA61BD"/>
    <w:rsid w:val="00BA681B"/>
    <w:rsid w:val="00BA7F33"/>
    <w:rsid w:val="00BB0429"/>
    <w:rsid w:val="00BB1818"/>
    <w:rsid w:val="00BB1EF5"/>
    <w:rsid w:val="00BB393B"/>
    <w:rsid w:val="00BB5568"/>
    <w:rsid w:val="00BB6349"/>
    <w:rsid w:val="00BB638B"/>
    <w:rsid w:val="00BB6B60"/>
    <w:rsid w:val="00BB71D2"/>
    <w:rsid w:val="00BC1E93"/>
    <w:rsid w:val="00BC2CF8"/>
    <w:rsid w:val="00BC39AF"/>
    <w:rsid w:val="00BC5E2F"/>
    <w:rsid w:val="00BC646F"/>
    <w:rsid w:val="00BC6EC9"/>
    <w:rsid w:val="00BC765A"/>
    <w:rsid w:val="00BD2095"/>
    <w:rsid w:val="00BD27CE"/>
    <w:rsid w:val="00BD4F9F"/>
    <w:rsid w:val="00BD5CB1"/>
    <w:rsid w:val="00BD5D88"/>
    <w:rsid w:val="00BD60CF"/>
    <w:rsid w:val="00BD7711"/>
    <w:rsid w:val="00BE005A"/>
    <w:rsid w:val="00BE172A"/>
    <w:rsid w:val="00BE2275"/>
    <w:rsid w:val="00BE2872"/>
    <w:rsid w:val="00BE346D"/>
    <w:rsid w:val="00BE3ED4"/>
    <w:rsid w:val="00BE4068"/>
    <w:rsid w:val="00BE51D7"/>
    <w:rsid w:val="00BE5B59"/>
    <w:rsid w:val="00BE6D35"/>
    <w:rsid w:val="00BF0375"/>
    <w:rsid w:val="00BF1796"/>
    <w:rsid w:val="00BF1E42"/>
    <w:rsid w:val="00BF4FEF"/>
    <w:rsid w:val="00BF6935"/>
    <w:rsid w:val="00C00F06"/>
    <w:rsid w:val="00C01E40"/>
    <w:rsid w:val="00C03297"/>
    <w:rsid w:val="00C03347"/>
    <w:rsid w:val="00C03358"/>
    <w:rsid w:val="00C03B10"/>
    <w:rsid w:val="00C0576A"/>
    <w:rsid w:val="00C10019"/>
    <w:rsid w:val="00C10168"/>
    <w:rsid w:val="00C10B1F"/>
    <w:rsid w:val="00C1167C"/>
    <w:rsid w:val="00C122E3"/>
    <w:rsid w:val="00C130B4"/>
    <w:rsid w:val="00C139AE"/>
    <w:rsid w:val="00C1441E"/>
    <w:rsid w:val="00C144CE"/>
    <w:rsid w:val="00C162E9"/>
    <w:rsid w:val="00C170CD"/>
    <w:rsid w:val="00C174B7"/>
    <w:rsid w:val="00C17803"/>
    <w:rsid w:val="00C2125E"/>
    <w:rsid w:val="00C2163A"/>
    <w:rsid w:val="00C21801"/>
    <w:rsid w:val="00C218A2"/>
    <w:rsid w:val="00C23EE3"/>
    <w:rsid w:val="00C27009"/>
    <w:rsid w:val="00C27701"/>
    <w:rsid w:val="00C30183"/>
    <w:rsid w:val="00C308B6"/>
    <w:rsid w:val="00C30916"/>
    <w:rsid w:val="00C3094C"/>
    <w:rsid w:val="00C30DF6"/>
    <w:rsid w:val="00C3157F"/>
    <w:rsid w:val="00C3233E"/>
    <w:rsid w:val="00C3274D"/>
    <w:rsid w:val="00C33152"/>
    <w:rsid w:val="00C362C4"/>
    <w:rsid w:val="00C3665B"/>
    <w:rsid w:val="00C36760"/>
    <w:rsid w:val="00C36A17"/>
    <w:rsid w:val="00C36F8E"/>
    <w:rsid w:val="00C37318"/>
    <w:rsid w:val="00C37C93"/>
    <w:rsid w:val="00C40A56"/>
    <w:rsid w:val="00C40D98"/>
    <w:rsid w:val="00C43A3C"/>
    <w:rsid w:val="00C44C9C"/>
    <w:rsid w:val="00C452EB"/>
    <w:rsid w:val="00C4627A"/>
    <w:rsid w:val="00C477BB"/>
    <w:rsid w:val="00C53BCC"/>
    <w:rsid w:val="00C53E5F"/>
    <w:rsid w:val="00C54E90"/>
    <w:rsid w:val="00C55975"/>
    <w:rsid w:val="00C565B7"/>
    <w:rsid w:val="00C569AB"/>
    <w:rsid w:val="00C56A95"/>
    <w:rsid w:val="00C571F7"/>
    <w:rsid w:val="00C5795B"/>
    <w:rsid w:val="00C57E19"/>
    <w:rsid w:val="00C60F19"/>
    <w:rsid w:val="00C65F14"/>
    <w:rsid w:val="00C65F4D"/>
    <w:rsid w:val="00C6650E"/>
    <w:rsid w:val="00C672E7"/>
    <w:rsid w:val="00C67CDE"/>
    <w:rsid w:val="00C67D0A"/>
    <w:rsid w:val="00C70B63"/>
    <w:rsid w:val="00C71A56"/>
    <w:rsid w:val="00C74244"/>
    <w:rsid w:val="00C747E8"/>
    <w:rsid w:val="00C74EC6"/>
    <w:rsid w:val="00C752B8"/>
    <w:rsid w:val="00C769C0"/>
    <w:rsid w:val="00C76AA5"/>
    <w:rsid w:val="00C76D39"/>
    <w:rsid w:val="00C80C09"/>
    <w:rsid w:val="00C81166"/>
    <w:rsid w:val="00C81A2F"/>
    <w:rsid w:val="00C82B60"/>
    <w:rsid w:val="00C82F12"/>
    <w:rsid w:val="00C83F51"/>
    <w:rsid w:val="00C8438A"/>
    <w:rsid w:val="00C8449A"/>
    <w:rsid w:val="00C84D55"/>
    <w:rsid w:val="00C84E7F"/>
    <w:rsid w:val="00C853E1"/>
    <w:rsid w:val="00C860AA"/>
    <w:rsid w:val="00C86E47"/>
    <w:rsid w:val="00C87A63"/>
    <w:rsid w:val="00C9099A"/>
    <w:rsid w:val="00C90C2F"/>
    <w:rsid w:val="00C9107D"/>
    <w:rsid w:val="00C91147"/>
    <w:rsid w:val="00C91D7C"/>
    <w:rsid w:val="00C920F9"/>
    <w:rsid w:val="00C924BD"/>
    <w:rsid w:val="00C936D7"/>
    <w:rsid w:val="00C94B88"/>
    <w:rsid w:val="00C95660"/>
    <w:rsid w:val="00C95698"/>
    <w:rsid w:val="00C95E8E"/>
    <w:rsid w:val="00C97423"/>
    <w:rsid w:val="00CA10FC"/>
    <w:rsid w:val="00CA19E2"/>
    <w:rsid w:val="00CA1D19"/>
    <w:rsid w:val="00CA7009"/>
    <w:rsid w:val="00CA7510"/>
    <w:rsid w:val="00CA7658"/>
    <w:rsid w:val="00CB0B04"/>
    <w:rsid w:val="00CB1A91"/>
    <w:rsid w:val="00CB4DCC"/>
    <w:rsid w:val="00CB5BB3"/>
    <w:rsid w:val="00CB6B3B"/>
    <w:rsid w:val="00CB7606"/>
    <w:rsid w:val="00CB7D48"/>
    <w:rsid w:val="00CC15A6"/>
    <w:rsid w:val="00CC2158"/>
    <w:rsid w:val="00CC22B8"/>
    <w:rsid w:val="00CC6F94"/>
    <w:rsid w:val="00CD0E80"/>
    <w:rsid w:val="00CD1D68"/>
    <w:rsid w:val="00CD21C7"/>
    <w:rsid w:val="00CD448B"/>
    <w:rsid w:val="00CD4F6F"/>
    <w:rsid w:val="00CD58B5"/>
    <w:rsid w:val="00CD65D2"/>
    <w:rsid w:val="00CD6DE2"/>
    <w:rsid w:val="00CD799B"/>
    <w:rsid w:val="00CE0351"/>
    <w:rsid w:val="00CE0EA0"/>
    <w:rsid w:val="00CE0EB8"/>
    <w:rsid w:val="00CE1831"/>
    <w:rsid w:val="00CE2DA6"/>
    <w:rsid w:val="00CE347E"/>
    <w:rsid w:val="00CE3CA9"/>
    <w:rsid w:val="00CE3E0A"/>
    <w:rsid w:val="00CE51F3"/>
    <w:rsid w:val="00CE57A2"/>
    <w:rsid w:val="00CE5FDD"/>
    <w:rsid w:val="00CE696F"/>
    <w:rsid w:val="00CE6A4B"/>
    <w:rsid w:val="00CE6B30"/>
    <w:rsid w:val="00CF029F"/>
    <w:rsid w:val="00CF0FF2"/>
    <w:rsid w:val="00CF18C5"/>
    <w:rsid w:val="00CF270A"/>
    <w:rsid w:val="00CF48B3"/>
    <w:rsid w:val="00CF4F94"/>
    <w:rsid w:val="00CF583C"/>
    <w:rsid w:val="00CF64C6"/>
    <w:rsid w:val="00CF6EE0"/>
    <w:rsid w:val="00CF787E"/>
    <w:rsid w:val="00CF7A08"/>
    <w:rsid w:val="00D00A2B"/>
    <w:rsid w:val="00D03178"/>
    <w:rsid w:val="00D036B9"/>
    <w:rsid w:val="00D04025"/>
    <w:rsid w:val="00D056BC"/>
    <w:rsid w:val="00D058EE"/>
    <w:rsid w:val="00D05A57"/>
    <w:rsid w:val="00D05C9D"/>
    <w:rsid w:val="00D05DD8"/>
    <w:rsid w:val="00D05E95"/>
    <w:rsid w:val="00D06B16"/>
    <w:rsid w:val="00D0786F"/>
    <w:rsid w:val="00D10343"/>
    <w:rsid w:val="00D10812"/>
    <w:rsid w:val="00D11D20"/>
    <w:rsid w:val="00D15439"/>
    <w:rsid w:val="00D15DC4"/>
    <w:rsid w:val="00D165F3"/>
    <w:rsid w:val="00D169D6"/>
    <w:rsid w:val="00D203D4"/>
    <w:rsid w:val="00D204F3"/>
    <w:rsid w:val="00D207DD"/>
    <w:rsid w:val="00D216A0"/>
    <w:rsid w:val="00D223EF"/>
    <w:rsid w:val="00D23B03"/>
    <w:rsid w:val="00D2467B"/>
    <w:rsid w:val="00D24D1F"/>
    <w:rsid w:val="00D24ED2"/>
    <w:rsid w:val="00D25342"/>
    <w:rsid w:val="00D25962"/>
    <w:rsid w:val="00D25E8B"/>
    <w:rsid w:val="00D27AA9"/>
    <w:rsid w:val="00D27ED5"/>
    <w:rsid w:val="00D3070B"/>
    <w:rsid w:val="00D31D28"/>
    <w:rsid w:val="00D32165"/>
    <w:rsid w:val="00D3301F"/>
    <w:rsid w:val="00D334DF"/>
    <w:rsid w:val="00D33BDC"/>
    <w:rsid w:val="00D346DE"/>
    <w:rsid w:val="00D35910"/>
    <w:rsid w:val="00D362F2"/>
    <w:rsid w:val="00D366FE"/>
    <w:rsid w:val="00D36787"/>
    <w:rsid w:val="00D404C2"/>
    <w:rsid w:val="00D443CD"/>
    <w:rsid w:val="00D45A06"/>
    <w:rsid w:val="00D45A8E"/>
    <w:rsid w:val="00D46520"/>
    <w:rsid w:val="00D47008"/>
    <w:rsid w:val="00D47700"/>
    <w:rsid w:val="00D51A9C"/>
    <w:rsid w:val="00D52578"/>
    <w:rsid w:val="00D529C4"/>
    <w:rsid w:val="00D52DAD"/>
    <w:rsid w:val="00D549B4"/>
    <w:rsid w:val="00D5692E"/>
    <w:rsid w:val="00D63464"/>
    <w:rsid w:val="00D63590"/>
    <w:rsid w:val="00D63C13"/>
    <w:rsid w:val="00D64B53"/>
    <w:rsid w:val="00D64DC0"/>
    <w:rsid w:val="00D6511A"/>
    <w:rsid w:val="00D667FA"/>
    <w:rsid w:val="00D668F1"/>
    <w:rsid w:val="00D66DB9"/>
    <w:rsid w:val="00D66E34"/>
    <w:rsid w:val="00D66FF5"/>
    <w:rsid w:val="00D67CB5"/>
    <w:rsid w:val="00D701F6"/>
    <w:rsid w:val="00D70738"/>
    <w:rsid w:val="00D71BD6"/>
    <w:rsid w:val="00D72E8A"/>
    <w:rsid w:val="00D73569"/>
    <w:rsid w:val="00D736B7"/>
    <w:rsid w:val="00D73D4E"/>
    <w:rsid w:val="00D744CF"/>
    <w:rsid w:val="00D76665"/>
    <w:rsid w:val="00D76B2D"/>
    <w:rsid w:val="00D76F29"/>
    <w:rsid w:val="00D77CAF"/>
    <w:rsid w:val="00D816BD"/>
    <w:rsid w:val="00D81BAA"/>
    <w:rsid w:val="00D81C07"/>
    <w:rsid w:val="00D82E97"/>
    <w:rsid w:val="00D834AF"/>
    <w:rsid w:val="00D83ED9"/>
    <w:rsid w:val="00D85B27"/>
    <w:rsid w:val="00D90143"/>
    <w:rsid w:val="00D9315A"/>
    <w:rsid w:val="00D93AAC"/>
    <w:rsid w:val="00D945F0"/>
    <w:rsid w:val="00D9474F"/>
    <w:rsid w:val="00D96644"/>
    <w:rsid w:val="00D9764B"/>
    <w:rsid w:val="00DA0546"/>
    <w:rsid w:val="00DA09A9"/>
    <w:rsid w:val="00DA169A"/>
    <w:rsid w:val="00DA1D03"/>
    <w:rsid w:val="00DA290F"/>
    <w:rsid w:val="00DA2931"/>
    <w:rsid w:val="00DA2CF4"/>
    <w:rsid w:val="00DA390E"/>
    <w:rsid w:val="00DA470C"/>
    <w:rsid w:val="00DA4850"/>
    <w:rsid w:val="00DA48D9"/>
    <w:rsid w:val="00DA593D"/>
    <w:rsid w:val="00DA5D61"/>
    <w:rsid w:val="00DB03FE"/>
    <w:rsid w:val="00DB0C19"/>
    <w:rsid w:val="00DB14E6"/>
    <w:rsid w:val="00DB1817"/>
    <w:rsid w:val="00DB2EEA"/>
    <w:rsid w:val="00DB36A1"/>
    <w:rsid w:val="00DB57FC"/>
    <w:rsid w:val="00DC06E4"/>
    <w:rsid w:val="00DC175F"/>
    <w:rsid w:val="00DC2CB8"/>
    <w:rsid w:val="00DC2D90"/>
    <w:rsid w:val="00DC37DA"/>
    <w:rsid w:val="00DC4166"/>
    <w:rsid w:val="00DC47F3"/>
    <w:rsid w:val="00DC5695"/>
    <w:rsid w:val="00DC7773"/>
    <w:rsid w:val="00DD0449"/>
    <w:rsid w:val="00DD1C7E"/>
    <w:rsid w:val="00DD1EDD"/>
    <w:rsid w:val="00DD25ED"/>
    <w:rsid w:val="00DD329B"/>
    <w:rsid w:val="00DD4538"/>
    <w:rsid w:val="00DE045B"/>
    <w:rsid w:val="00DE1075"/>
    <w:rsid w:val="00DE1407"/>
    <w:rsid w:val="00DE15BD"/>
    <w:rsid w:val="00DE16E6"/>
    <w:rsid w:val="00DE1EC0"/>
    <w:rsid w:val="00DE38DB"/>
    <w:rsid w:val="00DE39FC"/>
    <w:rsid w:val="00DE3CA7"/>
    <w:rsid w:val="00DE3EDF"/>
    <w:rsid w:val="00DE5878"/>
    <w:rsid w:val="00DE5D70"/>
    <w:rsid w:val="00DE5D80"/>
    <w:rsid w:val="00DE5E8A"/>
    <w:rsid w:val="00DE6A06"/>
    <w:rsid w:val="00DE6C73"/>
    <w:rsid w:val="00DE7B6E"/>
    <w:rsid w:val="00DF0486"/>
    <w:rsid w:val="00DF0FF8"/>
    <w:rsid w:val="00DF175A"/>
    <w:rsid w:val="00DF2844"/>
    <w:rsid w:val="00DF344B"/>
    <w:rsid w:val="00DF3C27"/>
    <w:rsid w:val="00DF436D"/>
    <w:rsid w:val="00DF6008"/>
    <w:rsid w:val="00DF672F"/>
    <w:rsid w:val="00DF75AF"/>
    <w:rsid w:val="00DF7B3D"/>
    <w:rsid w:val="00E00926"/>
    <w:rsid w:val="00E011E3"/>
    <w:rsid w:val="00E02022"/>
    <w:rsid w:val="00E044A1"/>
    <w:rsid w:val="00E05A7A"/>
    <w:rsid w:val="00E07978"/>
    <w:rsid w:val="00E10EAF"/>
    <w:rsid w:val="00E11317"/>
    <w:rsid w:val="00E12E1E"/>
    <w:rsid w:val="00E14CCD"/>
    <w:rsid w:val="00E15138"/>
    <w:rsid w:val="00E160A2"/>
    <w:rsid w:val="00E177C6"/>
    <w:rsid w:val="00E20043"/>
    <w:rsid w:val="00E206B8"/>
    <w:rsid w:val="00E20AEF"/>
    <w:rsid w:val="00E2160F"/>
    <w:rsid w:val="00E2374E"/>
    <w:rsid w:val="00E24442"/>
    <w:rsid w:val="00E25703"/>
    <w:rsid w:val="00E25C0B"/>
    <w:rsid w:val="00E25C19"/>
    <w:rsid w:val="00E25FFB"/>
    <w:rsid w:val="00E26FD0"/>
    <w:rsid w:val="00E30256"/>
    <w:rsid w:val="00E3052F"/>
    <w:rsid w:val="00E31233"/>
    <w:rsid w:val="00E32B74"/>
    <w:rsid w:val="00E32BC8"/>
    <w:rsid w:val="00E32C6D"/>
    <w:rsid w:val="00E33435"/>
    <w:rsid w:val="00E33755"/>
    <w:rsid w:val="00E33DA5"/>
    <w:rsid w:val="00E34839"/>
    <w:rsid w:val="00E35241"/>
    <w:rsid w:val="00E370A1"/>
    <w:rsid w:val="00E40610"/>
    <w:rsid w:val="00E418D2"/>
    <w:rsid w:val="00E41922"/>
    <w:rsid w:val="00E41E60"/>
    <w:rsid w:val="00E41F27"/>
    <w:rsid w:val="00E42880"/>
    <w:rsid w:val="00E42EB4"/>
    <w:rsid w:val="00E438DD"/>
    <w:rsid w:val="00E44C6E"/>
    <w:rsid w:val="00E453AE"/>
    <w:rsid w:val="00E457FC"/>
    <w:rsid w:val="00E45B8A"/>
    <w:rsid w:val="00E46EDA"/>
    <w:rsid w:val="00E508B9"/>
    <w:rsid w:val="00E54248"/>
    <w:rsid w:val="00E546BF"/>
    <w:rsid w:val="00E578CD"/>
    <w:rsid w:val="00E60426"/>
    <w:rsid w:val="00E61ED9"/>
    <w:rsid w:val="00E62C8D"/>
    <w:rsid w:val="00E64548"/>
    <w:rsid w:val="00E64F5A"/>
    <w:rsid w:val="00E652DA"/>
    <w:rsid w:val="00E66ED0"/>
    <w:rsid w:val="00E66FBE"/>
    <w:rsid w:val="00E67D00"/>
    <w:rsid w:val="00E70127"/>
    <w:rsid w:val="00E702F4"/>
    <w:rsid w:val="00E70918"/>
    <w:rsid w:val="00E70B31"/>
    <w:rsid w:val="00E70FAC"/>
    <w:rsid w:val="00E7132F"/>
    <w:rsid w:val="00E730F9"/>
    <w:rsid w:val="00E73103"/>
    <w:rsid w:val="00E7394A"/>
    <w:rsid w:val="00E75345"/>
    <w:rsid w:val="00E75BF6"/>
    <w:rsid w:val="00E75CEB"/>
    <w:rsid w:val="00E75E2B"/>
    <w:rsid w:val="00E763C9"/>
    <w:rsid w:val="00E76908"/>
    <w:rsid w:val="00E77ED8"/>
    <w:rsid w:val="00E8064C"/>
    <w:rsid w:val="00E80967"/>
    <w:rsid w:val="00E80CAC"/>
    <w:rsid w:val="00E80E59"/>
    <w:rsid w:val="00E815C3"/>
    <w:rsid w:val="00E81B5A"/>
    <w:rsid w:val="00E8217D"/>
    <w:rsid w:val="00E82209"/>
    <w:rsid w:val="00E82372"/>
    <w:rsid w:val="00E846AF"/>
    <w:rsid w:val="00E84D01"/>
    <w:rsid w:val="00E852EF"/>
    <w:rsid w:val="00E853FC"/>
    <w:rsid w:val="00E85D33"/>
    <w:rsid w:val="00E87A4B"/>
    <w:rsid w:val="00E901E9"/>
    <w:rsid w:val="00E90785"/>
    <w:rsid w:val="00E90DCD"/>
    <w:rsid w:val="00E915FD"/>
    <w:rsid w:val="00E922A0"/>
    <w:rsid w:val="00E9262F"/>
    <w:rsid w:val="00E9441B"/>
    <w:rsid w:val="00E956EC"/>
    <w:rsid w:val="00E96B85"/>
    <w:rsid w:val="00E97CA7"/>
    <w:rsid w:val="00EA0C63"/>
    <w:rsid w:val="00EA0E40"/>
    <w:rsid w:val="00EA2B75"/>
    <w:rsid w:val="00EA3151"/>
    <w:rsid w:val="00EA327C"/>
    <w:rsid w:val="00EA3716"/>
    <w:rsid w:val="00EA48B7"/>
    <w:rsid w:val="00EA5306"/>
    <w:rsid w:val="00EA5599"/>
    <w:rsid w:val="00EA55D3"/>
    <w:rsid w:val="00EA5776"/>
    <w:rsid w:val="00EA68D2"/>
    <w:rsid w:val="00EB0D84"/>
    <w:rsid w:val="00EB2F9B"/>
    <w:rsid w:val="00EB3A78"/>
    <w:rsid w:val="00EB4A79"/>
    <w:rsid w:val="00EB4E4F"/>
    <w:rsid w:val="00EB4FBC"/>
    <w:rsid w:val="00EB5CA0"/>
    <w:rsid w:val="00EB5D7F"/>
    <w:rsid w:val="00EB6269"/>
    <w:rsid w:val="00EB6334"/>
    <w:rsid w:val="00EB6747"/>
    <w:rsid w:val="00EB6C33"/>
    <w:rsid w:val="00EC0E2C"/>
    <w:rsid w:val="00EC19B3"/>
    <w:rsid w:val="00EC29EA"/>
    <w:rsid w:val="00EC399A"/>
    <w:rsid w:val="00EC4AAD"/>
    <w:rsid w:val="00EC604E"/>
    <w:rsid w:val="00EC74D4"/>
    <w:rsid w:val="00EC74D5"/>
    <w:rsid w:val="00ED25D0"/>
    <w:rsid w:val="00ED3111"/>
    <w:rsid w:val="00ED4F69"/>
    <w:rsid w:val="00ED5246"/>
    <w:rsid w:val="00ED5929"/>
    <w:rsid w:val="00ED59C1"/>
    <w:rsid w:val="00ED59F5"/>
    <w:rsid w:val="00ED5E26"/>
    <w:rsid w:val="00EE0301"/>
    <w:rsid w:val="00EE0D4C"/>
    <w:rsid w:val="00EE1A6B"/>
    <w:rsid w:val="00EE2948"/>
    <w:rsid w:val="00EE4093"/>
    <w:rsid w:val="00EE43C0"/>
    <w:rsid w:val="00EE53F4"/>
    <w:rsid w:val="00EE638A"/>
    <w:rsid w:val="00EE7B59"/>
    <w:rsid w:val="00EE7CCB"/>
    <w:rsid w:val="00EE7DE8"/>
    <w:rsid w:val="00EF106C"/>
    <w:rsid w:val="00EF1FB6"/>
    <w:rsid w:val="00EF218A"/>
    <w:rsid w:val="00EF2845"/>
    <w:rsid w:val="00EF2F1D"/>
    <w:rsid w:val="00EF40E6"/>
    <w:rsid w:val="00EF4703"/>
    <w:rsid w:val="00EF658A"/>
    <w:rsid w:val="00EF70B5"/>
    <w:rsid w:val="00EF7159"/>
    <w:rsid w:val="00F00158"/>
    <w:rsid w:val="00F00567"/>
    <w:rsid w:val="00F00D12"/>
    <w:rsid w:val="00F00F94"/>
    <w:rsid w:val="00F02DC1"/>
    <w:rsid w:val="00F03481"/>
    <w:rsid w:val="00F06D69"/>
    <w:rsid w:val="00F06EF0"/>
    <w:rsid w:val="00F07179"/>
    <w:rsid w:val="00F078C8"/>
    <w:rsid w:val="00F07F31"/>
    <w:rsid w:val="00F10C94"/>
    <w:rsid w:val="00F1112D"/>
    <w:rsid w:val="00F116E5"/>
    <w:rsid w:val="00F1245F"/>
    <w:rsid w:val="00F13EF0"/>
    <w:rsid w:val="00F1450E"/>
    <w:rsid w:val="00F14983"/>
    <w:rsid w:val="00F14D8D"/>
    <w:rsid w:val="00F14E92"/>
    <w:rsid w:val="00F15391"/>
    <w:rsid w:val="00F157F0"/>
    <w:rsid w:val="00F173E8"/>
    <w:rsid w:val="00F17AE9"/>
    <w:rsid w:val="00F17CC5"/>
    <w:rsid w:val="00F21306"/>
    <w:rsid w:val="00F2216E"/>
    <w:rsid w:val="00F22E06"/>
    <w:rsid w:val="00F232EA"/>
    <w:rsid w:val="00F23FC5"/>
    <w:rsid w:val="00F2419A"/>
    <w:rsid w:val="00F257F9"/>
    <w:rsid w:val="00F26013"/>
    <w:rsid w:val="00F2635B"/>
    <w:rsid w:val="00F267D2"/>
    <w:rsid w:val="00F26CAC"/>
    <w:rsid w:val="00F30072"/>
    <w:rsid w:val="00F308FE"/>
    <w:rsid w:val="00F30C1C"/>
    <w:rsid w:val="00F31600"/>
    <w:rsid w:val="00F3248B"/>
    <w:rsid w:val="00F32FDD"/>
    <w:rsid w:val="00F33013"/>
    <w:rsid w:val="00F336CC"/>
    <w:rsid w:val="00F33FE8"/>
    <w:rsid w:val="00F34D0F"/>
    <w:rsid w:val="00F35DCC"/>
    <w:rsid w:val="00F369B5"/>
    <w:rsid w:val="00F36A09"/>
    <w:rsid w:val="00F36C1E"/>
    <w:rsid w:val="00F40E21"/>
    <w:rsid w:val="00F41C2A"/>
    <w:rsid w:val="00F41F45"/>
    <w:rsid w:val="00F42157"/>
    <w:rsid w:val="00F42C94"/>
    <w:rsid w:val="00F42DED"/>
    <w:rsid w:val="00F42F42"/>
    <w:rsid w:val="00F43366"/>
    <w:rsid w:val="00F43BB8"/>
    <w:rsid w:val="00F4484C"/>
    <w:rsid w:val="00F44D31"/>
    <w:rsid w:val="00F45C02"/>
    <w:rsid w:val="00F465B3"/>
    <w:rsid w:val="00F4723C"/>
    <w:rsid w:val="00F47C6C"/>
    <w:rsid w:val="00F504D1"/>
    <w:rsid w:val="00F520D0"/>
    <w:rsid w:val="00F531AD"/>
    <w:rsid w:val="00F53B35"/>
    <w:rsid w:val="00F55E37"/>
    <w:rsid w:val="00F5746C"/>
    <w:rsid w:val="00F5771A"/>
    <w:rsid w:val="00F60945"/>
    <w:rsid w:val="00F626B0"/>
    <w:rsid w:val="00F64206"/>
    <w:rsid w:val="00F64853"/>
    <w:rsid w:val="00F65F09"/>
    <w:rsid w:val="00F66762"/>
    <w:rsid w:val="00F667BA"/>
    <w:rsid w:val="00F66A43"/>
    <w:rsid w:val="00F67901"/>
    <w:rsid w:val="00F67A22"/>
    <w:rsid w:val="00F70F29"/>
    <w:rsid w:val="00F71A9A"/>
    <w:rsid w:val="00F71F74"/>
    <w:rsid w:val="00F71FC1"/>
    <w:rsid w:val="00F71FE7"/>
    <w:rsid w:val="00F7387C"/>
    <w:rsid w:val="00F73D17"/>
    <w:rsid w:val="00F745E4"/>
    <w:rsid w:val="00F764AC"/>
    <w:rsid w:val="00F7715E"/>
    <w:rsid w:val="00F773B9"/>
    <w:rsid w:val="00F806A6"/>
    <w:rsid w:val="00F80D29"/>
    <w:rsid w:val="00F811D4"/>
    <w:rsid w:val="00F812D7"/>
    <w:rsid w:val="00F82AD7"/>
    <w:rsid w:val="00F83500"/>
    <w:rsid w:val="00F83F00"/>
    <w:rsid w:val="00F8575E"/>
    <w:rsid w:val="00F876AA"/>
    <w:rsid w:val="00F87F60"/>
    <w:rsid w:val="00F90B41"/>
    <w:rsid w:val="00F91041"/>
    <w:rsid w:val="00F9210D"/>
    <w:rsid w:val="00F932F0"/>
    <w:rsid w:val="00F93865"/>
    <w:rsid w:val="00F938F4"/>
    <w:rsid w:val="00F943BC"/>
    <w:rsid w:val="00F9478A"/>
    <w:rsid w:val="00F95CBE"/>
    <w:rsid w:val="00F95D56"/>
    <w:rsid w:val="00F96B05"/>
    <w:rsid w:val="00F96CCF"/>
    <w:rsid w:val="00F97650"/>
    <w:rsid w:val="00FA0D7D"/>
    <w:rsid w:val="00FA2A79"/>
    <w:rsid w:val="00FA3DD1"/>
    <w:rsid w:val="00FA4817"/>
    <w:rsid w:val="00FA50D9"/>
    <w:rsid w:val="00FA57FD"/>
    <w:rsid w:val="00FA5B74"/>
    <w:rsid w:val="00FA76B6"/>
    <w:rsid w:val="00FA7C2C"/>
    <w:rsid w:val="00FA7C7C"/>
    <w:rsid w:val="00FA7DBA"/>
    <w:rsid w:val="00FB00F7"/>
    <w:rsid w:val="00FB0658"/>
    <w:rsid w:val="00FB1863"/>
    <w:rsid w:val="00FB1D93"/>
    <w:rsid w:val="00FB2A55"/>
    <w:rsid w:val="00FB2BCB"/>
    <w:rsid w:val="00FB3AEA"/>
    <w:rsid w:val="00FB4CAC"/>
    <w:rsid w:val="00FB587F"/>
    <w:rsid w:val="00FB5B33"/>
    <w:rsid w:val="00FB600A"/>
    <w:rsid w:val="00FB77DF"/>
    <w:rsid w:val="00FB77F3"/>
    <w:rsid w:val="00FB7A1D"/>
    <w:rsid w:val="00FB7C96"/>
    <w:rsid w:val="00FC00B9"/>
    <w:rsid w:val="00FC0265"/>
    <w:rsid w:val="00FC201B"/>
    <w:rsid w:val="00FC2306"/>
    <w:rsid w:val="00FC3BBD"/>
    <w:rsid w:val="00FC3E06"/>
    <w:rsid w:val="00FC42A1"/>
    <w:rsid w:val="00FC440E"/>
    <w:rsid w:val="00FC4B35"/>
    <w:rsid w:val="00FC4B64"/>
    <w:rsid w:val="00FC4E60"/>
    <w:rsid w:val="00FC4F34"/>
    <w:rsid w:val="00FC5237"/>
    <w:rsid w:val="00FC5FD5"/>
    <w:rsid w:val="00FC670A"/>
    <w:rsid w:val="00FC7950"/>
    <w:rsid w:val="00FC79B4"/>
    <w:rsid w:val="00FC7A97"/>
    <w:rsid w:val="00FD0524"/>
    <w:rsid w:val="00FD0C61"/>
    <w:rsid w:val="00FD1C38"/>
    <w:rsid w:val="00FD25BF"/>
    <w:rsid w:val="00FD3313"/>
    <w:rsid w:val="00FD3377"/>
    <w:rsid w:val="00FD41F5"/>
    <w:rsid w:val="00FD62F2"/>
    <w:rsid w:val="00FD6590"/>
    <w:rsid w:val="00FD7404"/>
    <w:rsid w:val="00FE0323"/>
    <w:rsid w:val="00FE2C5D"/>
    <w:rsid w:val="00FE3110"/>
    <w:rsid w:val="00FE4749"/>
    <w:rsid w:val="00FE489E"/>
    <w:rsid w:val="00FE4E0F"/>
    <w:rsid w:val="00FF068F"/>
    <w:rsid w:val="00FF0CE3"/>
    <w:rsid w:val="00FF0E5D"/>
    <w:rsid w:val="00FF12CA"/>
    <w:rsid w:val="00FF1C21"/>
    <w:rsid w:val="00FF23D1"/>
    <w:rsid w:val="00FF3173"/>
    <w:rsid w:val="00FF509D"/>
    <w:rsid w:val="00FF5D9D"/>
    <w:rsid w:val="00FF767C"/>
    <w:rsid w:val="60A829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0FBE4B"/>
  <w15:docId w15:val="{B69ED5D2-51F0-487A-9A86-7E4C0DBAC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D70"/>
    <w:pPr>
      <w:widowControl w:val="0"/>
      <w:spacing w:line="288" w:lineRule="auto"/>
      <w:jc w:val="both"/>
    </w:pPr>
    <w:rPr>
      <w:rFonts w:cstheme="minorBidi"/>
      <w:kern w:val="2"/>
      <w:sz w:val="24"/>
      <w:szCs w:val="21"/>
    </w:rPr>
  </w:style>
  <w:style w:type="paragraph" w:styleId="Heading1">
    <w:name w:val="heading 1"/>
    <w:basedOn w:val="Normal"/>
    <w:next w:val="Normal"/>
    <w:link w:val="Heading1Char"/>
    <w:uiPriority w:val="9"/>
    <w:qFormat/>
    <w:pPr>
      <w:spacing w:before="120" w:after="120" w:line="360" w:lineRule="auto"/>
      <w:outlineLvl w:val="0"/>
    </w:pPr>
    <w:rPr>
      <w:b/>
      <w:sz w:val="28"/>
      <w:szCs w:val="28"/>
    </w:rPr>
  </w:style>
  <w:style w:type="paragraph" w:styleId="Heading2">
    <w:name w:val="heading 2"/>
    <w:basedOn w:val="Normal"/>
    <w:next w:val="Normal"/>
    <w:link w:val="Heading2Char"/>
    <w:uiPriority w:val="9"/>
    <w:unhideWhenUsed/>
    <w:qFormat/>
    <w:pPr>
      <w:spacing w:before="120" w:after="120"/>
      <w:outlineLvl w:val="1"/>
    </w:pPr>
    <w:rPr>
      <w:b/>
    </w:rPr>
  </w:style>
  <w:style w:type="paragraph" w:styleId="Heading3">
    <w:name w:val="heading 3"/>
    <w:basedOn w:val="Heading2"/>
    <w:next w:val="Normal"/>
    <w:link w:val="Heading3Char"/>
    <w:uiPriority w:val="9"/>
    <w:unhideWhenUsed/>
    <w:qFormat/>
    <w:pPr>
      <w:outlineLvl w:val="2"/>
    </w:pPr>
  </w:style>
  <w:style w:type="paragraph" w:styleId="Heading4">
    <w:name w:val="heading 4"/>
    <w:basedOn w:val="Normal"/>
    <w:next w:val="Normal"/>
    <w:link w:val="Heading4Char"/>
    <w:uiPriority w:val="9"/>
    <w:unhideWhenUsed/>
    <w:qFormat/>
    <w:pPr>
      <w:spacing w:line="360" w:lineRule="auto"/>
      <w:outlineLvl w:val="3"/>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rFonts w:asciiTheme="majorHAnsi" w:eastAsia="Times New Roman" w:hAnsiTheme="majorHAnsi" w:cstheme="majorBidi"/>
      <w:szCs w:val="20"/>
    </w:rPr>
  </w:style>
  <w:style w:type="paragraph" w:styleId="CommentText">
    <w:name w:val="annotation text"/>
    <w:basedOn w:val="Normal"/>
    <w:link w:val="CommentTextChar"/>
    <w:uiPriority w:val="99"/>
    <w:unhideWhenUsed/>
    <w:qFormat/>
    <w:pPr>
      <w:jc w:val="left"/>
    </w:pPr>
  </w:style>
  <w:style w:type="paragraph" w:styleId="TOC3">
    <w:name w:val="toc 3"/>
    <w:basedOn w:val="Normal"/>
    <w:next w:val="Normal"/>
    <w:autoRedefine/>
    <w:uiPriority w:val="39"/>
    <w:unhideWhenUsed/>
    <w:qFormat/>
    <w:pPr>
      <w:spacing w:line="360" w:lineRule="auto"/>
      <w:ind w:left="480"/>
      <w:jc w:val="left"/>
    </w:pPr>
    <w:rPr>
      <w:rFonts w:cstheme="minorHAnsi"/>
      <w:iCs/>
      <w:szCs w:val="20"/>
    </w:rPr>
  </w:style>
  <w:style w:type="paragraph" w:styleId="Date">
    <w:name w:val="Date"/>
    <w:basedOn w:val="Normal"/>
    <w:next w:val="Normal"/>
    <w:link w:val="DateChar"/>
    <w:uiPriority w:val="99"/>
    <w:semiHidden/>
    <w:unhideWhenUsed/>
    <w:qFormat/>
    <w:pPr>
      <w:ind w:leftChars="2500" w:left="100"/>
    </w:pPr>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autoRedefine/>
    <w:uiPriority w:val="39"/>
    <w:unhideWhenUsed/>
    <w:qFormat/>
    <w:pPr>
      <w:spacing w:before="120" w:after="120" w:line="360" w:lineRule="auto"/>
      <w:jc w:val="left"/>
    </w:pPr>
    <w:rPr>
      <w:rFonts w:eastAsia="黑体" w:cstheme="minorHAnsi"/>
      <w:b/>
      <w:bCs/>
      <w:caps/>
      <w:sz w:val="28"/>
      <w:szCs w:val="20"/>
    </w:rPr>
  </w:style>
  <w:style w:type="paragraph" w:styleId="TOC2">
    <w:name w:val="toc 2"/>
    <w:basedOn w:val="Normal"/>
    <w:next w:val="Normal"/>
    <w:autoRedefine/>
    <w:uiPriority w:val="39"/>
    <w:unhideWhenUsed/>
    <w:pPr>
      <w:spacing w:line="360" w:lineRule="auto"/>
      <w:ind w:left="240"/>
      <w:jc w:val="left"/>
    </w:pPr>
    <w:rPr>
      <w:rFonts w:eastAsia="黑体" w:cstheme="minorHAnsi"/>
      <w:b/>
      <w:smallCaps/>
      <w:szCs w:val="20"/>
    </w:rPr>
  </w:style>
  <w:style w:type="paragraph" w:styleId="NormalWeb">
    <w:name w:val="Normal (Web)"/>
    <w:basedOn w:val="Normal"/>
    <w:uiPriority w:val="99"/>
    <w:unhideWhenUsed/>
    <w:qFormat/>
    <w:pPr>
      <w:widowControl/>
      <w:spacing w:before="100" w:beforeAutospacing="1" w:after="100" w:afterAutospacing="1" w:line="240" w:lineRule="auto"/>
      <w:jc w:val="left"/>
    </w:pPr>
    <w:rPr>
      <w:rFonts w:eastAsia="Times New Roman" w:cs="Times New Roman"/>
      <w:kern w:val="0"/>
      <w:szCs w:val="24"/>
      <w:lang w:val="en-GB"/>
    </w:rPr>
  </w:style>
  <w:style w:type="paragraph" w:styleId="Title">
    <w:name w:val="Title"/>
    <w:basedOn w:val="Normal"/>
    <w:next w:val="Normal"/>
    <w:link w:val="TitleChar"/>
    <w:uiPriority w:val="10"/>
    <w:qFormat/>
    <w:pPr>
      <w:spacing w:before="100" w:beforeAutospacing="1" w:after="100" w:afterAutospacing="1" w:line="480" w:lineRule="auto"/>
      <w:jc w:val="center"/>
    </w:pPr>
    <w:rPr>
      <w:b/>
      <w:sz w:val="26"/>
      <w:szCs w:val="26"/>
    </w:rPr>
  </w:style>
  <w:style w:type="paragraph" w:styleId="CommentSubject">
    <w:name w:val="annotation subject"/>
    <w:basedOn w:val="CommentText"/>
    <w:next w:val="CommentText"/>
    <w:link w:val="CommentSubjectChar"/>
    <w:uiPriority w:val="99"/>
    <w:semiHidden/>
    <w:unhideWhenUsed/>
    <w:qFormat/>
    <w:rPr>
      <w:b/>
      <w:bCs/>
    </w:rPr>
  </w:style>
  <w:style w:type="table" w:styleId="TableGrid">
    <w:name w:val="Table Grid"/>
    <w:basedOn w:val="TableNormal"/>
    <w:uiPriority w:val="59"/>
    <w:qFormat/>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Emphasis">
    <w:name w:val="Emphasis"/>
    <w:uiPriority w:val="20"/>
    <w:qFormat/>
  </w:style>
  <w:style w:type="character" w:styleId="LineNumber">
    <w:name w:val="line number"/>
    <w:basedOn w:val="DefaultParagraphFont"/>
    <w:uiPriority w:val="99"/>
    <w:semiHidden/>
    <w:unhideWhenUsed/>
    <w:qFormat/>
  </w:style>
  <w:style w:type="character" w:styleId="Hyperlink">
    <w:name w:val="Hyperlink"/>
    <w:basedOn w:val="DefaultParagraphFont"/>
    <w:uiPriority w:val="99"/>
    <w:unhideWhenUsed/>
    <w:rPr>
      <w:color w:val="0563C1" w:themeColor="hyperlink"/>
      <w:u w:val="single"/>
    </w:rPr>
  </w:style>
  <w:style w:type="character" w:styleId="CommentReference">
    <w:name w:val="annotation reference"/>
    <w:basedOn w:val="DefaultParagraphFont"/>
    <w:uiPriority w:val="99"/>
    <w:semiHidden/>
    <w:unhideWhenUsed/>
    <w:qFormat/>
    <w:rPr>
      <w:sz w:val="21"/>
      <w:szCs w:val="21"/>
    </w:rPr>
  </w:style>
  <w:style w:type="character" w:customStyle="1" w:styleId="Heading1Char">
    <w:name w:val="Heading 1 Char"/>
    <w:basedOn w:val="DefaultParagraphFont"/>
    <w:link w:val="Heading1"/>
    <w:uiPriority w:val="9"/>
    <w:qFormat/>
    <w:rPr>
      <w:rFonts w:ascii="Times New Roman" w:eastAsia="宋体" w:hAnsi="Times New Roman"/>
      <w:b/>
      <w:sz w:val="28"/>
      <w:szCs w:val="28"/>
    </w:rPr>
  </w:style>
  <w:style w:type="character" w:customStyle="1" w:styleId="Heading2Char">
    <w:name w:val="Heading 2 Char"/>
    <w:basedOn w:val="DefaultParagraphFont"/>
    <w:link w:val="Heading2"/>
    <w:uiPriority w:val="9"/>
    <w:rPr>
      <w:rFonts w:ascii="Times New Roman" w:eastAsia="宋体" w:hAnsi="Times New Roman"/>
      <w:b/>
      <w:sz w:val="24"/>
      <w:szCs w:val="21"/>
    </w:rPr>
  </w:style>
  <w:style w:type="character" w:customStyle="1" w:styleId="Heading3Char">
    <w:name w:val="Heading 3 Char"/>
    <w:basedOn w:val="DefaultParagraphFont"/>
    <w:link w:val="Heading3"/>
    <w:uiPriority w:val="9"/>
    <w:rPr>
      <w:rFonts w:ascii="Georgia" w:eastAsia="宋体" w:hAnsi="Georgia"/>
      <w:b/>
      <w:sz w:val="24"/>
      <w:szCs w:val="21"/>
    </w:rPr>
  </w:style>
  <w:style w:type="character" w:customStyle="1" w:styleId="Heading4Char">
    <w:name w:val="Heading 4 Char"/>
    <w:basedOn w:val="DefaultParagraphFont"/>
    <w:link w:val="Heading4"/>
    <w:uiPriority w:val="9"/>
    <w:qFormat/>
    <w:rPr>
      <w:rFonts w:ascii="Georgia" w:eastAsia="宋体" w:hAnsi="Georgia"/>
      <w:b/>
      <w:bCs/>
      <w:i/>
      <w:iCs/>
      <w:sz w:val="24"/>
      <w:szCs w:val="21"/>
    </w:rPr>
  </w:style>
  <w:style w:type="character" w:customStyle="1" w:styleId="fontstyle01">
    <w:name w:val="fontstyle01"/>
    <w:basedOn w:val="DefaultParagraphFont"/>
    <w:qFormat/>
    <w:rPr>
      <w:rFonts w:ascii="AdvGulliv-I" w:hAnsi="AdvGulliv-I" w:hint="default"/>
      <w:color w:val="000000"/>
      <w:sz w:val="16"/>
      <w:szCs w:val="16"/>
    </w:rPr>
  </w:style>
  <w:style w:type="character" w:customStyle="1" w:styleId="CommentTextChar">
    <w:name w:val="Comment Text Char"/>
    <w:basedOn w:val="DefaultParagraphFont"/>
    <w:link w:val="CommentText"/>
    <w:uiPriority w:val="99"/>
    <w:qFormat/>
    <w:rPr>
      <w:rFonts w:ascii="Times New Roman" w:eastAsia="宋体" w:hAnsi="Times New Roman"/>
      <w:sz w:val="24"/>
      <w:szCs w:val="21"/>
    </w:rPr>
  </w:style>
  <w:style w:type="character" w:customStyle="1" w:styleId="CommentSubjectChar">
    <w:name w:val="Comment Subject Char"/>
    <w:basedOn w:val="CommentTextChar"/>
    <w:link w:val="CommentSubject"/>
    <w:uiPriority w:val="99"/>
    <w:semiHidden/>
    <w:qFormat/>
    <w:rPr>
      <w:rFonts w:ascii="Times New Roman" w:eastAsia="宋体" w:hAnsi="Times New Roman"/>
      <w:b/>
      <w:bCs/>
      <w:sz w:val="24"/>
      <w:szCs w:val="21"/>
    </w:rPr>
  </w:style>
  <w:style w:type="character" w:customStyle="1" w:styleId="BalloonTextChar">
    <w:name w:val="Balloon Text Char"/>
    <w:basedOn w:val="DefaultParagraphFont"/>
    <w:link w:val="BalloonText"/>
    <w:uiPriority w:val="99"/>
    <w:semiHidden/>
    <w:qFormat/>
    <w:rPr>
      <w:rFonts w:ascii="Times New Roman" w:eastAsia="宋体" w:hAnsi="Times New Roman"/>
      <w:sz w:val="18"/>
      <w:szCs w:val="18"/>
    </w:rPr>
  </w:style>
  <w:style w:type="character" w:customStyle="1" w:styleId="DateChar">
    <w:name w:val="Date Char"/>
    <w:basedOn w:val="DefaultParagraphFont"/>
    <w:link w:val="Date"/>
    <w:uiPriority w:val="99"/>
    <w:semiHidden/>
    <w:qFormat/>
    <w:rPr>
      <w:rFonts w:ascii="Times New Roman" w:eastAsia="宋体" w:hAnsi="Times New Roman"/>
      <w:sz w:val="24"/>
      <w:szCs w:val="21"/>
    </w:rPr>
  </w:style>
  <w:style w:type="paragraph" w:styleId="ListParagraph">
    <w:name w:val="List Paragraph"/>
    <w:basedOn w:val="Normal"/>
    <w:uiPriority w:val="34"/>
    <w:qFormat/>
    <w:pPr>
      <w:ind w:firstLineChars="200" w:firstLine="420"/>
    </w:pPr>
  </w:style>
  <w:style w:type="character" w:customStyle="1" w:styleId="TitleChar">
    <w:name w:val="Title Char"/>
    <w:basedOn w:val="DefaultParagraphFont"/>
    <w:link w:val="Title"/>
    <w:uiPriority w:val="10"/>
    <w:qFormat/>
    <w:rPr>
      <w:rFonts w:ascii="Georgia" w:eastAsia="宋体" w:hAnsi="Georgia"/>
      <w:b/>
      <w:sz w:val="26"/>
      <w:szCs w:val="26"/>
    </w:rPr>
  </w:style>
  <w:style w:type="character" w:customStyle="1" w:styleId="SubtleEmphasis1">
    <w:name w:val="Subtle Emphasis1"/>
    <w:uiPriority w:val="19"/>
    <w:qFormat/>
  </w:style>
  <w:style w:type="paragraph" w:customStyle="1" w:styleId="EndNoteBibliographyTitle">
    <w:name w:val="EndNote Bibliography Title"/>
    <w:basedOn w:val="Normal"/>
    <w:link w:val="EndNoteBibliographyTitleChar"/>
    <w:qFormat/>
    <w:pPr>
      <w:jc w:val="center"/>
    </w:pPr>
    <w:rPr>
      <w:rFonts w:cs="Times New Roman"/>
    </w:rPr>
  </w:style>
  <w:style w:type="character" w:customStyle="1" w:styleId="EndNoteBibliographyTitleChar">
    <w:name w:val="EndNote Bibliography Title Char"/>
    <w:basedOn w:val="DefaultParagraphFont"/>
    <w:link w:val="EndNoteBibliographyTitle"/>
    <w:qFormat/>
    <w:rPr>
      <w:rFonts w:ascii="Times New Roman" w:eastAsia="宋体" w:hAnsi="Times New Roman" w:cs="Times New Roman"/>
      <w:sz w:val="24"/>
      <w:szCs w:val="21"/>
    </w:rPr>
  </w:style>
  <w:style w:type="paragraph" w:customStyle="1" w:styleId="EndNoteBibliography">
    <w:name w:val="EndNote Bibliography"/>
    <w:basedOn w:val="Normal"/>
    <w:link w:val="EndNoteBibliographyChar"/>
    <w:qFormat/>
    <w:pPr>
      <w:spacing w:line="240" w:lineRule="auto"/>
    </w:pPr>
    <w:rPr>
      <w:rFonts w:cs="Times New Roman"/>
    </w:rPr>
  </w:style>
  <w:style w:type="character" w:customStyle="1" w:styleId="EndNoteBibliographyChar">
    <w:name w:val="EndNote Bibliography Char"/>
    <w:basedOn w:val="DefaultParagraphFont"/>
    <w:link w:val="EndNoteBibliography"/>
    <w:qFormat/>
    <w:rPr>
      <w:rFonts w:ascii="Times New Roman" w:eastAsia="宋体" w:hAnsi="Times New Roman" w:cs="Times New Roman"/>
      <w:sz w:val="24"/>
      <w:szCs w:val="21"/>
    </w:rPr>
  </w:style>
  <w:style w:type="character" w:styleId="PlaceholderText">
    <w:name w:val="Placeholder Text"/>
    <w:basedOn w:val="DefaultParagraphFont"/>
    <w:uiPriority w:val="99"/>
    <w:semiHidden/>
    <w:qFormat/>
    <w:rPr>
      <w:color w:val="808080"/>
    </w:rPr>
  </w:style>
  <w:style w:type="character" w:customStyle="1" w:styleId="HeaderChar">
    <w:name w:val="Header Char"/>
    <w:basedOn w:val="DefaultParagraphFont"/>
    <w:link w:val="Header"/>
    <w:uiPriority w:val="99"/>
    <w:qFormat/>
    <w:rPr>
      <w:rFonts w:ascii="Times New Roman" w:eastAsia="宋体" w:hAnsi="Times New Roman"/>
      <w:sz w:val="18"/>
      <w:szCs w:val="18"/>
    </w:rPr>
  </w:style>
  <w:style w:type="character" w:customStyle="1" w:styleId="FooterChar">
    <w:name w:val="Footer Char"/>
    <w:basedOn w:val="DefaultParagraphFont"/>
    <w:link w:val="Footer"/>
    <w:uiPriority w:val="99"/>
    <w:qFormat/>
    <w:rPr>
      <w:rFonts w:ascii="Times New Roman" w:eastAsia="宋体" w:hAnsi="Times New Roman"/>
      <w:sz w:val="18"/>
      <w:szCs w:val="18"/>
    </w:rPr>
  </w:style>
  <w:style w:type="paragraph" w:customStyle="1" w:styleId="Els-footnote">
    <w:name w:val="Els-footnote"/>
    <w:uiPriority w:val="99"/>
    <w:qFormat/>
    <w:pPr>
      <w:keepLines/>
      <w:widowControl w:val="0"/>
      <w:spacing w:line="200" w:lineRule="exact"/>
      <w:ind w:firstLine="245"/>
      <w:jc w:val="both"/>
    </w:pPr>
    <w:rPr>
      <w:sz w:val="16"/>
      <w:szCs w:val="16"/>
      <w:lang w:eastAsia="en-US"/>
    </w:rPr>
  </w:style>
  <w:style w:type="paragraph" w:customStyle="1" w:styleId="Revision1">
    <w:name w:val="Revision1"/>
    <w:hidden/>
    <w:uiPriority w:val="99"/>
    <w:semiHidden/>
    <w:qFormat/>
    <w:rPr>
      <w:rFonts w:cstheme="minorBidi"/>
      <w:kern w:val="2"/>
      <w:sz w:val="24"/>
      <w:szCs w:val="21"/>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fontstyle21">
    <w:name w:val="fontstyle21"/>
    <w:basedOn w:val="DefaultParagraphFont"/>
    <w:qFormat/>
    <w:rPr>
      <w:rFonts w:ascii="MinionPro-Regular" w:hAnsi="MinionPro-Regular" w:hint="default"/>
      <w:color w:val="000000"/>
      <w:sz w:val="16"/>
      <w:szCs w:val="16"/>
    </w:rPr>
  </w:style>
  <w:style w:type="character" w:customStyle="1" w:styleId="text">
    <w:name w:val="text"/>
    <w:basedOn w:val="DefaultParagraphFont"/>
    <w:qFormat/>
  </w:style>
  <w:style w:type="paragraph" w:customStyle="1" w:styleId="a">
    <w:name w:val="!正文"/>
    <w:basedOn w:val="Normal"/>
    <w:link w:val="Char"/>
    <w:qFormat/>
    <w:pPr>
      <w:adjustRightInd w:val="0"/>
      <w:snapToGrid w:val="0"/>
      <w:spacing w:afterLines="50" w:after="200" w:line="300" w:lineRule="auto"/>
      <w:jc w:val="left"/>
    </w:pPr>
    <w:rPr>
      <w:rFonts w:cs="Times New Roman"/>
      <w:bCs/>
      <w:snapToGrid w:val="0"/>
      <w:kern w:val="24"/>
      <w:szCs w:val="24"/>
    </w:rPr>
  </w:style>
  <w:style w:type="character" w:customStyle="1" w:styleId="Char">
    <w:name w:val="!正文 Char"/>
    <w:basedOn w:val="DefaultParagraphFont"/>
    <w:link w:val="a"/>
    <w:qFormat/>
    <w:rPr>
      <w:rFonts w:ascii="Times New Roman" w:eastAsia="宋体" w:hAnsi="Times New Roman" w:cs="Times New Roman"/>
      <w:bCs/>
      <w:snapToGrid w:val="0"/>
      <w:kern w:val="24"/>
      <w:sz w:val="24"/>
      <w:szCs w:val="24"/>
    </w:rPr>
  </w:style>
  <w:style w:type="character" w:customStyle="1" w:styleId="hithilite">
    <w:name w:val="hithilite"/>
    <w:basedOn w:val="DefaultParagraphFont"/>
    <w:qFormat/>
  </w:style>
  <w:style w:type="character" w:customStyle="1" w:styleId="label">
    <w:name w:val="label"/>
    <w:basedOn w:val="DefaultParagraphFont"/>
    <w:qFormat/>
  </w:style>
  <w:style w:type="character" w:customStyle="1" w:styleId="databold">
    <w:name w:val="data_bold"/>
    <w:basedOn w:val="DefaultParagraphFont"/>
    <w:qFormat/>
  </w:style>
  <w:style w:type="paragraph" w:customStyle="1" w:styleId="TableParagraph">
    <w:name w:val="Table Paragraph"/>
    <w:basedOn w:val="Normal"/>
    <w:uiPriority w:val="1"/>
    <w:qFormat/>
    <w:pPr>
      <w:autoSpaceDE w:val="0"/>
      <w:autoSpaceDN w:val="0"/>
      <w:spacing w:before="115" w:line="240" w:lineRule="auto"/>
      <w:jc w:val="center"/>
    </w:pPr>
    <w:rPr>
      <w:rFonts w:ascii="Arial" w:eastAsia="Arial" w:hAnsi="Arial" w:cs="Arial"/>
      <w:kern w:val="0"/>
      <w:sz w:val="22"/>
      <w:szCs w:val="22"/>
      <w:lang w:val="zh-CN" w:bidi="zh-CN"/>
    </w:rPr>
  </w:style>
  <w:style w:type="character" w:customStyle="1" w:styleId="fimportantbold">
    <w:name w:val="f_important_bold"/>
    <w:basedOn w:val="DefaultParagraphFont"/>
    <w:qFormat/>
  </w:style>
  <w:style w:type="character" w:customStyle="1" w:styleId="katex-mathml">
    <w:name w:val="katex-mathml"/>
    <w:basedOn w:val="DefaultParagraphFont"/>
    <w:qFormat/>
  </w:style>
  <w:style w:type="character" w:customStyle="1" w:styleId="mord">
    <w:name w:val="mord"/>
    <w:basedOn w:val="DefaultParagraphFont"/>
    <w:qFormat/>
  </w:style>
  <w:style w:type="character" w:customStyle="1" w:styleId="vlist-s">
    <w:name w:val="vlist-s"/>
    <w:basedOn w:val="DefaultParagraphFont"/>
    <w:qFormat/>
  </w:style>
  <w:style w:type="character" w:customStyle="1" w:styleId="mopen">
    <w:name w:val="mopen"/>
    <w:basedOn w:val="DefaultParagraphFont"/>
    <w:qFormat/>
  </w:style>
  <w:style w:type="character" w:customStyle="1" w:styleId="mclose">
    <w:name w:val="mclose"/>
    <w:basedOn w:val="DefaultParagraphFont"/>
    <w:qFormat/>
  </w:style>
  <w:style w:type="character" w:customStyle="1" w:styleId="anchor-text">
    <w:name w:val="anchor-text"/>
    <w:basedOn w:val="DefaultParagraphFont"/>
    <w:qFormat/>
  </w:style>
  <w:style w:type="paragraph" w:customStyle="1" w:styleId="Bibliography1">
    <w:name w:val="Bibliography1"/>
    <w:basedOn w:val="Normal"/>
    <w:next w:val="Normal"/>
    <w:uiPriority w:val="37"/>
    <w:unhideWhenUsed/>
    <w:qFormat/>
  </w:style>
  <w:style w:type="paragraph" w:styleId="Revision">
    <w:name w:val="Revision"/>
    <w:hidden/>
    <w:uiPriority w:val="99"/>
    <w:unhideWhenUsed/>
    <w:rsid w:val="00AA2D15"/>
    <w:rPr>
      <w:rFonts w:cstheme="minorBidi"/>
      <w:kern w:val="2"/>
      <w:sz w:val="24"/>
      <w:szCs w:val="21"/>
    </w:rPr>
  </w:style>
  <w:style w:type="character" w:styleId="UnresolvedMention">
    <w:name w:val="Unresolved Mention"/>
    <w:basedOn w:val="DefaultParagraphFont"/>
    <w:uiPriority w:val="99"/>
    <w:semiHidden/>
    <w:unhideWhenUsed/>
    <w:rsid w:val="00A0737A"/>
    <w:rPr>
      <w:color w:val="605E5C"/>
      <w:shd w:val="clear" w:color="auto" w:fill="E1DFDD"/>
    </w:rPr>
  </w:style>
  <w:style w:type="paragraph" w:styleId="Bibliography">
    <w:name w:val="Bibliography"/>
    <w:basedOn w:val="Normal"/>
    <w:next w:val="Normal"/>
    <w:uiPriority w:val="37"/>
    <w:unhideWhenUsed/>
    <w:rsid w:val="00DF75AF"/>
  </w:style>
  <w:style w:type="character" w:customStyle="1" w:styleId="MTEquationSection">
    <w:name w:val="MTEquationSection"/>
    <w:basedOn w:val="DefaultParagraphFont"/>
    <w:rsid w:val="006B0A7C"/>
    <w:rPr>
      <w:rFonts w:cs="Times New Roman"/>
      <w:b/>
      <w:bCs/>
      <w:vanish/>
      <w:color w:val="FF0000"/>
      <w:sz w:val="28"/>
      <w:szCs w:val="22"/>
    </w:rPr>
  </w:style>
  <w:style w:type="paragraph" w:customStyle="1" w:styleId="MDPI31text">
    <w:name w:val="MDPI_3.1_text"/>
    <w:qFormat/>
    <w:rsid w:val="006B0A7C"/>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table" w:customStyle="1" w:styleId="2">
    <w:name w:val="网格型2"/>
    <w:basedOn w:val="TableNormal"/>
    <w:next w:val="TableGrid"/>
    <w:uiPriority w:val="39"/>
    <w:rsid w:val="00C81166"/>
    <w:rPr>
      <w:rFonts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98994">
      <w:bodyDiv w:val="1"/>
      <w:marLeft w:val="0"/>
      <w:marRight w:val="0"/>
      <w:marTop w:val="0"/>
      <w:marBottom w:val="0"/>
      <w:divBdr>
        <w:top w:val="none" w:sz="0" w:space="0" w:color="auto"/>
        <w:left w:val="none" w:sz="0" w:space="0" w:color="auto"/>
        <w:bottom w:val="none" w:sz="0" w:space="0" w:color="auto"/>
        <w:right w:val="none" w:sz="0" w:space="0" w:color="auto"/>
      </w:divBdr>
    </w:div>
    <w:div w:id="138302097">
      <w:bodyDiv w:val="1"/>
      <w:marLeft w:val="0"/>
      <w:marRight w:val="0"/>
      <w:marTop w:val="0"/>
      <w:marBottom w:val="0"/>
      <w:divBdr>
        <w:top w:val="none" w:sz="0" w:space="0" w:color="auto"/>
        <w:left w:val="none" w:sz="0" w:space="0" w:color="auto"/>
        <w:bottom w:val="none" w:sz="0" w:space="0" w:color="auto"/>
        <w:right w:val="none" w:sz="0" w:space="0" w:color="auto"/>
      </w:divBdr>
    </w:div>
    <w:div w:id="238713272">
      <w:bodyDiv w:val="1"/>
      <w:marLeft w:val="0"/>
      <w:marRight w:val="0"/>
      <w:marTop w:val="0"/>
      <w:marBottom w:val="0"/>
      <w:divBdr>
        <w:top w:val="none" w:sz="0" w:space="0" w:color="auto"/>
        <w:left w:val="none" w:sz="0" w:space="0" w:color="auto"/>
        <w:bottom w:val="none" w:sz="0" w:space="0" w:color="auto"/>
        <w:right w:val="none" w:sz="0" w:space="0" w:color="auto"/>
      </w:divBdr>
      <w:divsChild>
        <w:div w:id="1814567334">
          <w:marLeft w:val="0"/>
          <w:marRight w:val="0"/>
          <w:marTop w:val="120"/>
          <w:marBottom w:val="120"/>
          <w:divBdr>
            <w:top w:val="none" w:sz="0" w:space="0" w:color="auto"/>
            <w:left w:val="none" w:sz="0" w:space="0" w:color="auto"/>
            <w:bottom w:val="none" w:sz="0" w:space="0" w:color="auto"/>
            <w:right w:val="none" w:sz="0" w:space="0" w:color="auto"/>
          </w:divBdr>
        </w:div>
      </w:divsChild>
    </w:div>
    <w:div w:id="370612759">
      <w:bodyDiv w:val="1"/>
      <w:marLeft w:val="0"/>
      <w:marRight w:val="0"/>
      <w:marTop w:val="0"/>
      <w:marBottom w:val="0"/>
      <w:divBdr>
        <w:top w:val="none" w:sz="0" w:space="0" w:color="auto"/>
        <w:left w:val="none" w:sz="0" w:space="0" w:color="auto"/>
        <w:bottom w:val="none" w:sz="0" w:space="0" w:color="auto"/>
        <w:right w:val="none" w:sz="0" w:space="0" w:color="auto"/>
      </w:divBdr>
    </w:div>
    <w:div w:id="374475381">
      <w:bodyDiv w:val="1"/>
      <w:marLeft w:val="0"/>
      <w:marRight w:val="0"/>
      <w:marTop w:val="0"/>
      <w:marBottom w:val="0"/>
      <w:divBdr>
        <w:top w:val="none" w:sz="0" w:space="0" w:color="auto"/>
        <w:left w:val="none" w:sz="0" w:space="0" w:color="auto"/>
        <w:bottom w:val="none" w:sz="0" w:space="0" w:color="auto"/>
        <w:right w:val="none" w:sz="0" w:space="0" w:color="auto"/>
      </w:divBdr>
      <w:divsChild>
        <w:div w:id="1849825742">
          <w:marLeft w:val="0"/>
          <w:marRight w:val="0"/>
          <w:marTop w:val="120"/>
          <w:marBottom w:val="120"/>
          <w:divBdr>
            <w:top w:val="none" w:sz="0" w:space="0" w:color="auto"/>
            <w:left w:val="none" w:sz="0" w:space="0" w:color="auto"/>
            <w:bottom w:val="none" w:sz="0" w:space="0" w:color="auto"/>
            <w:right w:val="none" w:sz="0" w:space="0" w:color="auto"/>
          </w:divBdr>
        </w:div>
      </w:divsChild>
    </w:div>
    <w:div w:id="407190571">
      <w:bodyDiv w:val="1"/>
      <w:marLeft w:val="0"/>
      <w:marRight w:val="0"/>
      <w:marTop w:val="0"/>
      <w:marBottom w:val="0"/>
      <w:divBdr>
        <w:top w:val="none" w:sz="0" w:space="0" w:color="auto"/>
        <w:left w:val="none" w:sz="0" w:space="0" w:color="auto"/>
        <w:bottom w:val="none" w:sz="0" w:space="0" w:color="auto"/>
        <w:right w:val="none" w:sz="0" w:space="0" w:color="auto"/>
      </w:divBdr>
      <w:divsChild>
        <w:div w:id="1706518039">
          <w:marLeft w:val="0"/>
          <w:marRight w:val="0"/>
          <w:marTop w:val="120"/>
          <w:marBottom w:val="120"/>
          <w:divBdr>
            <w:top w:val="none" w:sz="0" w:space="0" w:color="auto"/>
            <w:left w:val="none" w:sz="0" w:space="0" w:color="auto"/>
            <w:bottom w:val="none" w:sz="0" w:space="0" w:color="auto"/>
            <w:right w:val="none" w:sz="0" w:space="0" w:color="auto"/>
          </w:divBdr>
        </w:div>
      </w:divsChild>
    </w:div>
    <w:div w:id="620838644">
      <w:bodyDiv w:val="1"/>
      <w:marLeft w:val="0"/>
      <w:marRight w:val="0"/>
      <w:marTop w:val="0"/>
      <w:marBottom w:val="0"/>
      <w:divBdr>
        <w:top w:val="none" w:sz="0" w:space="0" w:color="auto"/>
        <w:left w:val="none" w:sz="0" w:space="0" w:color="auto"/>
        <w:bottom w:val="none" w:sz="0" w:space="0" w:color="auto"/>
        <w:right w:val="none" w:sz="0" w:space="0" w:color="auto"/>
      </w:divBdr>
    </w:div>
    <w:div w:id="689532602">
      <w:bodyDiv w:val="1"/>
      <w:marLeft w:val="0"/>
      <w:marRight w:val="0"/>
      <w:marTop w:val="0"/>
      <w:marBottom w:val="0"/>
      <w:divBdr>
        <w:top w:val="none" w:sz="0" w:space="0" w:color="auto"/>
        <w:left w:val="none" w:sz="0" w:space="0" w:color="auto"/>
        <w:bottom w:val="none" w:sz="0" w:space="0" w:color="auto"/>
        <w:right w:val="none" w:sz="0" w:space="0" w:color="auto"/>
      </w:divBdr>
    </w:div>
    <w:div w:id="721833372">
      <w:bodyDiv w:val="1"/>
      <w:marLeft w:val="0"/>
      <w:marRight w:val="0"/>
      <w:marTop w:val="0"/>
      <w:marBottom w:val="0"/>
      <w:divBdr>
        <w:top w:val="none" w:sz="0" w:space="0" w:color="auto"/>
        <w:left w:val="none" w:sz="0" w:space="0" w:color="auto"/>
        <w:bottom w:val="none" w:sz="0" w:space="0" w:color="auto"/>
        <w:right w:val="none" w:sz="0" w:space="0" w:color="auto"/>
      </w:divBdr>
      <w:divsChild>
        <w:div w:id="936866678">
          <w:marLeft w:val="0"/>
          <w:marRight w:val="0"/>
          <w:marTop w:val="120"/>
          <w:marBottom w:val="120"/>
          <w:divBdr>
            <w:top w:val="none" w:sz="0" w:space="0" w:color="auto"/>
            <w:left w:val="none" w:sz="0" w:space="0" w:color="auto"/>
            <w:bottom w:val="none" w:sz="0" w:space="0" w:color="auto"/>
            <w:right w:val="none" w:sz="0" w:space="0" w:color="auto"/>
          </w:divBdr>
        </w:div>
      </w:divsChild>
    </w:div>
    <w:div w:id="777795285">
      <w:bodyDiv w:val="1"/>
      <w:marLeft w:val="0"/>
      <w:marRight w:val="0"/>
      <w:marTop w:val="0"/>
      <w:marBottom w:val="0"/>
      <w:divBdr>
        <w:top w:val="none" w:sz="0" w:space="0" w:color="auto"/>
        <w:left w:val="none" w:sz="0" w:space="0" w:color="auto"/>
        <w:bottom w:val="none" w:sz="0" w:space="0" w:color="auto"/>
        <w:right w:val="none" w:sz="0" w:space="0" w:color="auto"/>
      </w:divBdr>
      <w:divsChild>
        <w:div w:id="1373994698">
          <w:marLeft w:val="0"/>
          <w:marRight w:val="0"/>
          <w:marTop w:val="120"/>
          <w:marBottom w:val="120"/>
          <w:divBdr>
            <w:top w:val="none" w:sz="0" w:space="0" w:color="auto"/>
            <w:left w:val="none" w:sz="0" w:space="0" w:color="auto"/>
            <w:bottom w:val="none" w:sz="0" w:space="0" w:color="auto"/>
            <w:right w:val="none" w:sz="0" w:space="0" w:color="auto"/>
          </w:divBdr>
        </w:div>
      </w:divsChild>
    </w:div>
    <w:div w:id="817455048">
      <w:bodyDiv w:val="1"/>
      <w:marLeft w:val="0"/>
      <w:marRight w:val="0"/>
      <w:marTop w:val="0"/>
      <w:marBottom w:val="0"/>
      <w:divBdr>
        <w:top w:val="none" w:sz="0" w:space="0" w:color="auto"/>
        <w:left w:val="none" w:sz="0" w:space="0" w:color="auto"/>
        <w:bottom w:val="none" w:sz="0" w:space="0" w:color="auto"/>
        <w:right w:val="none" w:sz="0" w:space="0" w:color="auto"/>
      </w:divBdr>
    </w:div>
    <w:div w:id="1004282830">
      <w:bodyDiv w:val="1"/>
      <w:marLeft w:val="0"/>
      <w:marRight w:val="0"/>
      <w:marTop w:val="0"/>
      <w:marBottom w:val="0"/>
      <w:divBdr>
        <w:top w:val="none" w:sz="0" w:space="0" w:color="auto"/>
        <w:left w:val="none" w:sz="0" w:space="0" w:color="auto"/>
        <w:bottom w:val="none" w:sz="0" w:space="0" w:color="auto"/>
        <w:right w:val="none" w:sz="0" w:space="0" w:color="auto"/>
      </w:divBdr>
      <w:divsChild>
        <w:div w:id="1774740272">
          <w:marLeft w:val="0"/>
          <w:marRight w:val="0"/>
          <w:marTop w:val="120"/>
          <w:marBottom w:val="120"/>
          <w:divBdr>
            <w:top w:val="none" w:sz="0" w:space="0" w:color="auto"/>
            <w:left w:val="none" w:sz="0" w:space="0" w:color="auto"/>
            <w:bottom w:val="none" w:sz="0" w:space="0" w:color="auto"/>
            <w:right w:val="none" w:sz="0" w:space="0" w:color="auto"/>
          </w:divBdr>
        </w:div>
      </w:divsChild>
    </w:div>
    <w:div w:id="1045179985">
      <w:bodyDiv w:val="1"/>
      <w:marLeft w:val="0"/>
      <w:marRight w:val="0"/>
      <w:marTop w:val="0"/>
      <w:marBottom w:val="0"/>
      <w:divBdr>
        <w:top w:val="none" w:sz="0" w:space="0" w:color="auto"/>
        <w:left w:val="none" w:sz="0" w:space="0" w:color="auto"/>
        <w:bottom w:val="none" w:sz="0" w:space="0" w:color="auto"/>
        <w:right w:val="none" w:sz="0" w:space="0" w:color="auto"/>
      </w:divBdr>
      <w:divsChild>
        <w:div w:id="92095548">
          <w:marLeft w:val="0"/>
          <w:marRight w:val="0"/>
          <w:marTop w:val="120"/>
          <w:marBottom w:val="120"/>
          <w:divBdr>
            <w:top w:val="none" w:sz="0" w:space="0" w:color="auto"/>
            <w:left w:val="none" w:sz="0" w:space="0" w:color="auto"/>
            <w:bottom w:val="none" w:sz="0" w:space="0" w:color="auto"/>
            <w:right w:val="none" w:sz="0" w:space="0" w:color="auto"/>
          </w:divBdr>
        </w:div>
      </w:divsChild>
    </w:div>
    <w:div w:id="1128160268">
      <w:bodyDiv w:val="1"/>
      <w:marLeft w:val="0"/>
      <w:marRight w:val="0"/>
      <w:marTop w:val="0"/>
      <w:marBottom w:val="0"/>
      <w:divBdr>
        <w:top w:val="none" w:sz="0" w:space="0" w:color="auto"/>
        <w:left w:val="none" w:sz="0" w:space="0" w:color="auto"/>
        <w:bottom w:val="none" w:sz="0" w:space="0" w:color="auto"/>
        <w:right w:val="none" w:sz="0" w:space="0" w:color="auto"/>
      </w:divBdr>
      <w:divsChild>
        <w:div w:id="719285824">
          <w:marLeft w:val="0"/>
          <w:marRight w:val="0"/>
          <w:marTop w:val="120"/>
          <w:marBottom w:val="120"/>
          <w:divBdr>
            <w:top w:val="none" w:sz="0" w:space="0" w:color="auto"/>
            <w:left w:val="none" w:sz="0" w:space="0" w:color="auto"/>
            <w:bottom w:val="none" w:sz="0" w:space="0" w:color="auto"/>
            <w:right w:val="none" w:sz="0" w:space="0" w:color="auto"/>
          </w:divBdr>
        </w:div>
      </w:divsChild>
    </w:div>
    <w:div w:id="1275401210">
      <w:bodyDiv w:val="1"/>
      <w:marLeft w:val="0"/>
      <w:marRight w:val="0"/>
      <w:marTop w:val="0"/>
      <w:marBottom w:val="0"/>
      <w:divBdr>
        <w:top w:val="none" w:sz="0" w:space="0" w:color="auto"/>
        <w:left w:val="none" w:sz="0" w:space="0" w:color="auto"/>
        <w:bottom w:val="none" w:sz="0" w:space="0" w:color="auto"/>
        <w:right w:val="none" w:sz="0" w:space="0" w:color="auto"/>
      </w:divBdr>
      <w:divsChild>
        <w:div w:id="1093090063">
          <w:marLeft w:val="0"/>
          <w:marRight w:val="0"/>
          <w:marTop w:val="120"/>
          <w:marBottom w:val="120"/>
          <w:divBdr>
            <w:top w:val="none" w:sz="0" w:space="0" w:color="auto"/>
            <w:left w:val="none" w:sz="0" w:space="0" w:color="auto"/>
            <w:bottom w:val="none" w:sz="0" w:space="0" w:color="auto"/>
            <w:right w:val="none" w:sz="0" w:space="0" w:color="auto"/>
          </w:divBdr>
        </w:div>
      </w:divsChild>
    </w:div>
    <w:div w:id="1278832203">
      <w:bodyDiv w:val="1"/>
      <w:marLeft w:val="0"/>
      <w:marRight w:val="0"/>
      <w:marTop w:val="0"/>
      <w:marBottom w:val="0"/>
      <w:divBdr>
        <w:top w:val="none" w:sz="0" w:space="0" w:color="auto"/>
        <w:left w:val="none" w:sz="0" w:space="0" w:color="auto"/>
        <w:bottom w:val="none" w:sz="0" w:space="0" w:color="auto"/>
        <w:right w:val="none" w:sz="0" w:space="0" w:color="auto"/>
      </w:divBdr>
    </w:div>
    <w:div w:id="1359969759">
      <w:bodyDiv w:val="1"/>
      <w:marLeft w:val="0"/>
      <w:marRight w:val="0"/>
      <w:marTop w:val="0"/>
      <w:marBottom w:val="0"/>
      <w:divBdr>
        <w:top w:val="none" w:sz="0" w:space="0" w:color="auto"/>
        <w:left w:val="none" w:sz="0" w:space="0" w:color="auto"/>
        <w:bottom w:val="none" w:sz="0" w:space="0" w:color="auto"/>
        <w:right w:val="none" w:sz="0" w:space="0" w:color="auto"/>
      </w:divBdr>
      <w:divsChild>
        <w:div w:id="1094059461">
          <w:marLeft w:val="0"/>
          <w:marRight w:val="0"/>
          <w:marTop w:val="120"/>
          <w:marBottom w:val="120"/>
          <w:divBdr>
            <w:top w:val="none" w:sz="0" w:space="0" w:color="auto"/>
            <w:left w:val="none" w:sz="0" w:space="0" w:color="auto"/>
            <w:bottom w:val="none" w:sz="0" w:space="0" w:color="auto"/>
            <w:right w:val="none" w:sz="0" w:space="0" w:color="auto"/>
          </w:divBdr>
        </w:div>
      </w:divsChild>
    </w:div>
    <w:div w:id="1485662919">
      <w:bodyDiv w:val="1"/>
      <w:marLeft w:val="0"/>
      <w:marRight w:val="0"/>
      <w:marTop w:val="0"/>
      <w:marBottom w:val="0"/>
      <w:divBdr>
        <w:top w:val="none" w:sz="0" w:space="0" w:color="auto"/>
        <w:left w:val="none" w:sz="0" w:space="0" w:color="auto"/>
        <w:bottom w:val="none" w:sz="0" w:space="0" w:color="auto"/>
        <w:right w:val="none" w:sz="0" w:space="0" w:color="auto"/>
      </w:divBdr>
    </w:div>
    <w:div w:id="1515075947">
      <w:bodyDiv w:val="1"/>
      <w:marLeft w:val="0"/>
      <w:marRight w:val="0"/>
      <w:marTop w:val="0"/>
      <w:marBottom w:val="0"/>
      <w:divBdr>
        <w:top w:val="none" w:sz="0" w:space="0" w:color="auto"/>
        <w:left w:val="none" w:sz="0" w:space="0" w:color="auto"/>
        <w:bottom w:val="none" w:sz="0" w:space="0" w:color="auto"/>
        <w:right w:val="none" w:sz="0" w:space="0" w:color="auto"/>
      </w:divBdr>
      <w:divsChild>
        <w:div w:id="358775932">
          <w:marLeft w:val="0"/>
          <w:marRight w:val="0"/>
          <w:marTop w:val="120"/>
          <w:marBottom w:val="120"/>
          <w:divBdr>
            <w:top w:val="none" w:sz="0" w:space="0" w:color="auto"/>
            <w:left w:val="none" w:sz="0" w:space="0" w:color="auto"/>
            <w:bottom w:val="none" w:sz="0" w:space="0" w:color="auto"/>
            <w:right w:val="none" w:sz="0" w:space="0" w:color="auto"/>
          </w:divBdr>
        </w:div>
      </w:divsChild>
    </w:div>
    <w:div w:id="1796945404">
      <w:bodyDiv w:val="1"/>
      <w:marLeft w:val="0"/>
      <w:marRight w:val="0"/>
      <w:marTop w:val="0"/>
      <w:marBottom w:val="0"/>
      <w:divBdr>
        <w:top w:val="none" w:sz="0" w:space="0" w:color="auto"/>
        <w:left w:val="none" w:sz="0" w:space="0" w:color="auto"/>
        <w:bottom w:val="none" w:sz="0" w:space="0" w:color="auto"/>
        <w:right w:val="none" w:sz="0" w:space="0" w:color="auto"/>
      </w:divBdr>
      <w:divsChild>
        <w:div w:id="439767282">
          <w:marLeft w:val="0"/>
          <w:marRight w:val="0"/>
          <w:marTop w:val="120"/>
          <w:marBottom w:val="120"/>
          <w:divBdr>
            <w:top w:val="none" w:sz="0" w:space="0" w:color="auto"/>
            <w:left w:val="none" w:sz="0" w:space="0" w:color="auto"/>
            <w:bottom w:val="none" w:sz="0" w:space="0" w:color="auto"/>
            <w:right w:val="none" w:sz="0" w:space="0" w:color="auto"/>
          </w:divBdr>
        </w:div>
      </w:divsChild>
    </w:div>
    <w:div w:id="1886138504">
      <w:bodyDiv w:val="1"/>
      <w:marLeft w:val="0"/>
      <w:marRight w:val="0"/>
      <w:marTop w:val="0"/>
      <w:marBottom w:val="0"/>
      <w:divBdr>
        <w:top w:val="none" w:sz="0" w:space="0" w:color="auto"/>
        <w:left w:val="none" w:sz="0" w:space="0" w:color="auto"/>
        <w:bottom w:val="none" w:sz="0" w:space="0" w:color="auto"/>
        <w:right w:val="none" w:sz="0" w:space="0" w:color="auto"/>
      </w:divBdr>
    </w:div>
    <w:div w:id="1950238456">
      <w:bodyDiv w:val="1"/>
      <w:marLeft w:val="0"/>
      <w:marRight w:val="0"/>
      <w:marTop w:val="0"/>
      <w:marBottom w:val="0"/>
      <w:divBdr>
        <w:top w:val="none" w:sz="0" w:space="0" w:color="auto"/>
        <w:left w:val="none" w:sz="0" w:space="0" w:color="auto"/>
        <w:bottom w:val="none" w:sz="0" w:space="0" w:color="auto"/>
        <w:right w:val="none" w:sz="0" w:space="0" w:color="auto"/>
      </w:divBdr>
    </w:div>
    <w:div w:id="21459245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C3D3D-A166-443A-92FA-BD98A042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1581</TotalTime>
  <Pages>22</Pages>
  <Words>6896</Words>
  <Characters>39312</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Jing, Rui</dc:creator>
  <cp:lastModifiedBy>Rui Jing</cp:lastModifiedBy>
  <cp:revision>17</cp:revision>
  <cp:lastPrinted>2019-12-09T13:27:00Z</cp:lastPrinted>
  <dcterms:created xsi:type="dcterms:W3CDTF">2026-04-06T12:08:00Z</dcterms:created>
  <dcterms:modified xsi:type="dcterms:W3CDTF">2026-05-08T07:02:00Z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id="78G9UutU"/&gt;&lt;style id="http://www.zotero.org/styles/nature" hasBibliography="1" bibliographyStyleHasBeenSet="1"/&gt;&lt;prefs&gt;&lt;pref name="fieldType" value="Field"/&gt;&lt;/prefs&gt;&lt;/data&gt;</vt:lpwstr>
  </property>
  <property fmtid="{D5CDD505-2E9C-101B-9397-08002B2CF9AE}" pid="3" name="KSOTemplateDocerSaveRecord">
    <vt:lpwstr>eyJoZGlkIjoiZjM2Zjg1N2QyYzg5OTFjYTJmZTVhZjZjMDUwYjFmNzkifQ==</vt:lpwstr>
  </property>
  <property fmtid="{D5CDD505-2E9C-101B-9397-08002B2CF9AE}" pid="4" name="KSOProductBuildVer">
    <vt:lpwstr>2052-12.1.0.19770</vt:lpwstr>
  </property>
  <property fmtid="{D5CDD505-2E9C-101B-9397-08002B2CF9AE}" pid="5" name="ICV">
    <vt:lpwstr>F70E3EF1DF094A9FBA0DA9D972C34301_12</vt:lpwstr>
  </property>
  <property fmtid="{D5CDD505-2E9C-101B-9397-08002B2CF9AE}" pid="6" name="MTEquationSection">
    <vt:lpwstr>1</vt:lpwstr>
  </property>
  <property fmtid="{D5CDD505-2E9C-101B-9397-08002B2CF9AE}" pid="7" name="MTWinEqns">
    <vt:bool>true</vt:bool>
  </property>
  <property fmtid="{D5CDD505-2E9C-101B-9397-08002B2CF9AE}" pid="8" name="MTEquationNumber2">
    <vt:lpwstr>(#E1)</vt:lpwstr>
  </property>
</Properties>
</file>