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71"/>
        <w:gridCol w:w="4444"/>
        <w:gridCol w:w="1413"/>
        <w:gridCol w:w="1634"/>
        <w:gridCol w:w="1181"/>
      </w:tblGrid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exp(Beta)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1.492, 2.420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 on Admission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1.008, 1.009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0.964, 1.003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0.904, 1.068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0.681</w:t>
            </w:r>
          </w:p>
        </w:tc>
      </w:tr>
      <w:tr>
        <w:trPr>
          <w:trHeight w:val="60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0.960, 1.143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0.293</w:t>
            </w:r>
          </w:p>
        </w:tc>
      </w:tr>
      <w:tr>
        <w:trPr>
          <w:trHeight w:val="60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0.875, 1.090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 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0.963, 1.067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0.613</w:t>
            </w:r>
          </w:p>
        </w:tc>
      </w:tr>
      <w:tr>
        <w:trPr>
          <w:trHeight w:val="60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0.872, 1.055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Clinical Frailty Score (CFS)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1 - Very Fit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2 - 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0.973, 1.046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0.621</w:t>
            </w:r>
          </w:p>
        </w:tc>
      </w:tr>
      <w:tr>
        <w:trPr>
          <w:trHeight w:val="615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3 - Managing 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0.984, 1.058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0.282</w:t>
            </w:r>
          </w:p>
        </w:tc>
      </w:tr>
      <w:tr>
        <w:trPr>
          <w:trHeight w:val="60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4 - Vulnerable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1.071, 1.155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5 - Mildly Frail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1.030, 1.114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6 - Moderately Frail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1.057, 1.143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7 - Severely Frail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1.016, 1.104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8 - Very Severely Frail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1.009, 1.099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15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9 - Terminally Ill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1.008, 1.099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0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0.998, 1.089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Patient Readmissioned?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1.087, 1.140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Clinical Specialty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Accident and 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0.724, 0.809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Anaesthetics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0.595, 1.400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0.675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Breast Surgery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0.513, 0.686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0.657, 0.886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Colorectal Surgery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1.405, 1.748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Community Paediatrics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0.466, 1.641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0.676</w:t>
            </w:r>
          </w:p>
        </w:tc>
      </w:tr>
      <w:tr>
        <w:trPr>
          <w:trHeight w:val="60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Diabetic Medicine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0.506, 1.504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0.624</w:t>
            </w:r>
          </w:p>
        </w:tc>
      </w:tr>
      <w:tr>
        <w:trPr>
          <w:trHeight w:val="61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Elderly Medicine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0.975, 1.234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0.123</w:t>
            </w:r>
          </w:p>
        </w:tc>
      </w:tr>
      <w:tr>
        <w:trPr>
          <w:trHeight w:val="61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Endocrinology and Metabolic Medicine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0.226, 3.410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</w:t>
            </w:r>
          </w:p>
        </w:tc>
      </w:tr>
      <w:tr>
        <w:trPr>
          <w:trHeight w:val="60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0.571, 0.694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Gastroenterology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1.288, 1.641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General Surgery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0.973, 1.102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Gynaecology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0.667, 0.824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Haematology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0.276, 1.183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Medical Oncology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0.329, 2.712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</w:t>
            </w:r>
          </w:p>
        </w:tc>
      </w:tr>
      <w:tr>
        <w:trPr>
          <w:trHeight w:val="615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Midwife Episode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0.713, 1.420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0.973</w:t>
            </w:r>
          </w:p>
        </w:tc>
      </w:tr>
      <w:tr>
        <w:trPr>
          <w:trHeight w:val="61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Neonatology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1.664, 4.846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Obstetrics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0.766, 1.501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0.684</w:t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Ophthalmology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0.143, 1.103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Oral Surgery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0.506, 0.728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Orthodontics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0.041, 3.800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0.423</w:t>
            </w:r>
          </w:p>
        </w:tc>
      </w:tr>
      <w:tr>
        <w:trPr>
          <w:trHeight w:val="614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Paediatric Dentistry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0.555, 0.870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5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Paediatric Trauma And Orthopaedics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0.164, 1.582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0.243</w:t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Paediatric Urology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0.407, 4.210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0.652</w:t>
            </w:r>
          </w:p>
        </w:tc>
      </w:tr>
      <w:tr>
        <w:trPr>
          <w:trHeight w:val="60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Paediatrics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1.163, 1.547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 Management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0.532, 0.887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Plastic Surgery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0.507, 0.716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Rehabilitation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2.302, 3.417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Rheumatology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0.324, 2.058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0.668</w:t>
            </w:r>
          </w:p>
        </w:tc>
      </w:tr>
      <w:tr>
        <w:trPr>
          <w:trHeight w:val="60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Thoracic Medicine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1.018, 1.497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0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Transient Ischaemic Attack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1.149, 2.522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5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Trauma &amp; Orthopaedics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1.124, 1.289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Upper Gastrointestinal Surgery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0.417, 1.093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4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0.677, 0.805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Vascular Surgery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0.449, 0.697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0" w:hRule="auto"/>
        </w:trPr>
        body62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Well Babies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0.743, 2.166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0.384</w:t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fit: Marginal R² = 0.094, Conditional R² = 0.782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  <w:tr>
        <w:trPr>
          <w:trHeight w:val="360" w:hRule="auto"/>
        </w:trPr>
        footer 3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 = 41,843; Sigma = 6.32; Log-likelihood = -74,622; AIC = 149,358; BIC = 149,851; Deviance = 18,134; Residual df = 41,786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2025-12-05T21:24:05Z</dcterms:modified>
  <cp:category/>
</cp:coreProperties>
</file>