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ubticareers</w:t>
      </w:r>
    </w:p>
    <w:p>
      <w:r>
        <w:rPr>
          <w:color w:val="087E8B"/>
        </w:rPr>
        <w:t>TECHNICAL OVERVIEW  |  Version 1.0</w:t>
      </w:r>
    </w:p>
    <w:p>
      <w:r>
        <w:t>ubticareers connects a recruitment portal with Dynamics 365 Finance &amp; Operations. The current scope covers job listings, candidate applications, private resume uploads, AI-assisted matching and HR review.</w:t>
      </w:r>
    </w:p>
    <w:p>
      <w:pPr>
        <w:pStyle w:val="Heading1"/>
      </w:pPr>
      <w:r>
        <w:t>Technology stack</w:t>
      </w:r>
    </w:p>
    <w:tbl>
      <w:tblPr>
        <w:tblW w:type="auto" w:w="0"/>
        <w:tblLayout w:type="fixed"/>
        <w:tblLook w:firstColumn="1" w:firstRow="1" w:lastColumn="0" w:lastRow="0" w:noHBand="0" w:noVBand="1" w:val="04A0"/>
      </w:tblPr>
      <w:tblGrid>
        <w:gridCol w:w="3394"/>
        <w:gridCol w:w="3394"/>
        <w:gridCol w:w="3394"/>
      </w:tblGrid>
      <w:tr>
        <w:trPr>
          <w:tblHeader/>
        </w:trPr>
        <w:tc>
          <w:tcPr>
            <w:tcW w:type="dxa" w:w="1512"/>
            <w:shd w:fill="103C59"/>
          </w:tcPr>
          <w:p>
            <w:pPr>
              <w:spacing w:after="60" w:before="60"/>
            </w:pPr>
            <w:r>
              <w:rPr>
                <w:b/>
                <w:color w:val="FFFFFF"/>
                <w:sz w:val="16"/>
              </w:rPr>
              <w:t>Layer</w:t>
            </w:r>
          </w:p>
        </w:tc>
        <w:tc>
          <w:tcPr>
            <w:tcW w:type="dxa" w:w="3240"/>
            <w:shd w:fill="103C59"/>
          </w:tcPr>
          <w:p>
            <w:pPr>
              <w:spacing w:after="60" w:before="60"/>
            </w:pPr>
            <w:r>
              <w:rPr>
                <w:b/>
                <w:color w:val="FFFFFF"/>
                <w:sz w:val="16"/>
              </w:rPr>
              <w:t>Technology</w:t>
            </w:r>
          </w:p>
        </w:tc>
        <w:tc>
          <w:tcPr>
            <w:tcW w:type="dxa" w:w="5328"/>
            <w:shd w:fill="103C59"/>
          </w:tcPr>
          <w:p>
            <w:pPr>
              <w:spacing w:after="60" w:before="60"/>
            </w:pPr>
            <w:r>
              <w:rPr>
                <w:b/>
                <w:color w:val="FFFFFF"/>
                <w:sz w:val="16"/>
              </w:rPr>
              <w:t>Purpose</w:t>
            </w:r>
          </w:p>
        </w:tc>
      </w:tr>
      <w:tr>
        <w:trPr>
          <w:cantSplit/>
        </w:trPr>
        <w:tc>
          <w:tcPr>
            <w:tcW w:type="dxa" w:w="1512"/>
            <w:shd w:fill="F0F6FA"/>
          </w:tcPr>
          <w:p>
            <w:pPr>
              <w:spacing w:after="60" w:before="60"/>
            </w:pPr>
            <w:r>
              <w:rPr>
                <w:sz w:val="16"/>
              </w:rPr>
              <w:t>Frontend</w:t>
            </w:r>
          </w:p>
        </w:tc>
        <w:tc>
          <w:tcPr>
            <w:tcW w:type="dxa" w:w="3240"/>
            <w:shd w:fill="F0F6FA"/>
          </w:tcPr>
          <w:p>
            <w:pPr>
              <w:spacing w:after="60" w:before="60"/>
            </w:pPr>
            <w:r>
              <w:rPr>
                <w:sz w:val="16"/>
              </w:rPr>
              <w:t>React 19, TypeScript, Vite and Tailwind CSS</w:t>
            </w:r>
          </w:p>
        </w:tc>
        <w:tc>
          <w:tcPr>
            <w:tcW w:type="dxa" w:w="5328"/>
            <w:shd w:fill="F0F6FA"/>
          </w:tcPr>
          <w:p>
            <w:pPr>
              <w:spacing w:after="60" w:before="60"/>
            </w:pPr>
            <w:r>
              <w:rPr>
                <w:sz w:val="16"/>
              </w:rPr>
              <w:t>Public careers portal and HR workspace.</w:t>
            </w:r>
          </w:p>
        </w:tc>
      </w:tr>
      <w:tr>
        <w:trPr>
          <w:cantSplit/>
        </w:trPr>
        <w:tc>
          <w:tcPr>
            <w:tcW w:type="dxa" w:w="1512"/>
          </w:tcPr>
          <w:p>
            <w:pPr>
              <w:spacing w:after="60" w:before="60"/>
            </w:pPr>
            <w:r>
              <w:rPr>
                <w:sz w:val="16"/>
              </w:rPr>
              <w:t>Backend</w:t>
            </w:r>
          </w:p>
        </w:tc>
        <w:tc>
          <w:tcPr>
            <w:tcW w:type="dxa" w:w="3240"/>
          </w:tcPr>
          <w:p>
            <w:pPr>
              <w:spacing w:after="60" w:before="60"/>
            </w:pPr>
            <w:r>
              <w:rPr>
                <w:sz w:val="16"/>
              </w:rPr>
              <w:t>Python 3.12, FastAPI and Uvicorn</w:t>
            </w:r>
          </w:p>
        </w:tc>
        <w:tc>
          <w:tcPr>
            <w:tcW w:type="dxa" w:w="5328"/>
          </w:tcPr>
          <w:p>
            <w:pPr>
              <w:spacing w:after="60" w:before="60"/>
            </w:pPr>
            <w:r>
              <w:rPr>
                <w:sz w:val="16"/>
              </w:rPr>
              <w:t>APIs, authentication and integrations.</w:t>
            </w:r>
          </w:p>
        </w:tc>
      </w:tr>
      <w:tr>
        <w:trPr>
          <w:cantSplit/>
        </w:trPr>
        <w:tc>
          <w:tcPr>
            <w:tcW w:type="dxa" w:w="1512"/>
            <w:shd w:fill="F0F6FA"/>
          </w:tcPr>
          <w:p>
            <w:pPr>
              <w:spacing w:after="60" w:before="60"/>
            </w:pPr>
            <w:r>
              <w:rPr>
                <w:sz w:val="16"/>
              </w:rPr>
              <w:t>ERP integration</w:t>
            </w:r>
          </w:p>
        </w:tc>
        <w:tc>
          <w:tcPr>
            <w:tcW w:type="dxa" w:w="3240"/>
            <w:shd w:fill="F0F6FA"/>
          </w:tcPr>
          <w:p>
            <w:pPr>
              <w:spacing w:after="60" w:before="60"/>
            </w:pPr>
            <w:r>
              <w:rPr>
                <w:sz w:val="16"/>
              </w:rPr>
              <w:t>D365 Finance &amp; Operations custom services; X++</w:t>
            </w:r>
          </w:p>
        </w:tc>
        <w:tc>
          <w:tcPr>
            <w:tcW w:type="dxa" w:w="5328"/>
            <w:shd w:fill="F0F6FA"/>
          </w:tcPr>
          <w:p>
            <w:pPr>
              <w:spacing w:after="60" w:before="60"/>
            </w:pPr>
            <w:r>
              <w:rPr>
                <w:sz w:val="16"/>
              </w:rPr>
              <w:t>Job requirements, application submission and evaluation result updates.</w:t>
            </w:r>
          </w:p>
        </w:tc>
      </w:tr>
      <w:tr>
        <w:trPr>
          <w:cantSplit/>
        </w:trPr>
        <w:tc>
          <w:tcPr>
            <w:tcW w:type="dxa" w:w="1512"/>
          </w:tcPr>
          <w:p>
            <w:pPr>
              <w:spacing w:after="60" w:before="60"/>
            </w:pPr>
            <w:r>
              <w:rPr>
                <w:sz w:val="16"/>
              </w:rPr>
              <w:t>Metadata database</w:t>
            </w:r>
          </w:p>
        </w:tc>
        <w:tc>
          <w:tcPr>
            <w:tcW w:type="dxa" w:w="3240"/>
          </w:tcPr>
          <w:p>
            <w:pPr>
              <w:spacing w:after="60" w:before="60"/>
            </w:pPr>
            <w:r>
              <w:rPr>
                <w:sz w:val="16"/>
              </w:rPr>
              <w:t>Supabase PostgreSQL, India region</w:t>
            </w:r>
          </w:p>
        </w:tc>
        <w:tc>
          <w:tcPr>
            <w:tcW w:type="dxa" w:w="5328"/>
          </w:tcPr>
          <w:p>
            <w:pPr>
              <w:spacing w:after="60" w:before="60"/>
            </w:pPr>
            <w:r>
              <w:rPr>
                <w:sz w:val="16"/>
              </w:rPr>
              <w:t>Application tracking, ownership and evaluation processing state.</w:t>
            </w:r>
          </w:p>
        </w:tc>
      </w:tr>
      <w:tr>
        <w:trPr>
          <w:cantSplit/>
        </w:trPr>
        <w:tc>
          <w:tcPr>
            <w:tcW w:type="dxa" w:w="1512"/>
            <w:shd w:fill="F0F6FA"/>
          </w:tcPr>
          <w:p>
            <w:pPr>
              <w:spacing w:after="60" w:before="60"/>
            </w:pPr>
            <w:r>
              <w:rPr>
                <w:sz w:val="16"/>
              </w:rPr>
              <w:t>Resume storage</w:t>
            </w:r>
          </w:p>
        </w:tc>
        <w:tc>
          <w:tcPr>
            <w:tcW w:type="dxa" w:w="3240"/>
            <w:shd w:fill="F0F6FA"/>
          </w:tcPr>
          <w:p>
            <w:pPr>
              <w:spacing w:after="60" w:before="60"/>
            </w:pPr>
            <w:r>
              <w:rPr>
                <w:sz w:val="16"/>
              </w:rPr>
              <w:t>Azure Blob Storage</w:t>
            </w:r>
          </w:p>
        </w:tc>
        <w:tc>
          <w:tcPr>
            <w:tcW w:type="dxa" w:w="5328"/>
            <w:shd w:fill="F0F6FA"/>
          </w:tcPr>
          <w:p>
            <w:pPr>
              <w:spacing w:after="60" w:before="60"/>
            </w:pPr>
            <w:r>
              <w:rPr>
                <w:sz w:val="16"/>
              </w:rPr>
              <w:t>Private storage of uploaded resumes.</w:t>
            </w:r>
          </w:p>
        </w:tc>
      </w:tr>
      <w:tr>
        <w:trPr>
          <w:cantSplit/>
        </w:trPr>
        <w:tc>
          <w:tcPr>
            <w:tcW w:type="dxa" w:w="1512"/>
          </w:tcPr>
          <w:p>
            <w:pPr>
              <w:spacing w:after="60" w:before="60"/>
            </w:pPr>
            <w:r>
              <w:rPr>
                <w:sz w:val="16"/>
              </w:rPr>
              <w:t>AI</w:t>
            </w:r>
          </w:p>
        </w:tc>
        <w:tc>
          <w:tcPr>
            <w:tcW w:type="dxa" w:w="3240"/>
          </w:tcPr>
          <w:p>
            <w:pPr>
              <w:spacing w:after="60" w:before="60"/>
            </w:pPr>
            <w:r>
              <w:rPr>
                <w:sz w:val="16"/>
              </w:rPr>
              <w:t>Azure AI Foundry; GPT-5.4-mini deployment</w:t>
            </w:r>
          </w:p>
        </w:tc>
        <w:tc>
          <w:tcPr>
            <w:tcW w:type="dxa" w:w="5328"/>
          </w:tcPr>
          <w:p>
            <w:pPr>
              <w:spacing w:after="60" w:before="60"/>
            </w:pPr>
            <w:r>
              <w:rPr>
                <w:sz w:val="16"/>
              </w:rPr>
              <w:t>Resume-to-job evidence evaluation.</w:t>
            </w:r>
          </w:p>
        </w:tc>
      </w:tr>
      <w:tr>
        <w:trPr>
          <w:cantSplit/>
        </w:trPr>
        <w:tc>
          <w:tcPr>
            <w:tcW w:type="dxa" w:w="1512"/>
            <w:shd w:fill="F0F6FA"/>
          </w:tcPr>
          <w:p>
            <w:pPr>
              <w:spacing w:after="60" w:before="60"/>
            </w:pPr>
            <w:r>
              <w:rPr>
                <w:sz w:val="16"/>
              </w:rPr>
              <w:t>Background jobs</w:t>
            </w:r>
          </w:p>
        </w:tc>
        <w:tc>
          <w:tcPr>
            <w:tcW w:type="dxa" w:w="3240"/>
            <w:shd w:fill="F0F6FA"/>
          </w:tcPr>
          <w:p>
            <w:pPr>
              <w:spacing w:after="60" w:before="60"/>
            </w:pPr>
            <w:r>
              <w:rPr>
                <w:sz w:val="16"/>
              </w:rPr>
              <w:t>Redis and ARQ</w:t>
            </w:r>
          </w:p>
        </w:tc>
        <w:tc>
          <w:tcPr>
            <w:tcW w:type="dxa" w:w="5328"/>
            <w:shd w:fill="F0F6FA"/>
          </w:tcPr>
          <w:p>
            <w:pPr>
              <w:spacing w:after="60" w:before="60"/>
            </w:pPr>
            <w:r>
              <w:rPr>
                <w:sz w:val="16"/>
              </w:rPr>
              <w:t>Asynchronous evaluation processing.</w:t>
            </w:r>
          </w:p>
        </w:tc>
      </w:tr>
      <w:tr>
        <w:trPr>
          <w:cantSplit/>
        </w:trPr>
        <w:tc>
          <w:tcPr>
            <w:tcW w:type="dxa" w:w="1512"/>
          </w:tcPr>
          <w:p>
            <w:pPr>
              <w:spacing w:after="60" w:before="60"/>
            </w:pPr>
            <w:r>
              <w:rPr>
                <w:sz w:val="16"/>
              </w:rPr>
              <w:t>Web and packaging</w:t>
            </w:r>
          </w:p>
        </w:tc>
        <w:tc>
          <w:tcPr>
            <w:tcW w:type="dxa" w:w="3240"/>
          </w:tcPr>
          <w:p>
            <w:pPr>
              <w:spacing w:after="60" w:before="60"/>
            </w:pPr>
            <w:r>
              <w:rPr>
                <w:sz w:val="16"/>
              </w:rPr>
              <w:t>Nginx, Docker and Supervisor</w:t>
            </w:r>
          </w:p>
        </w:tc>
        <w:tc>
          <w:tcPr>
            <w:tcW w:type="dxa" w:w="5328"/>
          </w:tcPr>
          <w:p>
            <w:pPr>
              <w:spacing w:after="60" w:before="60"/>
            </w:pPr>
            <w:r>
              <w:rPr>
                <w:sz w:val="16"/>
              </w:rPr>
              <w:t>Frontend serving, API routing and container process management.</w:t>
            </w:r>
          </w:p>
        </w:tc>
      </w:tr>
      <w:tr>
        <w:trPr>
          <w:cantSplit/>
        </w:trPr>
        <w:tc>
          <w:tcPr>
            <w:tcW w:type="dxa" w:w="1512"/>
            <w:shd w:fill="F0F6FA"/>
          </w:tcPr>
          <w:p>
            <w:pPr>
              <w:spacing w:after="60" w:before="60"/>
            </w:pPr>
            <w:r>
              <w:rPr>
                <w:sz w:val="16"/>
              </w:rPr>
              <w:t>Automation</w:t>
            </w:r>
          </w:p>
        </w:tc>
        <w:tc>
          <w:tcPr>
            <w:tcW w:type="dxa" w:w="3240"/>
            <w:shd w:fill="F0F6FA"/>
          </w:tcPr>
          <w:p>
            <w:pPr>
              <w:spacing w:after="60" w:before="60"/>
            </w:pPr>
            <w:r>
              <w:rPr>
                <w:sz w:val="16"/>
              </w:rPr>
              <w:t>GitHub Actions; hosted Ubuntu runners</w:t>
            </w:r>
          </w:p>
        </w:tc>
        <w:tc>
          <w:tcPr>
            <w:tcW w:type="dxa" w:w="5328"/>
            <w:shd w:fill="F0F6FA"/>
          </w:tcPr>
          <w:p>
            <w:pPr>
              <w:spacing w:after="60" w:before="60"/>
            </w:pPr>
            <w:r>
              <w:rPr>
                <w:sz w:val="16"/>
              </w:rPr>
              <w:t>Checks, Docker image publishing and deployment.</w:t>
            </w:r>
          </w:p>
        </w:tc>
      </w:tr>
    </w:tbl>
    <w:p>
      <w:pPr>
        <w:spacing w:after="0"/>
      </w:pPr>
    </w:p>
    <w:p>
      <w:pPr>
        <w:pStyle w:val="Heading1"/>
      </w:pPr>
      <w:r>
        <w:t>Application flow</w:t>
      </w:r>
    </w:p>
    <w:p>
      <w:r>
        <w:t>1. Candidates browse job requirements retrieved from D365 and sign in through LinkedIn OpenID Connect.</w:t>
      </w:r>
    </w:p>
    <w:p>
      <w:r>
        <w:t>2. Candidates confirm their details, upload a PDF/DOCX resume and provide recruitment consent.</w:t>
      </w:r>
    </w:p>
    <w:p>
      <w:r>
        <w:t>3. The backend stores the resume in private Blob Storage, submits the recruitment record to D365 and records processing metadata in PostgreSQL.</w:t>
      </w:r>
    </w:p>
    <w:p>
      <w:r>
        <w:t>4. A background worker compares the resume against the job requirement and prepares scores, supporting evidence and gaps.</w:t>
      </w:r>
    </w:p>
    <w:p>
      <w:r>
        <w:t>5. Authorized HR users review candidates and results through /hr. Hiring decisions remain with HR.</w:t>
      </w:r>
    </w:p>
    <w:p>
      <w:pPr>
        <w:pStyle w:val="Heading1"/>
      </w:pPr>
      <w:r>
        <w:t>Architecture</w:t>
      </w:r>
    </w:p>
    <w:p>
      <w:r>
        <w:t>Browser &gt; Azure App Service / Nginx &gt; FastAPI &gt; D365, PostgreSQL and Blob Storage. Redis / ARQ process AI evaluation in the background through Azure AI Foundry.</w:t>
      </w:r>
    </w:p>
    <w:p>
      <w:r>
        <w:br w:type="page"/>
      </w:r>
    </w:p>
    <w:p>
      <w:pPr>
        <w:pStyle w:val="Heading1"/>
      </w:pPr>
      <w:r>
        <w:t>Azure hosting</w:t>
      </w:r>
    </w:p>
    <w:p>
      <w:r>
        <w:t>A single Docker image contains the built frontend, FastAPI backend, Nginx, ARQ worker and Redis. Supervisor manages these processes. App Service terminates public HTTPS and forwards requests to container port 8080. This is a single-instance deployment approach.</w:t>
      </w:r>
    </w:p>
    <w:tbl>
      <w:tblPr>
        <w:tblW w:type="auto" w:w="0"/>
        <w:tblLayout w:type="fixed"/>
        <w:tblLook w:firstColumn="1" w:firstRow="1" w:lastColumn="0" w:lastRow="0" w:noHBand="0" w:noVBand="1" w:val="04A0"/>
      </w:tblPr>
      <w:tblGrid>
        <w:gridCol w:w="3394"/>
        <w:gridCol w:w="3394"/>
        <w:gridCol w:w="3394"/>
      </w:tblGrid>
      <w:tr>
        <w:trPr>
          <w:tblHeader/>
        </w:trPr>
        <w:tc>
          <w:tcPr>
            <w:tcW w:type="dxa" w:w="1728"/>
            <w:shd w:fill="103C59"/>
          </w:tcPr>
          <w:p>
            <w:pPr>
              <w:spacing w:after="60" w:before="60"/>
            </w:pPr>
            <w:r>
              <w:rPr>
                <w:b/>
                <w:color w:val="FFFFFF"/>
                <w:sz w:val="16"/>
              </w:rPr>
              <w:t>Service</w:t>
            </w:r>
          </w:p>
        </w:tc>
        <w:tc>
          <w:tcPr>
            <w:tcW w:type="dxa" w:w="3456"/>
            <w:shd w:fill="103C59"/>
          </w:tcPr>
          <w:p>
            <w:pPr>
              <w:spacing w:after="60" w:before="60"/>
            </w:pPr>
            <w:r>
              <w:rPr>
                <w:b/>
                <w:color w:val="FFFFFF"/>
                <w:sz w:val="16"/>
              </w:rPr>
              <w:t>Resource</w:t>
            </w:r>
          </w:p>
        </w:tc>
        <w:tc>
          <w:tcPr>
            <w:tcW w:type="dxa" w:w="4896"/>
            <w:shd w:fill="103C59"/>
          </w:tcPr>
          <w:p>
            <w:pPr>
              <w:spacing w:after="60" w:before="60"/>
            </w:pPr>
            <w:r>
              <w:rPr>
                <w:b/>
                <w:color w:val="FFFFFF"/>
                <w:sz w:val="16"/>
              </w:rPr>
              <w:t>Purpose</w:t>
            </w:r>
          </w:p>
        </w:tc>
      </w:tr>
      <w:tr>
        <w:trPr>
          <w:cantSplit/>
        </w:trPr>
        <w:tc>
          <w:tcPr>
            <w:tcW w:type="dxa" w:w="1728"/>
            <w:shd w:fill="F0F6FA"/>
          </w:tcPr>
          <w:p>
            <w:pPr>
              <w:spacing w:after="60" w:before="60"/>
            </w:pPr>
            <w:r>
              <w:rPr>
                <w:sz w:val="16"/>
              </w:rPr>
              <w:t>Resource group</w:t>
            </w:r>
          </w:p>
        </w:tc>
        <w:tc>
          <w:tcPr>
            <w:tcW w:type="dxa" w:w="3456"/>
            <w:shd w:fill="F0F6FA"/>
          </w:tcPr>
          <w:p>
            <w:pPr>
              <w:spacing w:after="60" w:before="60"/>
            </w:pPr>
            <w:r>
              <w:rPr>
                <w:sz w:val="16"/>
              </w:rPr>
              <w:t>ubti-hrprocess-rg</w:t>
            </w:r>
          </w:p>
        </w:tc>
        <w:tc>
          <w:tcPr>
            <w:tcW w:type="dxa" w:w="4896"/>
            <w:shd w:fill="F0F6FA"/>
          </w:tcPr>
          <w:p>
            <w:pPr>
              <w:spacing w:after="60" w:before="60"/>
            </w:pPr>
            <w:r>
              <w:rPr>
                <w:sz w:val="16"/>
              </w:rPr>
              <w:t>Groups the project Azure resources.</w:t>
            </w:r>
          </w:p>
        </w:tc>
      </w:tr>
      <w:tr>
        <w:trPr>
          <w:cantSplit/>
        </w:trPr>
        <w:tc>
          <w:tcPr>
            <w:tcW w:type="dxa" w:w="1728"/>
          </w:tcPr>
          <w:p>
            <w:pPr>
              <w:spacing w:after="60" w:before="60"/>
            </w:pPr>
            <w:r>
              <w:rPr>
                <w:sz w:val="16"/>
              </w:rPr>
              <w:t>Linux App Service</w:t>
            </w:r>
          </w:p>
        </w:tc>
        <w:tc>
          <w:tcPr>
            <w:tcW w:type="dxa" w:w="3456"/>
          </w:tcPr>
          <w:p>
            <w:pPr>
              <w:spacing w:after="60" w:before="60"/>
            </w:pPr>
            <w:r>
              <w:rPr>
                <w:sz w:val="16"/>
              </w:rPr>
              <w:t>ubtihrprocess</w:t>
            </w:r>
          </w:p>
        </w:tc>
        <w:tc>
          <w:tcPr>
            <w:tcW w:type="dxa" w:w="4896"/>
          </w:tcPr>
          <w:p>
            <w:pPr>
              <w:spacing w:after="60" w:before="60"/>
            </w:pPr>
            <w:r>
              <w:rPr>
                <w:sz w:val="16"/>
              </w:rPr>
              <w:t>Hosts the application container.</w:t>
            </w:r>
          </w:p>
        </w:tc>
      </w:tr>
      <w:tr>
        <w:trPr>
          <w:cantSplit/>
        </w:trPr>
        <w:tc>
          <w:tcPr>
            <w:tcW w:type="dxa" w:w="1728"/>
            <w:shd w:fill="F0F6FA"/>
          </w:tcPr>
          <w:p>
            <w:pPr>
              <w:spacing w:after="60" w:before="60"/>
            </w:pPr>
            <w:r>
              <w:rPr>
                <w:sz w:val="16"/>
              </w:rPr>
              <w:t>App Service Plan</w:t>
            </w:r>
          </w:p>
        </w:tc>
        <w:tc>
          <w:tcPr>
            <w:tcW w:type="dxa" w:w="3456"/>
            <w:shd w:fill="F0F6FA"/>
          </w:tcPr>
          <w:p>
            <w:pPr>
              <w:spacing w:after="60" w:before="60"/>
            </w:pPr>
            <w:r>
              <w:rPr>
                <w:sz w:val="16"/>
              </w:rPr>
              <w:t>ubti-hrprocess</w:t>
            </w:r>
          </w:p>
        </w:tc>
        <w:tc>
          <w:tcPr>
            <w:tcW w:type="dxa" w:w="4896"/>
            <w:shd w:fill="F0F6FA"/>
          </w:tcPr>
          <w:p>
            <w:pPr>
              <w:spacing w:after="60" w:before="60"/>
            </w:pPr>
            <w:r>
              <w:rPr>
                <w:sz w:val="16"/>
              </w:rPr>
              <w:t>Provides hosting compute.</w:t>
            </w:r>
          </w:p>
        </w:tc>
      </w:tr>
      <w:tr>
        <w:trPr>
          <w:cantSplit/>
        </w:trPr>
        <w:tc>
          <w:tcPr>
            <w:tcW w:type="dxa" w:w="1728"/>
          </w:tcPr>
          <w:p>
            <w:pPr>
              <w:spacing w:after="60" w:before="60"/>
            </w:pPr>
            <w:r>
              <w:rPr>
                <w:sz w:val="16"/>
              </w:rPr>
              <w:t>Container Registry</w:t>
            </w:r>
          </w:p>
        </w:tc>
        <w:tc>
          <w:tcPr>
            <w:tcW w:type="dxa" w:w="3456"/>
          </w:tcPr>
          <w:p>
            <w:pPr>
              <w:spacing w:after="60" w:before="60"/>
            </w:pPr>
            <w:r>
              <w:rPr>
                <w:sz w:val="16"/>
              </w:rPr>
              <w:t>hrprocess; image repository ubticareers</w:t>
            </w:r>
          </w:p>
        </w:tc>
        <w:tc>
          <w:tcPr>
            <w:tcW w:type="dxa" w:w="4896"/>
          </w:tcPr>
          <w:p>
            <w:pPr>
              <w:spacing w:after="60" w:before="60"/>
            </w:pPr>
            <w:r>
              <w:rPr>
                <w:sz w:val="16"/>
              </w:rPr>
              <w:t>Stores versioned deployment images.</w:t>
            </w:r>
          </w:p>
        </w:tc>
      </w:tr>
      <w:tr>
        <w:trPr>
          <w:cantSplit/>
        </w:trPr>
        <w:tc>
          <w:tcPr>
            <w:tcW w:type="dxa" w:w="1728"/>
            <w:shd w:fill="F0F6FA"/>
          </w:tcPr>
          <w:p>
            <w:pPr>
              <w:spacing w:after="60" w:before="60"/>
            </w:pPr>
            <w:r>
              <w:rPr>
                <w:sz w:val="16"/>
              </w:rPr>
              <w:t>Blob Storage</w:t>
            </w:r>
          </w:p>
        </w:tc>
        <w:tc>
          <w:tcPr>
            <w:tcW w:type="dxa" w:w="3456"/>
            <w:shd w:fill="F0F6FA"/>
          </w:tcPr>
          <w:p>
            <w:pPr>
              <w:spacing w:after="60" w:before="60"/>
            </w:pPr>
            <w:r>
              <w:rPr>
                <w:sz w:val="16"/>
              </w:rPr>
              <w:t>Storage account hrprocess; private container hrprocess</w:t>
            </w:r>
          </w:p>
        </w:tc>
        <w:tc>
          <w:tcPr>
            <w:tcW w:type="dxa" w:w="4896"/>
            <w:shd w:fill="F0F6FA"/>
          </w:tcPr>
          <w:p>
            <w:pPr>
              <w:spacing w:after="60" w:before="60"/>
            </w:pPr>
            <w:r>
              <w:rPr>
                <w:sz w:val="16"/>
              </w:rPr>
              <w:t>Stores candidate resumes.</w:t>
            </w:r>
          </w:p>
        </w:tc>
      </w:tr>
      <w:tr>
        <w:trPr>
          <w:cantSplit/>
        </w:trPr>
        <w:tc>
          <w:tcPr>
            <w:tcW w:type="dxa" w:w="1728"/>
          </w:tcPr>
          <w:p>
            <w:pPr>
              <w:spacing w:after="60" w:before="60"/>
            </w:pPr>
            <w:r>
              <w:rPr>
                <w:sz w:val="16"/>
              </w:rPr>
              <w:t>AI Foundry deployment</w:t>
            </w:r>
          </w:p>
        </w:tc>
        <w:tc>
          <w:tcPr>
            <w:tcW w:type="dxa" w:w="3456"/>
          </w:tcPr>
          <w:p>
            <w:pPr>
              <w:spacing w:after="60" w:before="60"/>
            </w:pPr>
            <w:r>
              <w:rPr>
                <w:sz w:val="16"/>
              </w:rPr>
              <w:t>gpt-5.4-mini</w:t>
            </w:r>
          </w:p>
        </w:tc>
        <w:tc>
          <w:tcPr>
            <w:tcW w:type="dxa" w:w="4896"/>
          </w:tcPr>
          <w:p>
            <w:pPr>
              <w:spacing w:after="60" w:before="60"/>
            </w:pPr>
            <w:r>
              <w:rPr>
                <w:sz w:val="16"/>
              </w:rPr>
              <w:t>Provides model inference; end-to-end integration requires confirmation.</w:t>
            </w:r>
          </w:p>
        </w:tc>
      </w:tr>
    </w:tbl>
    <w:p>
      <w:pPr>
        <w:spacing w:after="0"/>
      </w:pPr>
    </w:p>
    <w:p>
      <w:pPr>
        <w:pStyle w:val="Heading1"/>
      </w:pPr>
      <w:r>
        <w:t>CI/CD approach</w:t>
      </w:r>
    </w:p>
    <w:p>
      <w:r>
        <w:t>Source repository: https://github.com/d365-hrprocess/hrprocess</w:t>
      </w:r>
    </w:p>
    <w:p>
      <w:r>
        <w:t>1. A push to main triggers backend/frontend checks and browser smoke tests on a GitHub-hosted Ubuntu runner.</w:t>
      </w:r>
    </w:p>
    <w:p>
      <w:r>
        <w:t>2. After successful checks, the deployment workflow authenticates to Azure using GitHub OIDC federation.</w:t>
      </w:r>
    </w:p>
    <w:p>
      <w:r>
        <w:t>3. Docker builds the verified commit and pushes the image to ACR, tagged with its Git commit.</w:t>
      </w:r>
    </w:p>
    <w:p>
      <w:r>
        <w:t>4. The workflow updates the App Service main container using the image digest and restarts it.</w:t>
      </w:r>
    </w:p>
    <w:p>
      <w:r>
        <w:t>5. The pipeline checks /healthz for application readiness and the expected deployed revision.</w:t>
      </w:r>
    </w:p>
    <w:p>
      <w:pPr>
        <w:pStyle w:val="Heading1"/>
      </w:pPr>
      <w:r>
        <w:t>Access and configuration</w:t>
      </w:r>
    </w:p>
    <w:tbl>
      <w:tblPr>
        <w:tblW w:type="auto" w:w="0"/>
        <w:tblLayout w:type="fixed"/>
        <w:tblLook w:firstColumn="1" w:firstRow="1" w:lastColumn="0" w:lastRow="0" w:noHBand="0" w:noVBand="1" w:val="04A0"/>
      </w:tblPr>
      <w:tblGrid>
        <w:gridCol w:w="3394"/>
        <w:gridCol w:w="3394"/>
        <w:gridCol w:w="3394"/>
      </w:tblGrid>
      <w:tr>
        <w:trPr>
          <w:tblHeader/>
        </w:trPr>
        <w:tc>
          <w:tcPr>
            <w:tcW w:type="dxa" w:w="2016"/>
            <w:shd w:fill="103C59"/>
          </w:tcPr>
          <w:p>
            <w:pPr>
              <w:spacing w:after="60" w:before="60"/>
            </w:pPr>
            <w:r>
              <w:rPr>
                <w:b/>
                <w:color w:val="FFFFFF"/>
                <w:sz w:val="16"/>
              </w:rPr>
              <w:t>Identity</w:t>
            </w:r>
          </w:p>
        </w:tc>
        <w:tc>
          <w:tcPr>
            <w:tcW w:type="dxa" w:w="3024"/>
            <w:shd w:fill="103C59"/>
          </w:tcPr>
          <w:p>
            <w:pPr>
              <w:spacing w:after="60" w:before="60"/>
            </w:pPr>
            <w:r>
              <w:rPr>
                <w:b/>
                <w:color w:val="FFFFFF"/>
                <w:sz w:val="16"/>
              </w:rPr>
              <w:t>Name / configuration</w:t>
            </w:r>
          </w:p>
        </w:tc>
        <w:tc>
          <w:tcPr>
            <w:tcW w:type="dxa" w:w="5040"/>
            <w:shd w:fill="103C59"/>
          </w:tcPr>
          <w:p>
            <w:pPr>
              <w:spacing w:after="60" w:before="60"/>
            </w:pPr>
            <w:r>
              <w:rPr>
                <w:b/>
                <w:color w:val="FFFFFF"/>
                <w:sz w:val="16"/>
              </w:rPr>
              <w:t>Required access</w:t>
            </w:r>
          </w:p>
        </w:tc>
      </w:tr>
      <w:tr>
        <w:trPr>
          <w:cantSplit/>
        </w:trPr>
        <w:tc>
          <w:tcPr>
            <w:tcW w:type="dxa" w:w="2016"/>
            <w:shd w:fill="F0F6FA"/>
          </w:tcPr>
          <w:p>
            <w:pPr>
              <w:spacing w:after="60" w:before="60"/>
            </w:pPr>
            <w:r>
              <w:rPr>
                <w:sz w:val="16"/>
              </w:rPr>
              <w:t>GitHub deployment identity</w:t>
            </w:r>
          </w:p>
        </w:tc>
        <w:tc>
          <w:tcPr>
            <w:tcW w:type="dxa" w:w="3024"/>
            <w:shd w:fill="F0F6FA"/>
          </w:tcPr>
          <w:p>
            <w:pPr>
              <w:spacing w:after="60" w:before="60"/>
            </w:pPr>
            <w:r>
              <w:rPr>
                <w:sz w:val="16"/>
              </w:rPr>
              <w:t>ubticareers-github-actions</w:t>
            </w:r>
          </w:p>
        </w:tc>
        <w:tc>
          <w:tcPr>
            <w:tcW w:type="dxa" w:w="5040"/>
            <w:shd w:fill="F0F6FA"/>
          </w:tcPr>
          <w:p>
            <w:pPr>
              <w:spacing w:after="60" w:before="60"/>
            </w:pPr>
            <w:r>
              <w:rPr>
                <w:sz w:val="16"/>
              </w:rPr>
              <w:t>Reader + AcrPush on ACR; Website Contributor on App Service.</w:t>
            </w:r>
          </w:p>
        </w:tc>
      </w:tr>
      <w:tr>
        <w:trPr>
          <w:cantSplit/>
        </w:trPr>
        <w:tc>
          <w:tcPr>
            <w:tcW w:type="dxa" w:w="2016"/>
          </w:tcPr>
          <w:p>
            <w:pPr>
              <w:spacing w:after="60" w:before="60"/>
            </w:pPr>
            <w:r>
              <w:rPr>
                <w:sz w:val="16"/>
              </w:rPr>
              <w:t>App Service managed identity</w:t>
            </w:r>
          </w:p>
        </w:tc>
        <w:tc>
          <w:tcPr>
            <w:tcW w:type="dxa" w:w="3024"/>
          </w:tcPr>
          <w:p>
            <w:pPr>
              <w:spacing w:after="60" w:before="60"/>
            </w:pPr>
            <w:r>
              <w:rPr>
                <w:sz w:val="16"/>
              </w:rPr>
              <w:t>Identity of ubtihrprocess</w:t>
            </w:r>
          </w:p>
        </w:tc>
        <w:tc>
          <w:tcPr>
            <w:tcW w:type="dxa" w:w="5040"/>
          </w:tcPr>
          <w:p>
            <w:pPr>
              <w:spacing w:after="60" w:before="60"/>
            </w:pPr>
            <w:r>
              <w:rPr>
                <w:sz w:val="16"/>
              </w:rPr>
              <w:t>AcrPull on ACR to download deployment images.</w:t>
            </w:r>
          </w:p>
        </w:tc>
      </w:tr>
      <w:tr>
        <w:trPr>
          <w:cantSplit/>
        </w:trPr>
        <w:tc>
          <w:tcPr>
            <w:tcW w:type="dxa" w:w="2016"/>
            <w:shd w:fill="F0F6FA"/>
          </w:tcPr>
          <w:p>
            <w:pPr>
              <w:spacing w:after="60" w:before="60"/>
            </w:pPr>
            <w:r>
              <w:rPr>
                <w:sz w:val="16"/>
              </w:rPr>
              <w:t>Application runtime</w:t>
            </w:r>
          </w:p>
        </w:tc>
        <w:tc>
          <w:tcPr>
            <w:tcW w:type="dxa" w:w="3024"/>
            <w:shd w:fill="F0F6FA"/>
          </w:tcPr>
          <w:p>
            <w:pPr>
              <w:spacing w:after="60" w:before="60"/>
            </w:pPr>
            <w:r>
              <w:rPr>
                <w:sz w:val="16"/>
              </w:rPr>
              <w:t>App Service environment settings</w:t>
            </w:r>
          </w:p>
        </w:tc>
        <w:tc>
          <w:tcPr>
            <w:tcW w:type="dxa" w:w="5040"/>
            <w:shd w:fill="F0F6FA"/>
          </w:tcPr>
          <w:p>
            <w:pPr>
              <w:spacing w:after="60" w:before="60"/>
            </w:pPr>
            <w:r>
              <w:rPr>
                <w:sz w:val="16"/>
              </w:rPr>
              <w:t>D365, LinkedIn, PostgreSQL, storage and AI credentials/configuration.</w:t>
            </w:r>
          </w:p>
        </w:tc>
      </w:tr>
    </w:tbl>
    <w:p>
      <w:pPr>
        <w:spacing w:after="0"/>
      </w:pPr>
    </w:p>
    <w:p>
      <w:r>
        <w:t>The frontend receives no integration secrets. Runtime credentials are held in App Service settings; PostgreSQL uses TLS certificate verification. Blob access is private. GitHub federation avoids a stored Azure client secret. The HR route requires server-enforced authorization.</w:t>
      </w:r>
    </w:p>
    <w:p>
      <w:pPr>
        <w:pStyle w:val="Heading1"/>
      </w:pPr>
      <w:r>
        <w:t>Verification status</w:t>
      </w:r>
    </w:p>
    <w:p>
      <w:r>
        <w:t>Hosting was reported operational. CI/CD is configured; the latest supplied run passed Azure login and stopped at ACR discovery. A successful automated deployment and end-to-end model evaluation have not yet been confirmed.</w:t>
      </w:r>
    </w:p>
    <w:sectPr w:rsidR="00FC693F" w:rsidRPr="0006063C" w:rsidSect="00034616">
      <w:footerReference w:type="default" r:id="rId9"/>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77A"/>
        <w:sz w:val="16"/>
      </w:rPr>
      <w:t>UBTI  |  ubticareers technical overview</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Open Sans" w:hAnsi="Ope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Open Sans" w:hAnsi="Open Sans"/>
      <w:b/>
      <w:bCs/>
      <w:color w:val="103C59"/>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Open Sans" w:hAnsi="Open Sans"/>
      <w:b/>
      <w:bCs/>
      <w:color w:val="103C5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Open Sans" w:hAnsi="Open Sans"/>
      <w:color w:val="103C5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