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2.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Open</w:t>
      </w:r>
      <w:r>
        <w:t xml:space="preserve"> </w:t>
      </w:r>
      <w:r>
        <w:t xml:space="preserve">Pediatric</w:t>
      </w:r>
      <w:r>
        <w:t xml:space="preserve"> </w:t>
      </w:r>
      <w:r>
        <w:t xml:space="preserve">Cancer</w:t>
      </w:r>
      <w:r>
        <w:t xml:space="preserve"> </w:t>
      </w:r>
      <w:r>
        <w:t xml:space="preserve">Project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d3b-center/OpenPedCan-manuscript@6755f2c</w:t>
        </w:r>
      </w:hyperlink>
      <w:r>
        <w:t xml:space="preserve"> </w:t>
      </w:r>
      <w:r>
        <w:t xml:space="preserve">on 2024-06-05.</w:t>
      </w:r>
      <w:r>
        <w:t xml:space="preserve"> </w:t>
      </w:r>
    </w:p>
    <w:bookmarkStart w:id="245" w:name="authors"/>
    <w:p>
      <w:pPr>
        <w:pStyle w:val="Heading2"/>
      </w:pPr>
      <w:r>
        <w:t xml:space="preserve">Authors</w:t>
      </w:r>
    </w:p>
    <w:p>
      <w:pPr>
        <w:numPr>
          <w:ilvl w:val="0"/>
          <w:numId w:val="1001"/>
        </w:numPr>
      </w:pPr>
      <w:r>
        <w:rPr>
          <w:bCs/>
          <w:b/>
        </w:rPr>
        <w:t xml:space="preserve">Zhuangzhuang Geng</w:t>
      </w:r>
      <w:r>
        <w:t xml:space="preserve"> </w:t>
      </w:r>
      <w:r>
        <w:drawing>
          <wp:inline>
            <wp:extent cx="203200" cy="203200"/>
            <wp:effectExtent b="0" l="0" r="0" t="0"/>
            <wp:docPr descr="ORCID icon" title="" id="23" name="Picture"/>
            <a:graphic>
              <a:graphicData uri="http://schemas.openxmlformats.org/drawingml/2006/picture">
                <pic:pic>
                  <pic:nvPicPr>
                    <pic:cNvPr descr="images/orcid.png" id="2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5">
        <w:r>
          <w:rPr>
            <w:rStyle w:val="Hyperlink"/>
          </w:rPr>
          <w:t xml:space="preserve">0009-0007-6883-0691</w:t>
        </w:r>
      </w:hyperlink>
      <w:r>
        <w:t xml:space="preserve"> </w:t>
      </w:r>
      <w:r>
        <w:t xml:space="preserve">·</w:t>
      </w:r>
      <w:r>
        <w:t xml:space="preserve"> </w:t>
      </w:r>
      <w:r>
        <w:drawing>
          <wp:inline>
            <wp:extent cx="203200" cy="203200"/>
            <wp:effectExtent b="0" l="0" r="0" t="0"/>
            <wp:docPr descr="GitHub icon" title="" id="27" name="Picture"/>
            <a:graphic>
              <a:graphicData uri="http://schemas.openxmlformats.org/drawingml/2006/picture">
                <pic:pic>
                  <pic:nvPicPr>
                    <pic:cNvPr descr="images/github.png" id="28"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9">
        <w:r>
          <w:rPr>
            <w:rStyle w:val="Hyperlink"/>
          </w:rPr>
          <w:t xml:space="preserve">zzgeng</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Eric Wafula</w:t>
      </w:r>
      <w:r>
        <w:t xml:space="preserve"> </w:t>
      </w:r>
      <w:r>
        <w:drawing>
          <wp:inline>
            <wp:extent cx="203200" cy="203200"/>
            <wp:effectExtent b="0" l="0" r="0" t="0"/>
            <wp:docPr descr="ORCID icon" title="" id="30" name="Picture"/>
            <a:graphic>
              <a:graphicData uri="http://schemas.openxmlformats.org/drawingml/2006/picture">
                <pic:pic>
                  <pic:nvPicPr>
                    <pic:cNvPr descr="images/orcid.png" id="3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2">
        <w:r>
          <w:rPr>
            <w:rStyle w:val="Hyperlink"/>
          </w:rPr>
          <w:t xml:space="preserve">0000-0001-8073-3797</w:t>
        </w:r>
      </w:hyperlink>
      <w:r>
        <w:t xml:space="preserve"> </w:t>
      </w:r>
      <w:r>
        <w:t xml:space="preserve">·</w:t>
      </w:r>
      <w:r>
        <w:t xml:space="preserve"> </w:t>
      </w:r>
      <w:r>
        <w:drawing>
          <wp:inline>
            <wp:extent cx="203200" cy="203200"/>
            <wp:effectExtent b="0" l="0" r="0" t="0"/>
            <wp:docPr descr="GitHub icon" title="" id="33" name="Picture"/>
            <a:graphic>
              <a:graphicData uri="http://schemas.openxmlformats.org/drawingml/2006/picture">
                <pic:pic>
                  <pic:nvPicPr>
                    <pic:cNvPr descr="images/github.png" id="34"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5">
        <w:r>
          <w:rPr>
            <w:rStyle w:val="Hyperlink"/>
          </w:rPr>
          <w:t xml:space="preserve">ewafula</w:t>
        </w:r>
      </w:hyperlink>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Yuanchao Zhang</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Ryan J. Corbett</w:t>
      </w:r>
      <w:r>
        <w:t xml:space="preserve"> </w:t>
      </w:r>
      <w:r>
        <w:drawing>
          <wp:inline>
            <wp:extent cx="203200" cy="203200"/>
            <wp:effectExtent b="0" l="0" r="0" t="0"/>
            <wp:docPr descr="ORCID icon" title="" id="36" name="Picture"/>
            <a:graphic>
              <a:graphicData uri="http://schemas.openxmlformats.org/drawingml/2006/picture">
                <pic:pic>
                  <pic:nvPicPr>
                    <pic:cNvPr descr="images/orcid.png" id="3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8">
        <w:r>
          <w:rPr>
            <w:rStyle w:val="Hyperlink"/>
          </w:rPr>
          <w:t xml:space="preserve">0000-0002-3478-0784</w:t>
        </w:r>
      </w:hyperlink>
      <w:r>
        <w:t xml:space="preserve"> </w:t>
      </w:r>
      <w:r>
        <w:t xml:space="preserve">·</w:t>
      </w:r>
      <w:r>
        <w:t xml:space="preserve"> </w:t>
      </w:r>
      <w:r>
        <w:drawing>
          <wp:inline>
            <wp:extent cx="203200" cy="203200"/>
            <wp:effectExtent b="0" l="0" r="0" t="0"/>
            <wp:docPr descr="GitHub icon" title="" id="39" name="Picture"/>
            <a:graphic>
              <a:graphicData uri="http://schemas.openxmlformats.org/drawingml/2006/picture">
                <pic:pic>
                  <pic:nvPicPr>
                    <pic:cNvPr descr="images/github.png" id="4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1">
        <w:r>
          <w:rPr>
            <w:rStyle w:val="Hyperlink"/>
          </w:rPr>
          <w:t xml:space="preserve">rjcorb</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Run Jin</w:t>
      </w:r>
      <w:r>
        <w:t xml:space="preserve"> </w:t>
      </w:r>
      <w:r>
        <w:drawing>
          <wp:inline>
            <wp:extent cx="203200" cy="203200"/>
            <wp:effectExtent b="0" l="0" r="0" t="0"/>
            <wp:docPr descr="ORCID icon" title="" id="42" name="Picture"/>
            <a:graphic>
              <a:graphicData uri="http://schemas.openxmlformats.org/drawingml/2006/picture">
                <pic:pic>
                  <pic:nvPicPr>
                    <pic:cNvPr descr="images/orcid.png" id="4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4">
        <w:r>
          <w:rPr>
            <w:rStyle w:val="Hyperlink"/>
          </w:rPr>
          <w:t xml:space="preserve">0000-0002-8958-9266</w:t>
        </w:r>
      </w:hyperlink>
      <w:r>
        <w:t xml:space="preserve"> </w:t>
      </w:r>
      <w:r>
        <w:t xml:space="preserve">·</w:t>
      </w:r>
      <w:r>
        <w:t xml:space="preserve"> </w:t>
      </w:r>
      <w:r>
        <w:drawing>
          <wp:inline>
            <wp:extent cx="203200" cy="203200"/>
            <wp:effectExtent b="0" l="0" r="0" t="0"/>
            <wp:docPr descr="GitHub icon" title="" id="45" name="Picture"/>
            <a:graphic>
              <a:graphicData uri="http://schemas.openxmlformats.org/drawingml/2006/picture">
                <pic:pic>
                  <pic:nvPicPr>
                    <pic:cNvPr descr="images/github.png" id="46"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7">
        <w:r>
          <w:rPr>
            <w:rStyle w:val="Hyperlink"/>
          </w:rPr>
          <w:t xml:space="preserve">runjin326</w:t>
        </w:r>
      </w:hyperlink>
      <w:r>
        <w:t xml:space="preserve"> </w:t>
      </w:r>
      <w:r>
        <w:t xml:space="preserve">·</w:t>
      </w:r>
      <w:r>
        <w:t xml:space="preserve"> </w:t>
      </w:r>
      <w:r>
        <w:drawing>
          <wp:inline>
            <wp:extent cx="203200" cy="203200"/>
            <wp:effectExtent b="0" l="0" r="0" t="0"/>
            <wp:docPr descr="Twitter icon" title="" id="49" name="Picture"/>
            <a:graphic>
              <a:graphicData uri="http://schemas.openxmlformats.org/drawingml/2006/picture">
                <pic:pic>
                  <pic:nvPicPr>
                    <pic:cNvPr descr="images/twitter.png" id="50" name="Picture"/>
                    <pic:cNvPicPr>
                      <a:picLocks noChangeArrowheads="1" noChangeAspect="1"/>
                    </pic:cNvPicPr>
                  </pic:nvPicPr>
                  <pic:blipFill>
                    <a:blip r:embed="rId48"/>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1">
        <w:r>
          <w:rPr>
            <w:rStyle w:val="Hyperlink"/>
          </w:rPr>
          <w:t xml:space="preserve">runjin</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Krutika S. Gaonkar</w:t>
      </w:r>
      <w:r>
        <w:t xml:space="preserve"> </w:t>
      </w:r>
      <w:r>
        <w:drawing>
          <wp:inline>
            <wp:extent cx="203200" cy="203200"/>
            <wp:effectExtent b="0" l="0" r="0" t="0"/>
            <wp:docPr descr="ORCID icon" title="" id="52" name="Picture"/>
            <a:graphic>
              <a:graphicData uri="http://schemas.openxmlformats.org/drawingml/2006/picture">
                <pic:pic>
                  <pic:nvPicPr>
                    <pic:cNvPr descr="images/orcid.png" id="5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4">
        <w:r>
          <w:rPr>
            <w:rStyle w:val="Hyperlink"/>
          </w:rPr>
          <w:t xml:space="preserve">0000-0003-0838-2405</w:t>
        </w:r>
      </w:hyperlink>
      <w:r>
        <w:t xml:space="preserve"> </w:t>
      </w:r>
      <w:r>
        <w:t xml:space="preserve">·</w:t>
      </w:r>
      <w:r>
        <w:t xml:space="preserve"> </w:t>
      </w:r>
      <w:r>
        <w:drawing>
          <wp:inline>
            <wp:extent cx="203200" cy="203200"/>
            <wp:effectExtent b="0" l="0" r="0" t="0"/>
            <wp:docPr descr="Twitter icon" title="" id="55" name="Picture"/>
            <a:graphic>
              <a:graphicData uri="http://schemas.openxmlformats.org/drawingml/2006/picture">
                <pic:pic>
                  <pic:nvPicPr>
                    <pic:cNvPr descr="images/twitter.png" id="56" name="Picture"/>
                    <pic:cNvPicPr>
                      <a:picLocks noChangeArrowheads="1" noChangeAspect="1"/>
                    </pic:cNvPicPr>
                  </pic:nvPicPr>
                  <pic:blipFill>
                    <a:blip r:embed="rId48"/>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7">
        <w:r>
          <w:rPr>
            <w:rStyle w:val="Hyperlink"/>
          </w:rPr>
          <w:t xml:space="preserve">aggokittu</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Komal S. Rathi</w:t>
      </w:r>
      <w:r>
        <w:t xml:space="preserve"> </w:t>
      </w:r>
      <w:r>
        <w:drawing>
          <wp:inline>
            <wp:extent cx="203200" cy="203200"/>
            <wp:effectExtent b="0" l="0" r="0" t="0"/>
            <wp:docPr descr="ORCID icon" title="" id="58" name="Picture"/>
            <a:graphic>
              <a:graphicData uri="http://schemas.openxmlformats.org/drawingml/2006/picture">
                <pic:pic>
                  <pic:nvPicPr>
                    <pic:cNvPr descr="images/orcid.png" id="5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0">
        <w:r>
          <w:rPr>
            <w:rStyle w:val="Hyperlink"/>
          </w:rPr>
          <w:t xml:space="preserve">0000-0001-5534-6904</w:t>
        </w:r>
      </w:hyperlink>
      <w:r>
        <w:t xml:space="preserve"> </w:t>
      </w:r>
      <w:r>
        <w:t xml:space="preserve">·</w:t>
      </w:r>
      <w:r>
        <w:t xml:space="preserve"> </w:t>
      </w:r>
      <w:r>
        <w:drawing>
          <wp:inline>
            <wp:extent cx="203200" cy="203200"/>
            <wp:effectExtent b="0" l="0" r="0" t="0"/>
            <wp:docPr descr="GitHub icon" title="" id="61" name="Picture"/>
            <a:graphic>
              <a:graphicData uri="http://schemas.openxmlformats.org/drawingml/2006/picture">
                <pic:pic>
                  <pic:nvPicPr>
                    <pic:cNvPr descr="images/github.png" id="62"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3">
        <w:r>
          <w:rPr>
            <w:rStyle w:val="Hyperlink"/>
          </w:rPr>
          <w:t xml:space="preserve">komalsrathi</w:t>
        </w:r>
      </w:hyperlink>
      <w:r>
        <w:t xml:space="preserve"> </w:t>
      </w:r>
      <w:r>
        <w:t xml:space="preserve">·</w:t>
      </w:r>
      <w:r>
        <w:t xml:space="preserve"> </w:t>
      </w:r>
      <w:r>
        <w:drawing>
          <wp:inline>
            <wp:extent cx="203200" cy="203200"/>
            <wp:effectExtent b="0" l="0" r="0" t="0"/>
            <wp:docPr descr="Twitter icon" title="" id="64" name="Picture"/>
            <a:graphic>
              <a:graphicData uri="http://schemas.openxmlformats.org/drawingml/2006/picture">
                <pic:pic>
                  <pic:nvPicPr>
                    <pic:cNvPr descr="images/twitter.png" id="65" name="Picture"/>
                    <pic:cNvPicPr>
                      <a:picLocks noChangeArrowheads="1" noChangeAspect="1"/>
                    </pic:cNvPicPr>
                  </pic:nvPicPr>
                  <pic:blipFill>
                    <a:blip r:embed="rId48"/>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6">
        <w:r>
          <w:rPr>
            <w:rStyle w:val="Hyperlink"/>
          </w:rPr>
          <w:t xml:space="preserve">komalsrathi</w:t>
        </w:r>
      </w:hyperlink>
      <w:r>
        <w:t xml:space="preserve"> </w:t>
      </w:r>
      <w:r>
        <w:t xml:space="preserve"> </w:t>
      </w:r>
      <w:r>
        <w:t xml:space="preserve">Center for Data-Driven Discovery in Biomedicine,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Sangeeta Shukla</w:t>
      </w:r>
      <w:r>
        <w:t xml:space="preserve"> </w:t>
      </w:r>
      <w:r>
        <w:drawing>
          <wp:inline>
            <wp:extent cx="203200" cy="203200"/>
            <wp:effectExtent b="0" l="0" r="0" t="0"/>
            <wp:docPr descr="ORCID icon" title="" id="67" name="Picture"/>
            <a:graphic>
              <a:graphicData uri="http://schemas.openxmlformats.org/drawingml/2006/picture">
                <pic:pic>
                  <pic:nvPicPr>
                    <pic:cNvPr descr="images/orcid.png" id="6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9">
        <w:r>
          <w:rPr>
            <w:rStyle w:val="Hyperlink"/>
          </w:rPr>
          <w:t xml:space="preserve">0000-0002-3727-9602</w:t>
        </w:r>
      </w:hyperlink>
      <w:r>
        <w:t xml:space="preserve"> </w:t>
      </w:r>
      <w:r>
        <w:t xml:space="preserve">·</w:t>
      </w:r>
      <w:r>
        <w:t xml:space="preserve"> </w:t>
      </w:r>
      <w:r>
        <w:drawing>
          <wp:inline>
            <wp:extent cx="203200" cy="203200"/>
            <wp:effectExtent b="0" l="0" r="0" t="0"/>
            <wp:docPr descr="GitHub icon" title="" id="70" name="Picture"/>
            <a:graphic>
              <a:graphicData uri="http://schemas.openxmlformats.org/drawingml/2006/picture">
                <pic:pic>
                  <pic:nvPicPr>
                    <pic:cNvPr descr="images/github.png" id="71"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2">
        <w:r>
          <w:rPr>
            <w:rStyle w:val="Hyperlink"/>
          </w:rPr>
          <w:t xml:space="preserve">sangeetashukla</w:t>
        </w:r>
      </w:hyperlink>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Dave Hill</w:t>
      </w:r>
      <w:r>
        <w:t xml:space="preserve"> </w:t>
      </w:r>
      <w:r>
        <w:drawing>
          <wp:inline>
            <wp:extent cx="203200" cy="203200"/>
            <wp:effectExtent b="0" l="0" r="0" t="0"/>
            <wp:docPr descr="ORCID icon" title="" id="73" name="Picture"/>
            <a:graphic>
              <a:graphicData uri="http://schemas.openxmlformats.org/drawingml/2006/picture">
                <pic:pic>
                  <pic:nvPicPr>
                    <pic:cNvPr descr="images/orcid.png" id="7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5">
        <w:r>
          <w:rPr>
            <w:rStyle w:val="Hyperlink"/>
          </w:rPr>
          <w:t xml:space="preserve">0000-0002-1337-1789</w:t>
        </w:r>
      </w:hyperlink>
      <w:r>
        <w:t xml:space="preserve"> </w:t>
      </w:r>
      <w:r>
        <w:t xml:space="preserve">·</w:t>
      </w:r>
      <w:r>
        <w:t xml:space="preserve"> </w:t>
      </w:r>
      <w:r>
        <w:drawing>
          <wp:inline>
            <wp:extent cx="203200" cy="203200"/>
            <wp:effectExtent b="0" l="0" r="0" t="0"/>
            <wp:docPr descr="GitHub icon" title="" id="76" name="Picture"/>
            <a:graphic>
              <a:graphicData uri="http://schemas.openxmlformats.org/drawingml/2006/picture">
                <pic:pic>
                  <pic:nvPicPr>
                    <pic:cNvPr descr="images/github.png" id="77"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8">
        <w:r>
          <w:rPr>
            <w:rStyle w:val="Hyperlink"/>
          </w:rPr>
          <w:t xml:space="preserve">atlas4213</w:t>
        </w:r>
      </w:hyperlink>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Aditya Lahiri</w:t>
      </w:r>
      <w:r>
        <w:t xml:space="preserve"> </w:t>
      </w:r>
      <w:r>
        <w:drawing>
          <wp:inline>
            <wp:extent cx="203200" cy="203200"/>
            <wp:effectExtent b="0" l="0" r="0" t="0"/>
            <wp:docPr descr="ORCID icon" title="" id="79" name="Picture"/>
            <a:graphic>
              <a:graphicData uri="http://schemas.openxmlformats.org/drawingml/2006/picture">
                <pic:pic>
                  <pic:nvPicPr>
                    <pic:cNvPr descr="images/orcid.png" id="8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1">
        <w:r>
          <w:rPr>
            <w:rStyle w:val="Hyperlink"/>
          </w:rPr>
          <w:t xml:space="preserve">0000-0001-9352-1312</w:t>
        </w:r>
      </w:hyperlink>
      <w:r>
        <w:t xml:space="preserve"> </w:t>
      </w:r>
      <w:r>
        <w:t xml:space="preserve">·</w:t>
      </w:r>
      <w:r>
        <w:t xml:space="preserve"> </w:t>
      </w:r>
      <w:r>
        <w:drawing>
          <wp:inline>
            <wp:extent cx="203200" cy="203200"/>
            <wp:effectExtent b="0" l="0" r="0" t="0"/>
            <wp:docPr descr="GitHub icon" title="" id="82" name="Picture"/>
            <a:graphic>
              <a:graphicData uri="http://schemas.openxmlformats.org/drawingml/2006/picture">
                <pic:pic>
                  <pic:nvPicPr>
                    <pic:cNvPr descr="images/github.png" id="83"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4">
        <w:r>
          <w:rPr>
            <w:rStyle w:val="Hyperlink"/>
          </w:rPr>
          <w:t xml:space="preserve">adilahiri</w:t>
        </w:r>
      </w:hyperlink>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Daniel P. Miller</w:t>
      </w:r>
      <w:r>
        <w:t xml:space="preserve"> </w:t>
      </w:r>
      <w:r>
        <w:drawing>
          <wp:inline>
            <wp:extent cx="203200" cy="203200"/>
            <wp:effectExtent b="0" l="0" r="0" t="0"/>
            <wp:docPr descr="ORCID icon" title="" id="85" name="Picture"/>
            <a:graphic>
              <a:graphicData uri="http://schemas.openxmlformats.org/drawingml/2006/picture">
                <pic:pic>
                  <pic:nvPicPr>
                    <pic:cNvPr descr="images/orcid.png" id="8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7">
        <w:r>
          <w:rPr>
            <w:rStyle w:val="Hyperlink"/>
          </w:rPr>
          <w:t xml:space="preserve">0000-0002-2032-4358</w:t>
        </w:r>
      </w:hyperlink>
      <w:r>
        <w:t xml:space="preserve"> </w:t>
      </w:r>
      <w:r>
        <w:t xml:space="preserve">·</w:t>
      </w:r>
      <w:r>
        <w:t xml:space="preserve"> </w:t>
      </w:r>
      <w:r>
        <w:drawing>
          <wp:inline>
            <wp:extent cx="203200" cy="203200"/>
            <wp:effectExtent b="0" l="0" r="0" t="0"/>
            <wp:docPr descr="GitHub icon" title="" id="88" name="Picture"/>
            <a:graphic>
              <a:graphicData uri="http://schemas.openxmlformats.org/drawingml/2006/picture">
                <pic:pic>
                  <pic:nvPicPr>
                    <pic:cNvPr descr="images/github.png" id="89"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0">
        <w:r>
          <w:rPr>
            <w:rStyle w:val="Hyperlink"/>
          </w:rPr>
          <w:t xml:space="preserve">dmiller15</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Alex Sickler</w:t>
      </w:r>
      <w:r>
        <w:t xml:space="preserve"> </w:t>
      </w:r>
      <w:r>
        <w:drawing>
          <wp:inline>
            <wp:extent cx="203200" cy="203200"/>
            <wp:effectExtent b="0" l="0" r="0" t="0"/>
            <wp:docPr descr="ORCID icon" title="" id="91" name="Picture"/>
            <a:graphic>
              <a:graphicData uri="http://schemas.openxmlformats.org/drawingml/2006/picture">
                <pic:pic>
                  <pic:nvPicPr>
                    <pic:cNvPr descr="images/orcid.png" id="9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3">
        <w:r>
          <w:rPr>
            <w:rStyle w:val="Hyperlink"/>
          </w:rPr>
          <w:t xml:space="preserve">0000-0001-7830-7537</w:t>
        </w:r>
      </w:hyperlink>
      <w:r>
        <w:t xml:space="preserve"> </w:t>
      </w:r>
      <w:r>
        <w:t xml:space="preserve">·</w:t>
      </w:r>
      <w:r>
        <w:t xml:space="preserve"> </w:t>
      </w:r>
      <w:r>
        <w:drawing>
          <wp:inline>
            <wp:extent cx="203200" cy="203200"/>
            <wp:effectExtent b="0" l="0" r="0" t="0"/>
            <wp:docPr descr="GitHub icon" title="" id="94" name="Picture"/>
            <a:graphic>
              <a:graphicData uri="http://schemas.openxmlformats.org/drawingml/2006/picture">
                <pic:pic>
                  <pic:nvPicPr>
                    <pic:cNvPr descr="images/github.png" id="95"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6">
        <w:r>
          <w:rPr>
            <w:rStyle w:val="Hyperlink"/>
          </w:rPr>
          <w:t xml:space="preserve">sickler-alex</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Kelsey Keith</w:t>
      </w:r>
      <w:r>
        <w:t xml:space="preserve"> </w:t>
      </w:r>
      <w:r>
        <w:drawing>
          <wp:inline>
            <wp:extent cx="203200" cy="203200"/>
            <wp:effectExtent b="0" l="0" r="0" t="0"/>
            <wp:docPr descr="ORCID icon" title="" id="97" name="Picture"/>
            <a:graphic>
              <a:graphicData uri="http://schemas.openxmlformats.org/drawingml/2006/picture">
                <pic:pic>
                  <pic:nvPicPr>
                    <pic:cNvPr descr="images/orcid.png" id="9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9">
        <w:r>
          <w:rPr>
            <w:rStyle w:val="Hyperlink"/>
          </w:rPr>
          <w:t xml:space="preserve">0000-0002-7451-5117</w:t>
        </w:r>
      </w:hyperlink>
      <w:r>
        <w:t xml:space="preserve"> </w:t>
      </w:r>
      <w:r>
        <w:t xml:space="preserve">·</w:t>
      </w:r>
      <w:r>
        <w:t xml:space="preserve"> </w:t>
      </w:r>
      <w:r>
        <w:drawing>
          <wp:inline>
            <wp:extent cx="203200" cy="203200"/>
            <wp:effectExtent b="0" l="0" r="0" t="0"/>
            <wp:docPr descr="GitHub icon" title="" id="100" name="Picture"/>
            <a:graphic>
              <a:graphicData uri="http://schemas.openxmlformats.org/drawingml/2006/picture">
                <pic:pic>
                  <pic:nvPicPr>
                    <pic:cNvPr descr="images/github.png" id="101"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2">
        <w:r>
          <w:rPr>
            <w:rStyle w:val="Hyperlink"/>
          </w:rPr>
          <w:t xml:space="preserve">kelseykeith</w:t>
        </w:r>
      </w:hyperlink>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Christopher Blackden</w:t>
      </w:r>
      <w:r>
        <w:t xml:space="preserve"> </w:t>
      </w:r>
      <w:r>
        <w:t xml:space="preserve">·</w:t>
      </w:r>
      <w:r>
        <w:t xml:space="preserve"> </w:t>
      </w:r>
      <w:r>
        <w:drawing>
          <wp:inline>
            <wp:extent cx="203200" cy="203200"/>
            <wp:effectExtent b="0" l="0" r="0" t="0"/>
            <wp:docPr descr="GitHub icon" title="" id="103" name="Picture"/>
            <a:graphic>
              <a:graphicData uri="http://schemas.openxmlformats.org/drawingml/2006/picture">
                <pic:pic>
                  <pic:nvPicPr>
                    <pic:cNvPr descr="images/github.png" id="104"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5">
        <w:r>
          <w:rPr>
            <w:rStyle w:val="Hyperlink"/>
          </w:rPr>
          <w:t xml:space="preserve">devbyaccident</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Antonia Chroni</w:t>
      </w:r>
      <w:r>
        <w:t xml:space="preserve"> </w:t>
      </w:r>
      <w:r>
        <w:t xml:space="preserve">·</w:t>
      </w:r>
      <w:r>
        <w:t xml:space="preserve"> </w:t>
      </w:r>
      <w:r>
        <w:drawing>
          <wp:inline>
            <wp:extent cx="203200" cy="203200"/>
            <wp:effectExtent b="0" l="0" r="0" t="0"/>
            <wp:docPr descr="GitHub icon" title="" id="106" name="Picture"/>
            <a:graphic>
              <a:graphicData uri="http://schemas.openxmlformats.org/drawingml/2006/picture">
                <pic:pic>
                  <pic:nvPicPr>
                    <pic:cNvPr descr="images/github.png" id="107"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8">
        <w:r>
          <w:rPr>
            <w:rStyle w:val="Hyperlink"/>
          </w:rPr>
          <w:t xml:space="preserve">AntoniaChroni</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Adam A. Kraya</w:t>
      </w:r>
      <w:r>
        <w:t xml:space="preserve"> </w:t>
      </w:r>
      <w:r>
        <w:drawing>
          <wp:inline>
            <wp:extent cx="203200" cy="203200"/>
            <wp:effectExtent b="0" l="0" r="0" t="0"/>
            <wp:docPr descr="ORCID icon" title="" id="109" name="Picture"/>
            <a:graphic>
              <a:graphicData uri="http://schemas.openxmlformats.org/drawingml/2006/picture">
                <pic:pic>
                  <pic:nvPicPr>
                    <pic:cNvPr descr="images/orcid.png" id="11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1">
        <w:r>
          <w:rPr>
            <w:rStyle w:val="Hyperlink"/>
          </w:rPr>
          <w:t xml:space="preserve">0000-0002-8526-5694</w:t>
        </w:r>
      </w:hyperlink>
      <w:r>
        <w:t xml:space="preserve"> </w:t>
      </w:r>
      <w:r>
        <w:t xml:space="preserve">·</w:t>
      </w:r>
      <w:r>
        <w:t xml:space="preserve"> </w:t>
      </w:r>
      <w:r>
        <w:drawing>
          <wp:inline>
            <wp:extent cx="203200" cy="203200"/>
            <wp:effectExtent b="0" l="0" r="0" t="0"/>
            <wp:docPr descr="GitHub icon" title="" id="112" name="Picture"/>
            <a:graphic>
              <a:graphicData uri="http://schemas.openxmlformats.org/drawingml/2006/picture">
                <pic:pic>
                  <pic:nvPicPr>
                    <pic:cNvPr descr="images/github.png" id="113"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4">
        <w:r>
          <w:rPr>
            <w:rStyle w:val="Hyperlink"/>
          </w:rPr>
          <w:t xml:space="preserve">aadamk</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Miguel A. Brown</w:t>
      </w:r>
      <w:r>
        <w:t xml:space="preserve"> </w:t>
      </w:r>
      <w:r>
        <w:drawing>
          <wp:inline>
            <wp:extent cx="203200" cy="203200"/>
            <wp:effectExtent b="0" l="0" r="0" t="0"/>
            <wp:docPr descr="ORCID icon" title="" id="115" name="Picture"/>
            <a:graphic>
              <a:graphicData uri="http://schemas.openxmlformats.org/drawingml/2006/picture">
                <pic:pic>
                  <pic:nvPicPr>
                    <pic:cNvPr descr="images/orcid.png" id="11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7">
        <w:r>
          <w:rPr>
            <w:rStyle w:val="Hyperlink"/>
          </w:rPr>
          <w:t xml:space="preserve">0000-0001-6782-1442</w:t>
        </w:r>
      </w:hyperlink>
      <w:r>
        <w:t xml:space="preserve"> </w:t>
      </w:r>
      <w:r>
        <w:t xml:space="preserve">·</w:t>
      </w:r>
      <w:r>
        <w:t xml:space="preserve"> </w:t>
      </w:r>
      <w:r>
        <w:drawing>
          <wp:inline>
            <wp:extent cx="203200" cy="203200"/>
            <wp:effectExtent b="0" l="0" r="0" t="0"/>
            <wp:docPr descr="GitHub icon" title="" id="118" name="Picture"/>
            <a:graphic>
              <a:graphicData uri="http://schemas.openxmlformats.org/drawingml/2006/picture">
                <pic:pic>
                  <pic:nvPicPr>
                    <pic:cNvPr descr="images/github.png" id="119"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20">
        <w:r>
          <w:rPr>
            <w:rStyle w:val="Hyperlink"/>
          </w:rPr>
          <w:t xml:space="preserve">migbro</w:t>
        </w:r>
      </w:hyperlink>
      <w:r>
        <w:t xml:space="preserve"> </w:t>
      </w:r>
      <w:r>
        <w:t xml:space="preserve">·</w:t>
      </w:r>
      <w:r>
        <w:t xml:space="preserve"> </w:t>
      </w:r>
      <w:r>
        <w:drawing>
          <wp:inline>
            <wp:extent cx="203200" cy="203200"/>
            <wp:effectExtent b="0" l="0" r="0" t="0"/>
            <wp:docPr descr="Twitter icon" title="" id="121" name="Picture"/>
            <a:graphic>
              <a:graphicData uri="http://schemas.openxmlformats.org/drawingml/2006/picture">
                <pic:pic>
                  <pic:nvPicPr>
                    <pic:cNvPr descr="images/twitter.png" id="122" name="Picture"/>
                    <pic:cNvPicPr>
                      <a:picLocks noChangeArrowheads="1" noChangeAspect="1"/>
                    </pic:cNvPicPr>
                  </pic:nvPicPr>
                  <pic:blipFill>
                    <a:blip r:embed="rId48"/>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23">
        <w:r>
          <w:rPr>
            <w:rStyle w:val="Hyperlink"/>
          </w:rPr>
          <w:t xml:space="preserve">migbro</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Brian M. Ennis</w:t>
      </w:r>
      <w:r>
        <w:t xml:space="preserve"> </w:t>
      </w:r>
      <w:r>
        <w:drawing>
          <wp:inline>
            <wp:extent cx="203200" cy="203200"/>
            <wp:effectExtent b="0" l="0" r="0" t="0"/>
            <wp:docPr descr="ORCID icon" title="" id="124" name="Picture"/>
            <a:graphic>
              <a:graphicData uri="http://schemas.openxmlformats.org/drawingml/2006/picture">
                <pic:pic>
                  <pic:nvPicPr>
                    <pic:cNvPr descr="images/orcid.png" id="12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26">
        <w:r>
          <w:rPr>
            <w:rStyle w:val="Hyperlink"/>
          </w:rPr>
          <w:t xml:space="preserve">0000-0002-2653-5009</w:t>
        </w:r>
      </w:hyperlink>
      <w:r>
        <w:t xml:space="preserve"> </w:t>
      </w:r>
      <w:r>
        <w:t xml:space="preserve">·</w:t>
      </w:r>
      <w:r>
        <w:t xml:space="preserve"> </w:t>
      </w:r>
      <w:r>
        <w:drawing>
          <wp:inline>
            <wp:extent cx="203200" cy="203200"/>
            <wp:effectExtent b="0" l="0" r="0" t="0"/>
            <wp:docPr descr="GitHub icon" title="" id="127" name="Picture"/>
            <a:graphic>
              <a:graphicData uri="http://schemas.openxmlformats.org/drawingml/2006/picture">
                <pic:pic>
                  <pic:nvPicPr>
                    <pic:cNvPr descr="images/github.png" id="128"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29">
        <w:r>
          <w:rPr>
            <w:rStyle w:val="Hyperlink"/>
          </w:rPr>
          <w:t xml:space="preserve">bmennis</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Ammar S. Naqvi</w:t>
      </w:r>
      <w:r>
        <w:t xml:space="preserve"> </w:t>
      </w:r>
      <w:r>
        <w:t xml:space="preserve">·</w:t>
      </w:r>
      <w:r>
        <w:t xml:space="preserve"> </w:t>
      </w:r>
      <w:r>
        <w:drawing>
          <wp:inline>
            <wp:extent cx="203200" cy="203200"/>
            <wp:effectExtent b="0" l="0" r="0" t="0"/>
            <wp:docPr descr="GitHub icon" title="" id="130" name="Picture"/>
            <a:graphic>
              <a:graphicData uri="http://schemas.openxmlformats.org/drawingml/2006/picture">
                <pic:pic>
                  <pic:nvPicPr>
                    <pic:cNvPr descr="images/github.png" id="131"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32">
        <w:r>
          <w:rPr>
            <w:rStyle w:val="Hyperlink"/>
          </w:rPr>
          <w:t xml:space="preserve">naqvia</w:t>
        </w:r>
      </w:hyperlink>
      <w:r>
        <w:t xml:space="preserve"> </w:t>
      </w:r>
      <w:r>
        <w:t xml:space="preserve">·</w:t>
      </w:r>
      <w:r>
        <w:t xml:space="preserve"> </w:t>
      </w:r>
      <w:r>
        <w:drawing>
          <wp:inline>
            <wp:extent cx="203200" cy="203200"/>
            <wp:effectExtent b="0" l="0" r="0" t="0"/>
            <wp:docPr descr="Twitter icon" title="" id="133" name="Picture"/>
            <a:graphic>
              <a:graphicData uri="http://schemas.openxmlformats.org/drawingml/2006/picture">
                <pic:pic>
                  <pic:nvPicPr>
                    <pic:cNvPr descr="images/twitter.png" id="134" name="Picture"/>
                    <pic:cNvPicPr>
                      <a:picLocks noChangeArrowheads="1" noChangeAspect="1"/>
                    </pic:cNvPicPr>
                  </pic:nvPicPr>
                  <pic:blipFill>
                    <a:blip r:embed="rId48"/>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35">
        <w:r>
          <w:rPr>
            <w:rStyle w:val="Hyperlink"/>
          </w:rPr>
          <w:t xml:space="preserve">jenn0307</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Sharon J. Diskin</w:t>
      </w:r>
      <w:r>
        <w:t xml:space="preserve"> </w:t>
      </w:r>
      <w:r>
        <w:drawing>
          <wp:inline>
            <wp:extent cx="203200" cy="203200"/>
            <wp:effectExtent b="0" l="0" r="0" t="0"/>
            <wp:docPr descr="ORCID icon" title="" id="136" name="Picture"/>
            <a:graphic>
              <a:graphicData uri="http://schemas.openxmlformats.org/drawingml/2006/picture">
                <pic:pic>
                  <pic:nvPicPr>
                    <pic:cNvPr descr="images/orcid.png" id="13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38">
        <w:r>
          <w:rPr>
            <w:rStyle w:val="Hyperlink"/>
          </w:rPr>
          <w:t xml:space="preserve">0000-0002-7200-8939</w:t>
        </w:r>
      </w:hyperlink>
      <w:r>
        <w:t xml:space="preserve"> </w:t>
      </w:r>
      <w:r>
        <w:t xml:space="preserve">·</w:t>
      </w:r>
      <w:r>
        <w:t xml:space="preserve"> </w:t>
      </w:r>
      <w:r>
        <w:drawing>
          <wp:inline>
            <wp:extent cx="203200" cy="203200"/>
            <wp:effectExtent b="0" l="0" r="0" t="0"/>
            <wp:docPr descr="Twitter icon" title="" id="139" name="Picture"/>
            <a:graphic>
              <a:graphicData uri="http://schemas.openxmlformats.org/drawingml/2006/picture">
                <pic:pic>
                  <pic:nvPicPr>
                    <pic:cNvPr descr="images/twitter.png" id="140" name="Picture"/>
                    <pic:cNvPicPr>
                      <a:picLocks noChangeArrowheads="1" noChangeAspect="1"/>
                    </pic:cNvPicPr>
                  </pic:nvPicPr>
                  <pic:blipFill>
                    <a:blip r:embed="rId48"/>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41">
        <w:r>
          <w:rPr>
            <w:rStyle w:val="Hyperlink"/>
          </w:rPr>
          <w:t xml:space="preserve">sjdiskin</w:t>
        </w:r>
      </w:hyperlink>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Bo Zhang</w:t>
      </w:r>
      <w:r>
        <w:t xml:space="preserve"> </w:t>
      </w:r>
      <w:r>
        <w:drawing>
          <wp:inline>
            <wp:extent cx="203200" cy="203200"/>
            <wp:effectExtent b="0" l="0" r="0" t="0"/>
            <wp:docPr descr="ORCID icon" title="" id="142" name="Picture"/>
            <a:graphic>
              <a:graphicData uri="http://schemas.openxmlformats.org/drawingml/2006/picture">
                <pic:pic>
                  <pic:nvPicPr>
                    <pic:cNvPr descr="images/orcid.png" id="14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44">
        <w:r>
          <w:rPr>
            <w:rStyle w:val="Hyperlink"/>
          </w:rPr>
          <w:t xml:space="preserve">0000-0002-0743-5379</w:t>
        </w:r>
      </w:hyperlink>
      <w:r>
        <w:t xml:space="preserve"> </w:t>
      </w:r>
      <w:r>
        <w:t xml:space="preserve">·</w:t>
      </w:r>
      <w:r>
        <w:t xml:space="preserve"> </w:t>
      </w:r>
      <w:r>
        <w:drawing>
          <wp:inline>
            <wp:extent cx="203200" cy="203200"/>
            <wp:effectExtent b="0" l="0" r="0" t="0"/>
            <wp:docPr descr="GitHub icon" title="" id="145" name="Picture"/>
            <a:graphic>
              <a:graphicData uri="http://schemas.openxmlformats.org/drawingml/2006/picture">
                <pic:pic>
                  <pic:nvPicPr>
                    <pic:cNvPr descr="images/github.png" id="146"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47">
        <w:r>
          <w:rPr>
            <w:rStyle w:val="Hyperlink"/>
          </w:rPr>
          <w:t xml:space="preserve">zhangb1</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Joseph Dybas</w:t>
      </w:r>
      <w:r>
        <w:t xml:space="preserve"> </w:t>
      </w:r>
      <w:r>
        <w:t xml:space="preserve">·</w:t>
      </w:r>
      <w:r>
        <w:t xml:space="preserve"> </w:t>
      </w:r>
      <w:r>
        <w:drawing>
          <wp:inline>
            <wp:extent cx="203200" cy="203200"/>
            <wp:effectExtent b="0" l="0" r="0" t="0"/>
            <wp:docPr descr="GitHub icon" title="" id="148" name="Picture"/>
            <a:graphic>
              <a:graphicData uri="http://schemas.openxmlformats.org/drawingml/2006/picture">
                <pic:pic>
                  <pic:nvPicPr>
                    <pic:cNvPr descr="images/github.png" id="149"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50">
        <w:r>
          <w:rPr>
            <w:rStyle w:val="Hyperlink"/>
          </w:rPr>
          <w:t xml:space="preserve">JosephDybas</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Alvin Farrel</w:t>
      </w:r>
      <w:r>
        <w:t xml:space="preserve"> </w:t>
      </w:r>
      <w:r>
        <w:drawing>
          <wp:inline>
            <wp:extent cx="203200" cy="203200"/>
            <wp:effectExtent b="0" l="0" r="0" t="0"/>
            <wp:docPr descr="ORCID icon" title="" id="151" name="Picture"/>
            <a:graphic>
              <a:graphicData uri="http://schemas.openxmlformats.org/drawingml/2006/picture">
                <pic:pic>
                  <pic:nvPicPr>
                    <pic:cNvPr descr="images/orcid.png" id="15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53">
        <w:r>
          <w:rPr>
            <w:rStyle w:val="Hyperlink"/>
          </w:rPr>
          <w:t xml:space="preserve">0000-0003-1087-9840</w:t>
        </w:r>
      </w:hyperlink>
      <w:r>
        <w:t xml:space="preserve"> </w:t>
      </w:r>
      <w:r>
        <w:t xml:space="preserve">·</w:t>
      </w:r>
      <w:r>
        <w:t xml:space="preserve"> </w:t>
      </w:r>
      <w:r>
        <w:drawing>
          <wp:inline>
            <wp:extent cx="203200" cy="203200"/>
            <wp:effectExtent b="0" l="0" r="0" t="0"/>
            <wp:docPr descr="GitHub icon" title="" id="154" name="Picture"/>
            <a:graphic>
              <a:graphicData uri="http://schemas.openxmlformats.org/drawingml/2006/picture">
                <pic:pic>
                  <pic:nvPicPr>
                    <pic:cNvPr descr="images/github.png" id="155"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56">
        <w:r>
          <w:rPr>
            <w:rStyle w:val="Hyperlink"/>
          </w:rPr>
          <w:t xml:space="preserve">afarrel</w:t>
        </w:r>
      </w:hyperlink>
      <w:r>
        <w:t xml:space="preserve"> </w:t>
      </w:r>
      <w:r>
        <w:t xml:space="preserve"> </w:t>
      </w:r>
      <w:r>
        <w:t xml:space="preserve">Department of Biomedical and Health Informatics, Children’s Hospital of Philadelphia, Philadelphia, PA, 19104, USA; Division of Oncology, Children’s Hospital of Philadelphia, Philadelphia, PA, 19104, USA; Center for Childhood Cancer Research, Children’s Hospital of Philadelphia,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Jennifer L. Mason</w:t>
      </w:r>
      <w:r>
        <w:t xml:space="preserve"> </w:t>
      </w:r>
      <w:r>
        <w:t xml:space="preserve">·</w:t>
      </w:r>
      <w:r>
        <w:t xml:space="preserve"> </w:t>
      </w:r>
      <w:r>
        <w:drawing>
          <wp:inline>
            <wp:extent cx="203200" cy="203200"/>
            <wp:effectExtent b="0" l="0" r="0" t="0"/>
            <wp:docPr descr="Twitter icon" title="" id="157" name="Picture"/>
            <a:graphic>
              <a:graphicData uri="http://schemas.openxmlformats.org/drawingml/2006/picture">
                <pic:pic>
                  <pic:nvPicPr>
                    <pic:cNvPr descr="images/twitter.png" id="158" name="Picture"/>
                    <pic:cNvPicPr>
                      <a:picLocks noChangeArrowheads="1" noChangeAspect="1"/>
                    </pic:cNvPicPr>
                  </pic:nvPicPr>
                  <pic:blipFill>
                    <a:blip r:embed="rId48"/>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35">
        <w:r>
          <w:rPr>
            <w:rStyle w:val="Hyperlink"/>
          </w:rPr>
          <w:t xml:space="preserve">jenn0307</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Bailey K. Farrow</w:t>
      </w:r>
      <w:r>
        <w:t xml:space="preserve"> </w:t>
      </w:r>
      <w:r>
        <w:drawing>
          <wp:inline>
            <wp:extent cx="203200" cy="203200"/>
            <wp:effectExtent b="0" l="0" r="0" t="0"/>
            <wp:docPr descr="ORCID icon" title="" id="159" name="Picture"/>
            <a:graphic>
              <a:graphicData uri="http://schemas.openxmlformats.org/drawingml/2006/picture">
                <pic:pic>
                  <pic:nvPicPr>
                    <pic:cNvPr descr="images/orcid.png" id="16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61">
        <w:r>
          <w:rPr>
            <w:rStyle w:val="Hyperlink"/>
          </w:rPr>
          <w:t xml:space="preserve">0000-0001-6727-6333</w:t>
        </w:r>
      </w:hyperlink>
      <w:r>
        <w:t xml:space="preserve"> </w:t>
      </w:r>
      <w:r>
        <w:t xml:space="preserve">·</w:t>
      </w:r>
      <w:r>
        <w:t xml:space="preserve"> </w:t>
      </w:r>
      <w:r>
        <w:drawing>
          <wp:inline>
            <wp:extent cx="203200" cy="203200"/>
            <wp:effectExtent b="0" l="0" r="0" t="0"/>
            <wp:docPr descr="GitHub icon" title="" id="162" name="Picture"/>
            <a:graphic>
              <a:graphicData uri="http://schemas.openxmlformats.org/drawingml/2006/picture">
                <pic:pic>
                  <pic:nvPicPr>
                    <pic:cNvPr descr="images/github.png" id="163"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64">
        <w:r>
          <w:rPr>
            <w:rStyle w:val="Hyperlink"/>
          </w:rPr>
          <w:t xml:space="preserve">baileyckelly</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Yuankun Zhu</w:t>
      </w:r>
      <w:r>
        <w:t xml:space="preserve"> </w:t>
      </w:r>
      <w:r>
        <w:drawing>
          <wp:inline>
            <wp:extent cx="203200" cy="203200"/>
            <wp:effectExtent b="0" l="0" r="0" t="0"/>
            <wp:docPr descr="ORCID icon" title="" id="165" name="Picture"/>
            <a:graphic>
              <a:graphicData uri="http://schemas.openxmlformats.org/drawingml/2006/picture">
                <pic:pic>
                  <pic:nvPicPr>
                    <pic:cNvPr descr="images/orcid.png" id="16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67">
        <w:r>
          <w:rPr>
            <w:rStyle w:val="Hyperlink"/>
          </w:rPr>
          <w:t xml:space="preserve">0000-0002-2455-9525</w:t>
        </w:r>
      </w:hyperlink>
      <w:r>
        <w:t xml:space="preserve"> </w:t>
      </w:r>
      <w:r>
        <w:t xml:space="preserve">·</w:t>
      </w:r>
      <w:r>
        <w:t xml:space="preserve"> </w:t>
      </w:r>
      <w:r>
        <w:drawing>
          <wp:inline>
            <wp:extent cx="203200" cy="203200"/>
            <wp:effectExtent b="0" l="0" r="0" t="0"/>
            <wp:docPr descr="GitHub icon" title="" id="168" name="Picture"/>
            <a:graphic>
              <a:graphicData uri="http://schemas.openxmlformats.org/drawingml/2006/picture">
                <pic:pic>
                  <pic:nvPicPr>
                    <pic:cNvPr descr="images/github.png" id="169"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70">
        <w:r>
          <w:rPr>
            <w:rStyle w:val="Hyperlink"/>
          </w:rPr>
          <w:t xml:space="preserve">yuankunzhu</w:t>
        </w:r>
      </w:hyperlink>
      <w:r>
        <w:t xml:space="preserve"> </w:t>
      </w:r>
      <w:r>
        <w:t xml:space="preserve">·</w:t>
      </w:r>
      <w:r>
        <w:t xml:space="preserve"> </w:t>
      </w:r>
      <w:r>
        <w:drawing>
          <wp:inline>
            <wp:extent cx="203200" cy="203200"/>
            <wp:effectExtent b="0" l="0" r="0" t="0"/>
            <wp:docPr descr="Twitter icon" title="" id="171" name="Picture"/>
            <a:graphic>
              <a:graphicData uri="http://schemas.openxmlformats.org/drawingml/2006/picture">
                <pic:pic>
                  <pic:nvPicPr>
                    <pic:cNvPr descr="images/twitter.png" id="172" name="Picture"/>
                    <pic:cNvPicPr>
                      <a:picLocks noChangeArrowheads="1" noChangeAspect="1"/>
                    </pic:cNvPicPr>
                  </pic:nvPicPr>
                  <pic:blipFill>
                    <a:blip r:embed="rId48"/>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73">
        <w:r>
          <w:rPr>
            <w:rStyle w:val="Hyperlink"/>
          </w:rPr>
          <w:t xml:space="preserve">zhuyuankun</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Matthew R. Lueder</w:t>
      </w:r>
      <w:r>
        <w:t xml:space="preserve"> </w:t>
      </w:r>
      <w:r>
        <w:drawing>
          <wp:inline>
            <wp:extent cx="203200" cy="203200"/>
            <wp:effectExtent b="0" l="0" r="0" t="0"/>
            <wp:docPr descr="ORCID icon" title="" id="174" name="Picture"/>
            <a:graphic>
              <a:graphicData uri="http://schemas.openxmlformats.org/drawingml/2006/picture">
                <pic:pic>
                  <pic:nvPicPr>
                    <pic:cNvPr descr="images/orcid.png" id="17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76">
        <w:r>
          <w:rPr>
            <w:rStyle w:val="Hyperlink"/>
          </w:rPr>
          <w:t xml:space="preserve">0009-0002-7370-102X</w:t>
        </w:r>
      </w:hyperlink>
      <w:r>
        <w:t xml:space="preserve"> </w:t>
      </w:r>
      <w:r>
        <w:t xml:space="preserve">·</w:t>
      </w:r>
      <w:r>
        <w:t xml:space="preserve"> </w:t>
      </w:r>
      <w:r>
        <w:drawing>
          <wp:inline>
            <wp:extent cx="203200" cy="203200"/>
            <wp:effectExtent b="0" l="0" r="0" t="0"/>
            <wp:docPr descr="GitHub icon" title="" id="177" name="Picture"/>
            <a:graphic>
              <a:graphicData uri="http://schemas.openxmlformats.org/drawingml/2006/picture">
                <pic:pic>
                  <pic:nvPicPr>
                    <pic:cNvPr descr="images/github.png" id="178"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79">
        <w:r>
          <w:rPr>
            <w:rStyle w:val="Hyperlink"/>
          </w:rPr>
          <w:t xml:space="preserve">luederm</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Pathology and Laboratory Medicine, Children’s Hospital of Philadelphia, Philadelphia, PA, 19104, USA</w:t>
      </w:r>
      <w:r>
        <w:t xml:space="preserve"> </w:t>
      </w:r>
    </w:p>
    <w:p>
      <w:pPr>
        <w:numPr>
          <w:ilvl w:val="0"/>
          <w:numId w:val="1001"/>
        </w:numPr>
      </w:pPr>
      <w:r>
        <w:rPr>
          <w:bCs/>
          <w:b/>
        </w:rPr>
        <w:t xml:space="preserve">Nicholas Van Kuren</w:t>
      </w:r>
      <w:r>
        <w:t xml:space="preserve"> </w:t>
      </w:r>
      <w:r>
        <w:drawing>
          <wp:inline>
            <wp:extent cx="203200" cy="203200"/>
            <wp:effectExtent b="0" l="0" r="0" t="0"/>
            <wp:docPr descr="ORCID icon" title="" id="180" name="Picture"/>
            <a:graphic>
              <a:graphicData uri="http://schemas.openxmlformats.org/drawingml/2006/picture">
                <pic:pic>
                  <pic:nvPicPr>
                    <pic:cNvPr descr="images/orcid.png" id="18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82">
        <w:r>
          <w:rPr>
            <w:rStyle w:val="Hyperlink"/>
          </w:rPr>
          <w:t xml:space="preserve">0000-0002-7414-9516</w:t>
        </w:r>
      </w:hyperlink>
      <w:r>
        <w:t xml:space="preserve"> </w:t>
      </w:r>
      <w:r>
        <w:t xml:space="preserve">·</w:t>
      </w:r>
      <w:r>
        <w:t xml:space="preserve"> </w:t>
      </w:r>
      <w:r>
        <w:drawing>
          <wp:inline>
            <wp:extent cx="203200" cy="203200"/>
            <wp:effectExtent b="0" l="0" r="0" t="0"/>
            <wp:docPr descr="GitHub icon" title="" id="183" name="Picture"/>
            <a:graphic>
              <a:graphicData uri="http://schemas.openxmlformats.org/drawingml/2006/picture">
                <pic:pic>
                  <pic:nvPicPr>
                    <pic:cNvPr descr="images/github.png" id="184"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85">
        <w:r>
          <w:rPr>
            <w:rStyle w:val="Hyperlink"/>
          </w:rPr>
          <w:t xml:space="preserve">nicholasvk</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Chuwei Zhong</w:t>
      </w:r>
      <w:r>
        <w:t xml:space="preserve"> </w:t>
      </w:r>
      <w:r>
        <w:drawing>
          <wp:inline>
            <wp:extent cx="203200" cy="203200"/>
            <wp:effectExtent b="0" l="0" r="0" t="0"/>
            <wp:docPr descr="ORCID icon" title="" id="186" name="Picture"/>
            <a:graphic>
              <a:graphicData uri="http://schemas.openxmlformats.org/drawingml/2006/picture">
                <pic:pic>
                  <pic:nvPicPr>
                    <pic:cNvPr descr="images/orcid.png" id="18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88">
        <w:r>
          <w:rPr>
            <w:rStyle w:val="Hyperlink"/>
          </w:rPr>
          <w:t xml:space="preserve">0000-0003-2406-2735</w:t>
        </w:r>
      </w:hyperlink>
      <w:r>
        <w:t xml:space="preserve"> </w:t>
      </w:r>
      <w:r>
        <w:t xml:space="preserve">·</w:t>
      </w:r>
      <w:r>
        <w:t xml:space="preserve"> </w:t>
      </w:r>
      <w:r>
        <w:drawing>
          <wp:inline>
            <wp:extent cx="203200" cy="203200"/>
            <wp:effectExtent b="0" l="0" r="0" t="0"/>
            <wp:docPr descr="GitHub icon" title="" id="189" name="Picture"/>
            <a:graphic>
              <a:graphicData uri="http://schemas.openxmlformats.org/drawingml/2006/picture">
                <pic:pic>
                  <pic:nvPicPr>
                    <pic:cNvPr descr="images/github.png" id="19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91">
        <w:r>
          <w:rPr>
            <w:rStyle w:val="Hyperlink"/>
          </w:rPr>
          <w:t xml:space="preserve">zoomzoom1011</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Noel Coleman</w:t>
      </w:r>
      <w:r>
        <w:t xml:space="preserve"> </w:t>
      </w:r>
      <w:r>
        <w:drawing>
          <wp:inline>
            <wp:extent cx="203200" cy="203200"/>
            <wp:effectExtent b="0" l="0" r="0" t="0"/>
            <wp:docPr descr="ORCID icon" title="" id="192" name="Picture"/>
            <a:graphic>
              <a:graphicData uri="http://schemas.openxmlformats.org/drawingml/2006/picture">
                <pic:pic>
                  <pic:nvPicPr>
                    <pic:cNvPr descr="images/orcid.png" id="19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94">
        <w:r>
          <w:rPr>
            <w:rStyle w:val="Hyperlink"/>
          </w:rPr>
          <w:t xml:space="preserve">0000-0001-6454-1285</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Mariarita Santi</w:t>
      </w:r>
      <w:r>
        <w:t xml:space="preserve"> </w:t>
      </w:r>
      <w:r>
        <w:drawing>
          <wp:inline>
            <wp:extent cx="203200" cy="203200"/>
            <wp:effectExtent b="0" l="0" r="0" t="0"/>
            <wp:docPr descr="ORCID icon" title="" id="195" name="Picture"/>
            <a:graphic>
              <a:graphicData uri="http://schemas.openxmlformats.org/drawingml/2006/picture">
                <pic:pic>
                  <pic:nvPicPr>
                    <pic:cNvPr descr="images/orcid.png" id="19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97">
        <w:r>
          <w:rPr>
            <w:rStyle w:val="Hyperlink"/>
          </w:rPr>
          <w:t xml:space="preserve">0000-0002-6728-3450</w:t>
        </w:r>
      </w:hyperlink>
      <w:r>
        <w:t xml:space="preserve"> </w:t>
      </w:r>
      <w:r>
        <w:t xml:space="preserve"> </w:t>
      </w:r>
      <w:r>
        <w:t xml:space="preserve">Department of Pathology and Laboratory Medicine, Children’s Hospital of Philadelphia, Philadelphia, PA, 19104, USA; Department of Pathology and Laboratory Medicine, University of Pennsylvania Perelman School of Medicine, Philadelphia, PA, 19104, USA</w:t>
      </w:r>
      <w:r>
        <w:t xml:space="preserve"> </w:t>
      </w:r>
    </w:p>
    <w:p>
      <w:pPr>
        <w:numPr>
          <w:ilvl w:val="0"/>
          <w:numId w:val="1001"/>
        </w:numPr>
      </w:pPr>
      <w:r>
        <w:rPr>
          <w:bCs/>
          <w:b/>
        </w:rPr>
        <w:t xml:space="preserve">John M. Maris</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Saksham Phul</w:t>
      </w:r>
      <w:r>
        <w:t xml:space="preserve"> </w:t>
      </w:r>
      <w:r>
        <w:drawing>
          <wp:inline>
            <wp:extent cx="203200" cy="203200"/>
            <wp:effectExtent b="0" l="0" r="0" t="0"/>
            <wp:docPr descr="ORCID icon" title="" id="198" name="Picture"/>
            <a:graphic>
              <a:graphicData uri="http://schemas.openxmlformats.org/drawingml/2006/picture">
                <pic:pic>
                  <pic:nvPicPr>
                    <pic:cNvPr descr="images/orcid.png" id="19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00">
        <w:r>
          <w:rPr>
            <w:rStyle w:val="Hyperlink"/>
          </w:rPr>
          <w:t xml:space="preserve">0000-0002-2771-2572</w:t>
        </w:r>
      </w:hyperlink>
      <w:r>
        <w:t xml:space="preserve"> </w:t>
      </w:r>
      <w:r>
        <w:t xml:space="preserve">·</w:t>
      </w:r>
      <w:r>
        <w:t xml:space="preserve"> </w:t>
      </w:r>
      <w:r>
        <w:drawing>
          <wp:inline>
            <wp:extent cx="203200" cy="203200"/>
            <wp:effectExtent b="0" l="0" r="0" t="0"/>
            <wp:docPr descr="GitHub icon" title="" id="201" name="Picture"/>
            <a:graphic>
              <a:graphicData uri="http://schemas.openxmlformats.org/drawingml/2006/picture">
                <pic:pic>
                  <pic:nvPicPr>
                    <pic:cNvPr descr="images/github.png" id="202"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03">
        <w:r>
          <w:rPr>
            <w:rStyle w:val="Hyperlink"/>
          </w:rPr>
          <w:t xml:space="preserve">sakshamphul</w:t>
        </w:r>
      </w:hyperlink>
      <w:r>
        <w:t xml:space="preserve"> </w:t>
      </w:r>
      <w:r>
        <w:t xml:space="preserve">·</w:t>
      </w:r>
      <w:r>
        <w:t xml:space="preserve"> </w:t>
      </w:r>
      <w:r>
        <w:drawing>
          <wp:inline>
            <wp:extent cx="203200" cy="203200"/>
            <wp:effectExtent b="0" l="0" r="0" t="0"/>
            <wp:docPr descr="Twitter icon" title="" id="204" name="Picture"/>
            <a:graphic>
              <a:graphicData uri="http://schemas.openxmlformats.org/drawingml/2006/picture">
                <pic:pic>
                  <pic:nvPicPr>
                    <pic:cNvPr descr="images/twitter.png" id="205" name="Picture"/>
                    <pic:cNvPicPr>
                      <a:picLocks noChangeArrowheads="1" noChangeAspect="1"/>
                    </pic:cNvPicPr>
                  </pic:nvPicPr>
                  <pic:blipFill>
                    <a:blip r:embed="rId48"/>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23">
        <w:r>
          <w:rPr>
            <w:rStyle w:val="Hyperlink"/>
          </w:rPr>
          <w:t xml:space="preserve">migbro</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Xiaoyan Huang</w:t>
      </w:r>
      <w:r>
        <w:t xml:space="preserve"> </w:t>
      </w:r>
      <w:r>
        <w:drawing>
          <wp:inline>
            <wp:extent cx="203200" cy="203200"/>
            <wp:effectExtent b="0" l="0" r="0" t="0"/>
            <wp:docPr descr="ORCID icon" title="" id="206" name="Picture"/>
            <a:graphic>
              <a:graphicData uri="http://schemas.openxmlformats.org/drawingml/2006/picture">
                <pic:pic>
                  <pic:nvPicPr>
                    <pic:cNvPr descr="images/orcid.png" id="20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08">
        <w:r>
          <w:rPr>
            <w:rStyle w:val="Hyperlink"/>
          </w:rPr>
          <w:t xml:space="preserve">0000-0001-7267-4512</w:t>
        </w:r>
      </w:hyperlink>
      <w:r>
        <w:t xml:space="preserve"> </w:t>
      </w:r>
      <w:r>
        <w:t xml:space="preserve">·</w:t>
      </w:r>
      <w:r>
        <w:t xml:space="preserve"> </w:t>
      </w:r>
      <w:r>
        <w:drawing>
          <wp:inline>
            <wp:extent cx="203200" cy="203200"/>
            <wp:effectExtent b="0" l="0" r="0" t="0"/>
            <wp:docPr descr="GitHub icon" title="" id="209" name="Picture"/>
            <a:graphic>
              <a:graphicData uri="http://schemas.openxmlformats.org/drawingml/2006/picture">
                <pic:pic>
                  <pic:nvPicPr>
                    <pic:cNvPr descr="images/github.png" id="21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11">
        <w:r>
          <w:rPr>
            <w:rStyle w:val="Hyperlink"/>
          </w:rPr>
          <w:t xml:space="preserve">HuangXiaoyan0106</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Stephanie Stefankiewicz</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Asif T Chinwalla</w:t>
      </w:r>
      <w:r>
        <w:t xml:space="preserve"> </w:t>
      </w:r>
      <w:r>
        <w:drawing>
          <wp:inline>
            <wp:extent cx="203200" cy="203200"/>
            <wp:effectExtent b="0" l="0" r="0" t="0"/>
            <wp:docPr descr="ORCID icon" title="" id="212" name="Picture"/>
            <a:graphic>
              <a:graphicData uri="http://schemas.openxmlformats.org/drawingml/2006/picture">
                <pic:pic>
                  <pic:nvPicPr>
                    <pic:cNvPr descr="images/orcid.png" id="21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14">
        <w:r>
          <w:rPr>
            <w:rStyle w:val="Hyperlink"/>
          </w:rPr>
          <w:t xml:space="preserve">0000-0001-7831-3996</w:t>
        </w:r>
      </w:hyperlink>
      <w:r>
        <w:t xml:space="preserve"> </w:t>
      </w:r>
      <w:r>
        <w:t xml:space="preserve">·</w:t>
      </w:r>
      <w:r>
        <w:t xml:space="preserve"> </w:t>
      </w:r>
      <w:r>
        <w:drawing>
          <wp:inline>
            <wp:extent cx="203200" cy="203200"/>
            <wp:effectExtent b="0" l="0" r="0" t="0"/>
            <wp:docPr descr="GitHub icon" title="" id="215" name="Picture"/>
            <a:graphic>
              <a:graphicData uri="http://schemas.openxmlformats.org/drawingml/2006/picture">
                <pic:pic>
                  <pic:nvPicPr>
                    <pic:cNvPr descr="images/github.png" id="216"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17">
        <w:r>
          <w:rPr>
            <w:rStyle w:val="Hyperlink"/>
          </w:rPr>
          <w:t xml:space="preserve">chinwallaa</w:t>
        </w:r>
      </w:hyperlink>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Adam C. Resnick</w:t>
      </w:r>
      <w:r>
        <w:t xml:space="preserve"> </w:t>
      </w:r>
      <w:r>
        <w:drawing>
          <wp:inline>
            <wp:extent cx="203200" cy="203200"/>
            <wp:effectExtent b="0" l="0" r="0" t="0"/>
            <wp:docPr descr="ORCID icon" title="" id="218" name="Picture"/>
            <a:graphic>
              <a:graphicData uri="http://schemas.openxmlformats.org/drawingml/2006/picture">
                <pic:pic>
                  <pic:nvPicPr>
                    <pic:cNvPr descr="images/orcid.png" id="21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20">
        <w:r>
          <w:rPr>
            <w:rStyle w:val="Hyperlink"/>
          </w:rPr>
          <w:t xml:space="preserve">0000-0003-0436-4189</w:t>
        </w:r>
      </w:hyperlink>
      <w:r>
        <w:t xml:space="preserve"> </w:t>
      </w:r>
      <w:r>
        <w:t xml:space="preserve">·</w:t>
      </w:r>
      <w:r>
        <w:t xml:space="preserve"> </w:t>
      </w:r>
      <w:r>
        <w:drawing>
          <wp:inline>
            <wp:extent cx="203200" cy="203200"/>
            <wp:effectExtent b="0" l="0" r="0" t="0"/>
            <wp:docPr descr="GitHub icon" title="" id="221" name="Picture"/>
            <a:graphic>
              <a:graphicData uri="http://schemas.openxmlformats.org/drawingml/2006/picture">
                <pic:pic>
                  <pic:nvPicPr>
                    <pic:cNvPr descr="images/github.png" id="222"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23">
        <w:r>
          <w:rPr>
            <w:rStyle w:val="Hyperlink"/>
          </w:rPr>
          <w:t xml:space="preserve">adamcresnick</w:t>
        </w:r>
      </w:hyperlink>
      <w:r>
        <w:t xml:space="preserve"> </w:t>
      </w:r>
      <w:r>
        <w:t xml:space="preserve">·</w:t>
      </w:r>
      <w:r>
        <w:t xml:space="preserve"> </w:t>
      </w:r>
      <w:r>
        <w:drawing>
          <wp:inline>
            <wp:extent cx="203200" cy="203200"/>
            <wp:effectExtent b="0" l="0" r="0" t="0"/>
            <wp:docPr descr="Twitter icon" title="" id="224" name="Picture"/>
            <a:graphic>
              <a:graphicData uri="http://schemas.openxmlformats.org/drawingml/2006/picture">
                <pic:pic>
                  <pic:nvPicPr>
                    <pic:cNvPr descr="images/twitter.png" id="225" name="Picture"/>
                    <pic:cNvPicPr>
                      <a:picLocks noChangeArrowheads="1" noChangeAspect="1"/>
                    </pic:cNvPicPr>
                  </pic:nvPicPr>
                  <pic:blipFill>
                    <a:blip r:embed="rId48"/>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26">
        <w:r>
          <w:rPr>
            <w:rStyle w:val="Hyperlink"/>
          </w:rPr>
          <w:t xml:space="preserve">adamcresnick</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r>
        <w:t xml:space="preserve">· Funded by Children’s Brain Tumor Network; NIH 3P30 CA016520-44S5, U2C HL138346-03, U24 CA220457-03; NCI/NIH Contract No. 75N91019D00024, Task Order No. 75N91020F00003; Children’s Hospital of Philadelphia Division of Neurosurgery</w:t>
      </w:r>
      <w:r>
        <w:t xml:space="preserve"> </w:t>
      </w:r>
    </w:p>
    <w:p>
      <w:pPr>
        <w:numPr>
          <w:ilvl w:val="0"/>
          <w:numId w:val="1001"/>
        </w:numPr>
      </w:pPr>
      <w:r>
        <w:rPr>
          <w:bCs/>
          <w:b/>
        </w:rPr>
        <w:t xml:space="preserve">Sarah Tasian</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Brian R. Rood</w:t>
      </w:r>
      <w:r>
        <w:t xml:space="preserve"> </w:t>
      </w:r>
      <w:r>
        <w:t xml:space="preserve"> </w:t>
      </w:r>
      <w:r>
        <w:t xml:space="preserve">Children’s National Research Institute, Washington, D.C.; George Washington University School of Medicine and Health Sciences, Washington, D.C., 20052, USA</w:t>
      </w:r>
      <w:r>
        <w:t xml:space="preserve"> </w:t>
      </w:r>
    </w:p>
    <w:p>
      <w:pPr>
        <w:numPr>
          <w:ilvl w:val="0"/>
          <w:numId w:val="1001"/>
        </w:numPr>
      </w:pPr>
      <w:r>
        <w:rPr>
          <w:bCs/>
          <w:b/>
        </w:rPr>
        <w:t xml:space="preserve">Carl J. Koschmann</w:t>
      </w:r>
      <w:r>
        <w:t xml:space="preserve"> </w:t>
      </w:r>
      <w:r>
        <w:drawing>
          <wp:inline>
            <wp:extent cx="203200" cy="203200"/>
            <wp:effectExtent b="0" l="0" r="0" t="0"/>
            <wp:docPr descr="ORCID icon" title="" id="227" name="Picture"/>
            <a:graphic>
              <a:graphicData uri="http://schemas.openxmlformats.org/drawingml/2006/picture">
                <pic:pic>
                  <pic:nvPicPr>
                    <pic:cNvPr descr="images/orcid.png" id="22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29">
        <w:r>
          <w:rPr>
            <w:rStyle w:val="Hyperlink"/>
          </w:rPr>
          <w:t xml:space="preserve">0000-0002-0825-7615</w:t>
        </w:r>
      </w:hyperlink>
      <w:r>
        <w:t xml:space="preserve"> </w:t>
      </w:r>
      <w:r>
        <w:t xml:space="preserve"> </w:t>
      </w:r>
      <w:r>
        <w:t xml:space="preserve">Department of Pediatrics, University of Michigan Health, Ann Arbor, MI, 48105, USA; Pediatric Hematology Oncology, Mott Children’s Hospital, Ann Arbor, MI, 48109, USA</w:t>
      </w:r>
      <w:r>
        <w:t xml:space="preserve"> </w:t>
      </w:r>
    </w:p>
    <w:p>
      <w:pPr>
        <w:numPr>
          <w:ilvl w:val="0"/>
          <w:numId w:val="1001"/>
        </w:numPr>
      </w:pPr>
      <w:r>
        <w:rPr>
          <w:bCs/>
          <w:b/>
        </w:rPr>
        <w:t xml:space="preserve">Kenneth Aldape</w:t>
      </w:r>
      <w:r>
        <w:t xml:space="preserve"> </w:t>
      </w:r>
      <w:r>
        <w:t xml:space="preserve"> </w:t>
      </w:r>
      <w:r>
        <w:t xml:space="preserve">Laboratory of Pathology, National Cancer Institute, Bethesda, MD, 20892, USA</w:t>
      </w:r>
      <w:r>
        <w:t xml:space="preserve"> </w:t>
      </w:r>
    </w:p>
    <w:p>
      <w:pPr>
        <w:numPr>
          <w:ilvl w:val="0"/>
          <w:numId w:val="1001"/>
        </w:numPr>
      </w:pPr>
      <w:r>
        <w:rPr>
          <w:bCs/>
          <w:b/>
        </w:rPr>
        <w:t xml:space="preserve">Weiping Ma</w:t>
      </w:r>
      <w:r>
        <w:t xml:space="preserve"> </w:t>
      </w:r>
      <w:r>
        <w:t xml:space="preserve"> </w:t>
      </w:r>
      <w:r>
        <w:t xml:space="preserve">Department of Genetics and Genomic Sciences, Icahn School of Medicine at Mount Sinai, New York, NY 10029, USA; Tisch Cancer Institute, Icahn School of Medicine at Mount Sinai, New York, NY 10029, USA</w:t>
      </w:r>
      <w:r>
        <w:t xml:space="preserve"> </w:t>
      </w:r>
    </w:p>
    <w:p>
      <w:pPr>
        <w:numPr>
          <w:ilvl w:val="0"/>
          <w:numId w:val="1001"/>
        </w:numPr>
      </w:pPr>
      <w:r>
        <w:rPr>
          <w:bCs/>
          <w:b/>
        </w:rPr>
        <w:t xml:space="preserve">Pei Wang</w:t>
      </w:r>
      <w:r>
        <w:t xml:space="preserve"> </w:t>
      </w:r>
      <w:r>
        <w:t xml:space="preserve"> </w:t>
      </w:r>
      <w:r>
        <w:t xml:space="preserve">Department of Genetics and Genomic Sciences, Icahn School of Medicine at Mount Sinai, New York, NY 10029, USA; Tisch Cancer Institute, Icahn School of Medicine at Mount Sinai, New York, NY 10029, USA</w:t>
      </w:r>
      <w:r>
        <w:t xml:space="preserve"> </w:t>
      </w:r>
    </w:p>
    <w:p>
      <w:pPr>
        <w:numPr>
          <w:ilvl w:val="0"/>
          <w:numId w:val="1001"/>
        </w:numPr>
      </w:pPr>
      <w:r>
        <w:rPr>
          <w:bCs/>
          <w:b/>
        </w:rPr>
        <w:t xml:space="preserve">Zied Abdullaev</w:t>
      </w:r>
      <w:r>
        <w:t xml:space="preserve"> </w:t>
      </w:r>
      <w:r>
        <w:t xml:space="preserve"> </w:t>
      </w:r>
      <w:r>
        <w:t xml:space="preserve">Laboratory of Pathology, National Cancer Institute, Bethesda, MD, 20892, USA</w:t>
      </w:r>
      <w:r>
        <w:t xml:space="preserve"> </w:t>
      </w:r>
    </w:p>
    <w:p>
      <w:pPr>
        <w:numPr>
          <w:ilvl w:val="0"/>
          <w:numId w:val="1001"/>
        </w:numPr>
      </w:pPr>
      <w:r>
        <w:rPr>
          <w:bCs/>
          <w:b/>
        </w:rPr>
        <w:t xml:space="preserve">Deanne Taylor</w:t>
      </w:r>
      <w:r>
        <w:t xml:space="preserve"> </w:t>
      </w:r>
      <w:r>
        <w:drawing>
          <wp:inline>
            <wp:extent cx="203200" cy="203200"/>
            <wp:effectExtent b="0" l="0" r="0" t="0"/>
            <wp:docPr descr="ORCID icon" title="" id="230" name="Picture"/>
            <a:graphic>
              <a:graphicData uri="http://schemas.openxmlformats.org/drawingml/2006/picture">
                <pic:pic>
                  <pic:nvPicPr>
                    <pic:cNvPr descr="images/orcid.png" id="23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32">
        <w:r>
          <w:rPr>
            <w:rStyle w:val="Hyperlink"/>
          </w:rPr>
          <w:t xml:space="preserve">0000-0002-3302-4610</w:t>
        </w:r>
      </w:hyperlink>
      <w:r>
        <w:t xml:space="preserve"> </w:t>
      </w:r>
      <w:r>
        <w:t xml:space="preserve">·</w:t>
      </w:r>
      <w:r>
        <w:t xml:space="preserve"> </w:t>
      </w:r>
      <w:r>
        <w:drawing>
          <wp:inline>
            <wp:extent cx="203200" cy="203200"/>
            <wp:effectExtent b="0" l="0" r="0" t="0"/>
            <wp:docPr descr="GitHub icon" title="" id="233" name="Picture"/>
            <a:graphic>
              <a:graphicData uri="http://schemas.openxmlformats.org/drawingml/2006/picture">
                <pic:pic>
                  <pic:nvPicPr>
                    <pic:cNvPr descr="images/github.png" id="234"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35">
        <w:r>
          <w:rPr>
            <w:rStyle w:val="Hyperlink"/>
          </w:rPr>
          <w:t xml:space="preserve">taylordm</w:t>
        </w:r>
      </w:hyperlink>
      <w:r>
        <w:t xml:space="preserve"> </w:t>
      </w:r>
      <w:r>
        <w:t xml:space="preserve"> </w:t>
      </w:r>
      <w:r>
        <w:t xml:space="preserve">Department of Bioinformatics and Health Informatics, Children’s Hospital of Philadelphia, Philadelphia, PA, 19104, USA; Department of Pediatrics, University of Pennsylvania Perelman Medical School,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Jo Lynne Rokita</w:t>
      </w:r>
      <w:r>
        <w:t xml:space="preserve"> </w:t>
      </w:r>
      <w:hyperlink w:anchor="correspondence">
        <w:r>
          <w:rPr>
            <w:rStyle w:val="Hyperlink"/>
            <w:vertAlign w:val="superscript"/>
          </w:rPr>
          <w:t xml:space="preserve">✉</w:t>
        </w:r>
      </w:hyperlink>
      <w:r>
        <w:t xml:space="preserve"> </w:t>
      </w:r>
      <w:r>
        <w:drawing>
          <wp:inline>
            <wp:extent cx="203200" cy="203200"/>
            <wp:effectExtent b="0" l="0" r="0" t="0"/>
            <wp:docPr descr="ORCID icon" title="" id="236" name="Picture"/>
            <a:graphic>
              <a:graphicData uri="http://schemas.openxmlformats.org/drawingml/2006/picture">
                <pic:pic>
                  <pic:nvPicPr>
                    <pic:cNvPr descr="images/orcid.png" id="23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38">
        <w:r>
          <w:rPr>
            <w:rStyle w:val="Hyperlink"/>
          </w:rPr>
          <w:t xml:space="preserve">0000-0003-2171-3627</w:t>
        </w:r>
      </w:hyperlink>
      <w:r>
        <w:t xml:space="preserve"> </w:t>
      </w:r>
      <w:r>
        <w:t xml:space="preserve">·</w:t>
      </w:r>
      <w:r>
        <w:t xml:space="preserve"> </w:t>
      </w:r>
      <w:r>
        <w:drawing>
          <wp:inline>
            <wp:extent cx="203200" cy="203200"/>
            <wp:effectExtent b="0" l="0" r="0" t="0"/>
            <wp:docPr descr="GitHub icon" title="" id="239" name="Picture"/>
            <a:graphic>
              <a:graphicData uri="http://schemas.openxmlformats.org/drawingml/2006/picture">
                <pic:pic>
                  <pic:nvPicPr>
                    <pic:cNvPr descr="images/github.png" id="240" name="Picture"/>
                    <pic:cNvPicPr>
                      <a:picLocks noChangeArrowheads="1" noChangeAspect="1"/>
                    </pic:cNvPicPr>
                  </pic:nvPicPr>
                  <pic:blipFill>
                    <a:blip r:embed="rId26"/>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41">
        <w:r>
          <w:rPr>
            <w:rStyle w:val="Hyperlink"/>
          </w:rPr>
          <w:t xml:space="preserve">jharenza</w:t>
        </w:r>
      </w:hyperlink>
      <w:r>
        <w:t xml:space="preserve"> </w:t>
      </w:r>
      <w:r>
        <w:t xml:space="preserve">·</w:t>
      </w:r>
      <w:r>
        <w:t xml:space="preserve"> </w:t>
      </w:r>
      <w:r>
        <w:drawing>
          <wp:inline>
            <wp:extent cx="203200" cy="203200"/>
            <wp:effectExtent b="0" l="0" r="0" t="0"/>
            <wp:docPr descr="Twitter icon" title="" id="242" name="Picture"/>
            <a:graphic>
              <a:graphicData uri="http://schemas.openxmlformats.org/drawingml/2006/picture">
                <pic:pic>
                  <pic:nvPicPr>
                    <pic:cNvPr descr="images/twitter.png" id="243" name="Picture"/>
                    <pic:cNvPicPr>
                      <a:picLocks noChangeArrowheads="1" noChangeAspect="1"/>
                    </pic:cNvPicPr>
                  </pic:nvPicPr>
                  <pic:blipFill>
                    <a:blip r:embed="rId48"/>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44">
        <w:r>
          <w:rPr>
            <w:rStyle w:val="Hyperlink"/>
          </w:rPr>
          <w:t xml:space="preserve">jolynnerokita</w:t>
        </w:r>
      </w:hyperlink>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r>
        <w:t xml:space="preserve">· Funded by NCI/NIH Contract No. 75N91019D00024, Task Order No. 75N91020F00003</w:t>
      </w:r>
      <w:r>
        <w:t xml:space="preserve"> </w:t>
      </w:r>
    </w:p>
    <w:bookmarkEnd w:id="245"/>
    <w:bookmarkStart w:id="247" w:name="contact-information"/>
    <w:p>
      <w:pPr>
        <w:pStyle w:val="Heading2"/>
      </w:pPr>
      <w:r>
        <w:t xml:space="preserve">Contact information</w:t>
      </w:r>
    </w:p>
    <w:p>
      <w:pPr>
        <w:pStyle w:val="FirstParagraph"/>
      </w:pPr>
      <w:r>
        <w:t xml:space="preserve">✉Correspondence: Jo Lynne Rokita</w:t>
      </w:r>
      <w:r>
        <w:t xml:space="preserve"> </w:t>
      </w:r>
      <w:hyperlink r:id="rId246">
        <w:r>
          <w:rPr>
            <w:rStyle w:val="Hyperlink"/>
          </w:rPr>
          <w:t xml:space="preserve">rokita@chop.edu</w:t>
        </w:r>
      </w:hyperlink>
    </w:p>
    <w:bookmarkEnd w:id="247"/>
    <w:bookmarkStart w:id="251" w:name="abstract"/>
    <w:p>
      <w:pPr>
        <w:pStyle w:val="Heading2"/>
      </w:pPr>
      <w:r>
        <w:t xml:space="preserve">Abstract</w:t>
      </w:r>
    </w:p>
    <w:bookmarkStart w:id="248" w:name="background"/>
    <w:p>
      <w:pPr>
        <w:pStyle w:val="Heading3"/>
      </w:pPr>
      <w:r>
        <w:t xml:space="preserve">Background</w:t>
      </w:r>
    </w:p>
    <w:bookmarkEnd w:id="248"/>
    <w:bookmarkStart w:id="249" w:name="findings"/>
    <w:p>
      <w:pPr>
        <w:pStyle w:val="Heading3"/>
      </w:pPr>
      <w:r>
        <w:t xml:space="preserve">Findings</w:t>
      </w:r>
    </w:p>
    <w:bookmarkEnd w:id="249"/>
    <w:bookmarkStart w:id="250" w:name="conclusions"/>
    <w:p>
      <w:pPr>
        <w:pStyle w:val="Heading3"/>
      </w:pPr>
      <w:r>
        <w:t xml:space="preserve">Conclusions</w:t>
      </w:r>
    </w:p>
    <w:bookmarkEnd w:id="250"/>
    <w:bookmarkEnd w:id="251"/>
    <w:bookmarkStart w:id="252" w:name="keywords"/>
    <w:p>
      <w:pPr>
        <w:pStyle w:val="Heading2"/>
      </w:pPr>
      <w:r>
        <w:t xml:space="preserve">Keywords</w:t>
      </w:r>
    </w:p>
    <w:p>
      <w:pPr>
        <w:pStyle w:val="FirstParagraph"/>
      </w:pPr>
      <w:r>
        <w:t xml:space="preserve">Pediatric cancer, open science, reproducibility, multi-omics</w:t>
      </w:r>
    </w:p>
    <w:bookmarkEnd w:id="252"/>
    <w:bookmarkStart w:id="273" w:name="data-description"/>
    <w:p>
      <w:pPr>
        <w:pStyle w:val="Heading2"/>
      </w:pPr>
      <w:r>
        <w:t xml:space="preserve">Data Description</w:t>
      </w:r>
    </w:p>
    <w:p>
      <w:pPr>
        <w:pStyle w:val="FirstParagraph"/>
      </w:pPr>
      <w:r>
        <w:t xml:space="preserve">The Open Pediatric Cancer (OpenPedCan) project at the Children’s Hospital of Philadelphia is an open analysis effort in which we harmonize pediatric cancer data from multiple sources, perform downstream cancer analyses on these data, and provide them on PedcBioPortal and v2.1 of NCI’s</w:t>
      </w:r>
      <w:r>
        <w:t xml:space="preserve"> </w:t>
      </w:r>
      <w:hyperlink r:id="rId253">
        <w:r>
          <w:rPr>
            <w:rStyle w:val="Hyperlink"/>
          </w:rPr>
          <w:t xml:space="preserve">Pediatric Molecular Targets Platform (MTP)</w:t>
        </w:r>
      </w:hyperlink>
      <w:r>
        <w:t xml:space="preserve">.</w:t>
      </w:r>
      <w:r>
        <w:t xml:space="preserve"> </w:t>
      </w:r>
      <w:r>
        <w:t xml:space="preserve">We harmonized, aggregated, and analyzed data from multiple pediatric and adult data sources.</w:t>
      </w:r>
      <w:r>
        <w:t xml:space="preserve"> </w:t>
      </w:r>
      <w:r>
        <w:t xml:space="preserve">Building on the work of OpenPBTA, OPC contains additional data from the following studies:</w:t>
      </w:r>
      <w:r>
        <w:t xml:space="preserve"> </w:t>
      </w:r>
      <w:r>
        <w:t xml:space="preserve">OpenPedCan currently include the following datasets, described more fully below:</w:t>
      </w:r>
    </w:p>
    <w:p>
      <w:pPr>
        <w:numPr>
          <w:ilvl w:val="0"/>
          <w:numId w:val="1002"/>
        </w:numPr>
        <w:pStyle w:val="Compact"/>
      </w:pPr>
      <w:r>
        <w:t xml:space="preserve">OpenPBTA</w:t>
      </w:r>
    </w:p>
    <w:p>
      <w:pPr>
        <w:numPr>
          <w:ilvl w:val="0"/>
          <w:numId w:val="1002"/>
        </w:numPr>
        <w:pStyle w:val="Compact"/>
      </w:pPr>
      <w:r>
        <w:t xml:space="preserve">TARGET</w:t>
      </w:r>
    </w:p>
    <w:p>
      <w:pPr>
        <w:numPr>
          <w:ilvl w:val="0"/>
          <w:numId w:val="1002"/>
        </w:numPr>
        <w:pStyle w:val="Compact"/>
      </w:pPr>
      <w:r>
        <w:t xml:space="preserve">Kids First Neuroblastoma (X01)</w:t>
      </w:r>
    </w:p>
    <w:p>
      <w:pPr>
        <w:numPr>
          <w:ilvl w:val="0"/>
          <w:numId w:val="1002"/>
        </w:numPr>
        <w:pStyle w:val="Compact"/>
      </w:pPr>
      <w:r>
        <w:t xml:space="preserve">Kids First PBTA (X01)</w:t>
      </w:r>
    </w:p>
    <w:p>
      <w:pPr>
        <w:numPr>
          <w:ilvl w:val="0"/>
          <w:numId w:val="1002"/>
        </w:numPr>
        <w:pStyle w:val="Compact"/>
      </w:pPr>
      <w:r>
        <w:t xml:space="preserve">Chordoma Foundation</w:t>
      </w:r>
    </w:p>
    <w:p>
      <w:pPr>
        <w:numPr>
          <w:ilvl w:val="0"/>
          <w:numId w:val="1002"/>
        </w:numPr>
        <w:pStyle w:val="Compact"/>
      </w:pPr>
      <w:r>
        <w:t xml:space="preserve">PPTC</w:t>
      </w:r>
    </w:p>
    <w:p>
      <w:pPr>
        <w:numPr>
          <w:ilvl w:val="0"/>
          <w:numId w:val="1002"/>
        </w:numPr>
        <w:pStyle w:val="Compact"/>
      </w:pPr>
      <w:r>
        <w:t xml:space="preserve">Maris</w:t>
      </w:r>
    </w:p>
    <w:p>
      <w:pPr>
        <w:numPr>
          <w:ilvl w:val="0"/>
          <w:numId w:val="1002"/>
        </w:numPr>
        <w:pStyle w:val="Compact"/>
      </w:pPr>
      <w:r>
        <w:t xml:space="preserve">MI-ONCOSEQ Study</w:t>
      </w:r>
    </w:p>
    <w:p>
      <w:pPr>
        <w:numPr>
          <w:ilvl w:val="0"/>
          <w:numId w:val="1002"/>
        </w:numPr>
        <w:pStyle w:val="Compact"/>
      </w:pPr>
      <w:r>
        <w:t xml:space="preserve">DGD (CHOP P30 Panel)</w:t>
      </w:r>
    </w:p>
    <w:p>
      <w:pPr>
        <w:numPr>
          <w:ilvl w:val="0"/>
          <w:numId w:val="1002"/>
        </w:numPr>
        <w:pStyle w:val="Compact"/>
      </w:pPr>
      <w:r>
        <w:t xml:space="preserve">GTEx</w:t>
      </w:r>
    </w:p>
    <w:p>
      <w:pPr>
        <w:numPr>
          <w:ilvl w:val="0"/>
          <w:numId w:val="1002"/>
        </w:numPr>
        <w:pStyle w:val="Compact"/>
      </w:pPr>
      <w:r>
        <w:t xml:space="preserve">TCGA</w:t>
      </w:r>
    </w:p>
    <w:p>
      <w:pPr>
        <w:numPr>
          <w:ilvl w:val="0"/>
          <w:numId w:val="1002"/>
        </w:numPr>
        <w:pStyle w:val="Compact"/>
      </w:pPr>
      <w:r>
        <w:t xml:space="preserve">CPTAC PBTA</w:t>
      </w:r>
    </w:p>
    <w:p>
      <w:pPr>
        <w:numPr>
          <w:ilvl w:val="0"/>
          <w:numId w:val="1002"/>
        </w:numPr>
        <w:pStyle w:val="Compact"/>
      </w:pPr>
      <w:r>
        <w:t xml:space="preserve">CPTAC GBM</w:t>
      </w:r>
    </w:p>
    <w:p>
      <w:pPr>
        <w:numPr>
          <w:ilvl w:val="0"/>
          <w:numId w:val="1002"/>
        </w:numPr>
        <w:pStyle w:val="Compact"/>
      </w:pPr>
      <w:r>
        <w:t xml:space="preserve">HOPE proteomics</w:t>
      </w:r>
    </w:p>
    <w:p>
      <w:pPr>
        <w:pStyle w:val="FirstParagraph"/>
      </w:pPr>
      <w:r>
        <w:rPr>
          <w:bCs/>
          <w:b/>
        </w:rPr>
        <w:t xml:space="preserve">Open Pediatric Brain Tumor Atlas (OpenPBTA)</w:t>
      </w:r>
      <w:r>
        <w:t xml:space="preserve"> </w:t>
      </w:r>
      <w:r>
        <w:t xml:space="preserve">In September of 2018, the</w:t>
      </w:r>
      <w:r>
        <w:t xml:space="preserve"> </w:t>
      </w:r>
      <w:hyperlink r:id="rId254">
        <w:r>
          <w:rPr>
            <w:rStyle w:val="Hyperlink"/>
          </w:rPr>
          <w:t xml:space="preserve">Children’s Brain Tumor Network (CBTN)</w:t>
        </w:r>
      </w:hyperlink>
      <w:r>
        <w:t xml:space="preserve"> </w:t>
      </w:r>
      <w:r>
        <w:t xml:space="preserve">released the</w:t>
      </w:r>
      <w:r>
        <w:t xml:space="preserve"> </w:t>
      </w:r>
      <w:hyperlink r:id="rId255">
        <w:r>
          <w:rPr>
            <w:rStyle w:val="Hyperlink"/>
          </w:rPr>
          <w:t xml:space="preserve">Pediatric Brain Tumor Atlas (PBTA)</w:t>
        </w:r>
      </w:hyperlink>
      <w:r>
        <w:t xml:space="preserve">, a genomic dataset (whole genome sequencing, whole exome sequencing, RNA sequencing, proteomic, and clinical data) for nearly 1,000 tumors, available from the</w:t>
      </w:r>
      <w:r>
        <w:t xml:space="preserve"> </w:t>
      </w:r>
      <w:hyperlink r:id="rId256">
        <w:r>
          <w:rPr>
            <w:rStyle w:val="Hyperlink"/>
          </w:rPr>
          <w:t xml:space="preserve">Gabriella Miller Kids First Portal</w:t>
        </w:r>
      </w:hyperlink>
      <w:r>
        <w:t xml:space="preserve">.</w:t>
      </w:r>
      <w:r>
        <w:t xml:space="preserve"> </w:t>
      </w:r>
      <w:r>
        <w:t xml:space="preserve">In September of 2019, the Open Pediatric Brain Tumor Atlas (OpenPBTA) Project was launched.</w:t>
      </w:r>
      <w:r>
        <w:t xml:space="preserve"> </w:t>
      </w:r>
      <w:r>
        <w:t xml:space="preserve">OpenPBTA was a global open science initiative to comprehensively define the molecular landscape of tumors of 943 patients from the CBTN and the PNOC003 DIPG clinical trial from the</w:t>
      </w:r>
      <w:r>
        <w:t xml:space="preserve"> </w:t>
      </w:r>
      <w:hyperlink r:id="rId257">
        <w:r>
          <w:rPr>
            <w:rStyle w:val="Hyperlink"/>
          </w:rPr>
          <w:t xml:space="preserve">Pediatric Pacific Neuro-oncology Consortium</w:t>
        </w:r>
      </w:hyperlink>
      <w:r>
        <w:t xml:space="preserve"> </w:t>
      </w:r>
      <w:r>
        <w:t xml:space="preserve">through real-time, collaborative analyses and</w:t>
      </w:r>
      <w:r>
        <w:t xml:space="preserve"> </w:t>
      </w:r>
      <w:hyperlink r:id="rId258">
        <w:r>
          <w:rPr>
            <w:rStyle w:val="Hyperlink"/>
          </w:rPr>
          <w:t xml:space="preserve">collaborative manuscript writing</w:t>
        </w:r>
      </w:hyperlink>
      <w:r>
        <w:t xml:space="preserve"> </w:t>
      </w:r>
      <w:r>
        <w:t xml:space="preserve">on GitHub, now published in</w:t>
      </w:r>
      <w:r>
        <w:t xml:space="preserve"> </w:t>
      </w:r>
      <w:hyperlink r:id="rId259">
        <w:r>
          <w:rPr>
            <w:rStyle w:val="Hyperlink"/>
            <w:iCs/>
            <w:i/>
          </w:rPr>
          <w:t xml:space="preserve">Cell Genomics</w:t>
        </w:r>
      </w:hyperlink>
      <w:r>
        <w:t xml:space="preserve">.</w:t>
      </w:r>
      <w:r>
        <w:t xml:space="preserve"> </w:t>
      </w:r>
      <w:r>
        <w:t xml:space="preserve">Additional PBTA data has been, and will be continually added to, OpenPedCan.</w:t>
      </w:r>
    </w:p>
    <w:p>
      <w:pPr>
        <w:pStyle w:val="BodyText"/>
      </w:pPr>
      <w:r>
        <w:rPr>
          <w:bCs/>
          <w:b/>
        </w:rPr>
        <w:t xml:space="preserve">Therapeutically Applicable Research to Generate Effective Treatments</w:t>
      </w:r>
      <w:r>
        <w:rPr>
          <w:bCs/>
          <w:b/>
        </w:rPr>
        <w:t xml:space="preserve"> </w:t>
      </w:r>
      <w:hyperlink r:id="rId260">
        <w:r>
          <w:rPr>
            <w:rStyle w:val="Hyperlink"/>
            <w:bCs/>
            <w:b/>
          </w:rPr>
          <w:t xml:space="preserve">(TARGET)</w:t>
        </w:r>
      </w:hyperlink>
      <w:r>
        <w:t xml:space="preserve"> </w:t>
      </w:r>
      <w:r>
        <w:t xml:space="preserve">The Therapeutically Applicable Research to Generate Effective Treatments (TARGET) Initiative is an NCI-funded collection of disease-specific projects that seeks to identify the genomic changes of pediatric cancers.</w:t>
      </w:r>
      <w:r>
        <w:t xml:space="preserve"> </w:t>
      </w:r>
      <w:r>
        <w:t xml:space="preserve">The overall goal is to collect genomic data to accelerate the development of more effective therapies.</w:t>
      </w:r>
      <w:r>
        <w:t xml:space="preserve"> </w:t>
      </w:r>
      <w:r>
        <w:t xml:space="preserve">OpenPedCan analyses include the seven diseases present in the TARGET dataset: Acute Lymphoblastic Leukemia (ALL), Acute Myeloid Leukemia (AML), Clear cell sarcoma of the kidney, Neuroblastoma, Osteosarcoma, Rhabdoid tumor, and Wilm’s Tumor.</w:t>
      </w:r>
    </w:p>
    <w:p>
      <w:pPr>
        <w:pStyle w:val="BodyText"/>
      </w:pPr>
      <w:r>
        <w:rPr>
          <w:bCs/>
          <w:b/>
        </w:rPr>
        <w:t xml:space="preserve">Gabriella Miller Kids First</w:t>
      </w:r>
      <w:r>
        <w:rPr>
          <w:bCs/>
          <w:b/>
        </w:rPr>
        <w:t xml:space="preserve"> </w:t>
      </w:r>
      <w:hyperlink r:id="rId261">
        <w:r>
          <w:rPr>
            <w:rStyle w:val="Hyperlink"/>
            <w:bCs/>
            <w:b/>
          </w:rPr>
          <w:t xml:space="preserve">(Neuroblastoma)</w:t>
        </w:r>
      </w:hyperlink>
      <w:r>
        <w:rPr>
          <w:bCs/>
          <w:b/>
        </w:rPr>
        <w:t xml:space="preserve"> </w:t>
      </w:r>
      <w:r>
        <w:rPr>
          <w:bCs/>
          <w:b/>
        </w:rPr>
        <w:t xml:space="preserve">and</w:t>
      </w:r>
      <w:r>
        <w:rPr>
          <w:bCs/>
          <w:b/>
        </w:rPr>
        <w:t xml:space="preserve"> </w:t>
      </w:r>
      <w:hyperlink r:id="rId262">
        <w:r>
          <w:rPr>
            <w:rStyle w:val="Hyperlink"/>
            <w:bCs/>
            <w:b/>
          </w:rPr>
          <w:t xml:space="preserve">PBTA</w:t>
        </w:r>
      </w:hyperlink>
      <w:r>
        <w:t xml:space="preserve"> </w:t>
      </w:r>
      <w:r>
        <w:t xml:space="preserve">The Gabriella Miller Kids First Pediatric Research Program (Kids First) is a large-scale effort to accelerate research and gene discovery in pediatric cancers and structural birth defects.</w:t>
      </w:r>
      <w:r>
        <w:t xml:space="preserve"> </w:t>
      </w:r>
      <w:r>
        <w:t xml:space="preserve">The program includes whole genome sequencing (WGS) from patients with pediatric cancers and structural birth defects and their families.</w:t>
      </w:r>
      <w:r>
        <w:t xml:space="preserve"> </w:t>
      </w:r>
      <w:r>
        <w:t xml:space="preserve">OpenPedCan analyses include Neuroblastoma and PBTA data from the Kids First projects.</w:t>
      </w:r>
    </w:p>
    <w:p>
      <w:pPr>
        <w:pStyle w:val="BodyText"/>
      </w:pPr>
      <w:hyperlink r:id="rId263">
        <w:r>
          <w:rPr>
            <w:rStyle w:val="Hyperlink"/>
            <w:bCs/>
            <w:b/>
          </w:rPr>
          <w:t xml:space="preserve">Chordoma Foundation</w:t>
        </w:r>
      </w:hyperlink>
      <w:r>
        <w:t xml:space="preserve"> </w:t>
      </w:r>
      <w:r>
        <w:t xml:space="preserve">The Chordoma Foundation seeks to advance research and improve healthcare for patients diagnosed with chordoma.</w:t>
      </w:r>
    </w:p>
    <w:p>
      <w:pPr>
        <w:pStyle w:val="BodyText"/>
      </w:pPr>
      <w:r>
        <w:rPr>
          <w:bCs/>
          <w:b/>
        </w:rPr>
        <w:t xml:space="preserve">Pediatric Preclinical Testing Consortium</w:t>
      </w:r>
      <w:r>
        <w:rPr>
          <w:bCs/>
          <w:b/>
        </w:rPr>
        <w:t xml:space="preserve"> </w:t>
      </w:r>
      <w:hyperlink r:id="rId264">
        <w:r>
          <w:rPr>
            <w:rStyle w:val="Hyperlink"/>
            <w:bCs/>
            <w:b/>
          </w:rPr>
          <w:t xml:space="preserve">(PPTC)</w:t>
        </w:r>
      </w:hyperlink>
      <w:r>
        <w:t xml:space="preserve"> </w:t>
      </w:r>
      <w:r>
        <w:t xml:space="preserve">The National Cancer Institute’s (NCI) former PPTC, now the</w:t>
      </w:r>
      <w:r>
        <w:t xml:space="preserve"> </w:t>
      </w:r>
      <w:hyperlink r:id="rId265">
        <w:r>
          <w:rPr>
            <w:rStyle w:val="Hyperlink"/>
          </w:rPr>
          <w:t xml:space="preserve">Pediatric Preclinical in Vivo Testing (PIVOT) Program</w:t>
        </w:r>
      </w:hyperlink>
      <w:r>
        <w:t xml:space="preserve">, molecularly and pharmacologically characterizes cell-derived and patient-derived xenograft (PDX) models.</w:t>
      </w:r>
      <w:r>
        <w:t xml:space="preserve"> </w:t>
      </w:r>
      <w:r>
        <w:t xml:space="preserve">OpenPedCan includes re-harmonized RNA-Seq data for 244 models from the initial PPTC study</w:t>
      </w:r>
      <w:r>
        <w:t xml:space="preserve"> </w:t>
      </w:r>
      <w:r>
        <w:t xml:space="preserve">[</w:t>
      </w:r>
      <w:hyperlink w:anchor="ref-SDwYl8uA">
        <w:r>
          <w:rPr>
            <w:rStyle w:val="Hyperlink"/>
          </w:rPr>
          <w:t xml:space="preserve">1</w:t>
        </w:r>
      </w:hyperlink>
      <w:r>
        <w:t xml:space="preserve">]</w:t>
      </w:r>
      <w:r>
        <w:t xml:space="preserve">.</w:t>
      </w:r>
    </w:p>
    <w:p>
      <w:pPr>
        <w:pStyle w:val="BodyText"/>
      </w:pPr>
      <w:r>
        <w:rPr>
          <w:bCs/>
          <w:b/>
        </w:rPr>
        <w:t xml:space="preserve">MI-ONCOSEQ Study</w:t>
      </w:r>
      <w:r>
        <w:rPr>
          <w:bCs/>
          <w:b/>
        </w:rPr>
        <w:t xml:space="preserve"> </w:t>
      </w:r>
      <w:r>
        <w:rPr>
          <w:bCs/>
          <w:b/>
        </w:rPr>
        <w:t xml:space="preserve">[</w:t>
      </w:r>
      <w:hyperlink w:anchor="ref-ygVj7a6q">
        <w:r>
          <w:rPr>
            <w:rStyle w:val="Hyperlink"/>
            <w:bCs/>
            <w:b/>
          </w:rPr>
          <w:t xml:space="preserve">2</w:t>
        </w:r>
      </w:hyperlink>
      <w:r>
        <w:rPr>
          <w:bCs/>
          <w:b/>
        </w:rPr>
        <w:t xml:space="preserve">]</w:t>
      </w:r>
      <w:r>
        <w:t xml:space="preserve"> </w:t>
      </w:r>
      <w:r>
        <w:t xml:space="preserve">These clinical sequencing data from the University of Michigan were donated to CBTN and added to the PBTA cohort.</w:t>
      </w:r>
    </w:p>
    <w:p>
      <w:pPr>
        <w:pStyle w:val="BodyText"/>
      </w:pPr>
      <w:r>
        <w:rPr>
          <w:bCs/>
          <w:b/>
        </w:rPr>
        <w:t xml:space="preserve">DGD</w:t>
      </w:r>
      <w:r>
        <w:rPr>
          <w:bCs/>
          <w:b/>
        </w:rPr>
        <w:t xml:space="preserve"> </w:t>
      </w:r>
      <w:hyperlink r:id="rId266">
        <w:r>
          <w:rPr>
            <w:rStyle w:val="Hyperlink"/>
            <w:bCs/>
            <w:b/>
          </w:rPr>
          <w:t xml:space="preserve">(CHOP P30 Panel)</w:t>
        </w:r>
      </w:hyperlink>
      <w:r>
        <w:t xml:space="preserve"> </w:t>
      </w:r>
      <w:r>
        <w:t xml:space="preserve">CHOP’s</w:t>
      </w:r>
      <w:r>
        <w:t xml:space="preserve"> </w:t>
      </w:r>
      <w:hyperlink r:id="rId267">
        <w:r>
          <w:rPr>
            <w:rStyle w:val="Hyperlink"/>
          </w:rPr>
          <w:t xml:space="preserve">Division of Genome Diagnostics</w:t>
        </w:r>
      </w:hyperlink>
      <w:r>
        <w:t xml:space="preserve"> </w:t>
      </w:r>
      <w:r>
        <w:t xml:space="preserve">has partnered with CCDI to add somatic panel sequencing data to OpenPedCan and the Molecular Targets Platform.</w:t>
      </w:r>
    </w:p>
    <w:p>
      <w:pPr>
        <w:pStyle w:val="BodyText"/>
      </w:pPr>
      <w:r>
        <w:rPr>
          <w:bCs/>
          <w:b/>
        </w:rPr>
        <w:t xml:space="preserve">The Genotype-Tissue Expression</w:t>
      </w:r>
      <w:r>
        <w:rPr>
          <w:bCs/>
          <w:b/>
        </w:rPr>
        <w:t xml:space="preserve"> </w:t>
      </w:r>
      <w:hyperlink r:id="rId268">
        <w:r>
          <w:rPr>
            <w:rStyle w:val="Hyperlink"/>
            <w:bCs/>
            <w:b/>
          </w:rPr>
          <w:t xml:space="preserve">(GTEx)</w:t>
        </w:r>
      </w:hyperlink>
      <w:r>
        <w:t xml:space="preserve"> </w:t>
      </w:r>
      <w:r>
        <w:t xml:space="preserve">GTEx project is an ongoing effort to build a comprehensive public data resource and tissue bank to study tissue-specific gene expression, regulation and their relationship with genetic variants.</w:t>
      </w:r>
      <w:r>
        <w:t xml:space="preserve"> </w:t>
      </w:r>
      <w:r>
        <w:t xml:space="preserve">Samples were collected from 54 non-diseased tissue sites across nearly 1000 individuals, primarily for molecular assays including WGS, WXS, and RNA-Seq.</w:t>
      </w:r>
      <w:r>
        <w:t xml:space="preserve"> </w:t>
      </w:r>
      <w:r>
        <w:t xml:space="preserve">OpenPedCan project includes 17,382 GTEx RNA-Seq samples from GTEx v8 release, which span across 31 GTEx groups in the v12 release.</w:t>
      </w:r>
    </w:p>
    <w:p>
      <w:pPr>
        <w:pStyle w:val="BodyText"/>
      </w:pPr>
      <w:r>
        <w:rPr>
          <w:bCs/>
          <w:b/>
        </w:rPr>
        <w:t xml:space="preserve">The Cancer Genome Atlas Program</w:t>
      </w:r>
      <w:r>
        <w:rPr>
          <w:bCs/>
          <w:b/>
        </w:rPr>
        <w:t xml:space="preserve"> </w:t>
      </w:r>
      <w:hyperlink r:id="rId269">
        <w:r>
          <w:rPr>
            <w:rStyle w:val="Hyperlink"/>
            <w:bCs/>
            <w:b/>
          </w:rPr>
          <w:t xml:space="preserve">(TCGA)</w:t>
        </w:r>
      </w:hyperlink>
      <w:r>
        <w:t xml:space="preserve"> </w:t>
      </w:r>
      <w:r>
        <w:t xml:space="preserve">TCGA is a landmark cancer genomics program that molecularly characterized over 20,000 primary cancer and matched normal samples spanning 33 cancer types.</w:t>
      </w:r>
      <w:r>
        <w:t xml:space="preserve"> </w:t>
      </w:r>
      <w:r>
        <w:t xml:space="preserve">It is a joint effort between NCI and the National Human Genome Research Institute.</w:t>
      </w:r>
      <w:r>
        <w:t xml:space="preserve"> </w:t>
      </w:r>
      <w:r>
        <w:t xml:space="preserve">OpenPedCan project includes 10,414 TCGA RNA-Seq samples (716 normal and 9698 tumor) from</w:t>
      </w:r>
      <w:r>
        <w:t xml:space="preserve"> </w:t>
      </w:r>
      <w:hyperlink r:id="rId270">
        <w:r>
          <w:rPr>
            <w:rStyle w:val="Hyperlink"/>
          </w:rPr>
          <w:t xml:space="preserve">33 cancer types</w:t>
        </w:r>
      </w:hyperlink>
      <w:r>
        <w:t xml:space="preserve">.</w:t>
      </w:r>
    </w:p>
    <w:p>
      <w:pPr>
        <w:pStyle w:val="BodyText"/>
      </w:pPr>
      <w:r>
        <w:rPr>
          <w:bCs/>
          <w:b/>
        </w:rPr>
        <w:t xml:space="preserve">Clinical Proteomic Tumor Analysis Consortium (CPTAC) PBTA proteomics study</w:t>
      </w:r>
      <w:r>
        <w:t xml:space="preserve"> </w:t>
      </w:r>
      <w:r>
        <w:t xml:space="preserve">The CPTAC pediatric pan-brain tumor study</w:t>
      </w:r>
      <w:r>
        <w:t xml:space="preserve"> </w:t>
      </w:r>
      <w:r>
        <w:t xml:space="preserve">[</w:t>
      </w:r>
      <w:hyperlink w:anchor="ref-meH98mKZ">
        <w:r>
          <w:rPr>
            <w:rStyle w:val="Hyperlink"/>
          </w:rPr>
          <w:t xml:space="preserve">3</w:t>
        </w:r>
      </w:hyperlink>
      <w:r>
        <w:t xml:space="preserve">]</w:t>
      </w:r>
      <w:r>
        <w:t xml:space="preserve"> </w:t>
      </w:r>
      <w:r>
        <w:t xml:space="preserve">contains 218 tumors profiled by proteogenomics and are included in OPC.</w:t>
      </w:r>
    </w:p>
    <w:p>
      <w:pPr>
        <w:pStyle w:val="BodyText"/>
      </w:pPr>
      <w:r>
        <w:rPr>
          <w:bCs/>
          <w:b/>
        </w:rPr>
        <w:t xml:space="preserve">CPTAC adult GBM proteomics study</w:t>
      </w:r>
      <w:r>
        <w:t xml:space="preserve"> </w:t>
      </w:r>
      <w:r>
        <w:t xml:space="preserve">This CPTAC adult GBM study</w:t>
      </w:r>
      <w:r>
        <w:t xml:space="preserve"> </w:t>
      </w:r>
      <w:r>
        <w:t xml:space="preserve">[</w:t>
      </w:r>
      <w:hyperlink w:anchor="ref-XOVss5Jf">
        <w:r>
          <w:rPr>
            <w:rStyle w:val="Hyperlink"/>
          </w:rPr>
          <w:t xml:space="preserve">4</w:t>
        </w:r>
      </w:hyperlink>
      <w:r>
        <w:t xml:space="preserve">]</w:t>
      </w:r>
      <w:r>
        <w:t xml:space="preserve"> </w:t>
      </w:r>
      <w:r>
        <w:t xml:space="preserve">contains 99 tumors profiled by proteogenomics and are included in OPC.</w:t>
      </w:r>
    </w:p>
    <w:p>
      <w:pPr>
        <w:pStyle w:val="BodyText"/>
      </w:pPr>
      <w:r>
        <w:rPr>
          <w:bCs/>
          <w:b/>
        </w:rPr>
        <w:t xml:space="preserve">Project HOPE proteomics study</w:t>
      </w:r>
      <w:r>
        <w:t xml:space="preserve"> </w:t>
      </w:r>
      <w:r>
        <w:t xml:space="preserve">Project HOPE is an adolescent and young adult high-grade glioma study (in preparation for publication) that contains 90 tumors profiled by proteogenomics and are included in OPC.</w:t>
      </w:r>
    </w:p>
    <w:p>
      <w:pPr>
        <w:pStyle w:val="BodyText"/>
      </w:pPr>
      <w:r>
        <w:t xml:space="preserve">OpenPedCan operates on a pull request model to accept contributions from community participants.</w:t>
      </w:r>
      <w:r>
        <w:t xml:space="preserve"> </w:t>
      </w:r>
      <w:r>
        <w:t xml:space="preserve">The maintainers have set up continuous integration software via GitHub Actions to confirm the reproducibility of analyses within the project’s Docker container.</w:t>
      </w:r>
    </w:p>
    <w:p>
      <w:pPr>
        <w:pStyle w:val="BodyText"/>
      </w:pPr>
      <w:r>
        <w:t xml:space="preserve">We maintained a data release folder on Amazon S3, downloadable directly from S3 or our open-access CAVATICA project, with merged files for each analysis.</w:t>
      </w:r>
      <w:r>
        <w:t xml:space="preserve"> </w:t>
      </w:r>
      <w:r>
        <w:t xml:space="preserve">As we produced new results, identified data issues, or added additional data, we created new data releases in a versioned manner.</w:t>
      </w:r>
    </w:p>
    <w:p>
      <w:pPr>
        <w:pStyle w:val="BodyText"/>
      </w:pPr>
      <w:r>
        <w:t xml:space="preserve">The project maintainers includes scientists from the</w:t>
      </w:r>
      <w:r>
        <w:t xml:space="preserve"> </w:t>
      </w:r>
      <w:hyperlink r:id="rId271">
        <w:r>
          <w:rPr>
            <w:rStyle w:val="Hyperlink"/>
          </w:rPr>
          <w:t xml:space="preserve">Center for Data-Driven Discovery in Biomedicine</w:t>
        </w:r>
      </w:hyperlink>
      <w:r>
        <w:t xml:space="preserve"> </w:t>
      </w:r>
      <w:r>
        <w:t xml:space="preserve">and</w:t>
      </w:r>
      <w:r>
        <w:t xml:space="preserve"> </w:t>
      </w:r>
      <w:hyperlink r:id="rId272">
        <w:r>
          <w:rPr>
            <w:rStyle w:val="Hyperlink"/>
          </w:rPr>
          <w:t xml:space="preserve">Department of Biomedical and Health Informatics</w:t>
        </w:r>
      </w:hyperlink>
      <w:r>
        <w:t xml:space="preserve"> </w:t>
      </w:r>
      <w:r>
        <w:t xml:space="preserve">at the Children’s Hospital of Philadelphia.</w:t>
      </w:r>
    </w:p>
    <w:bookmarkEnd w:id="273"/>
    <w:bookmarkStart w:id="274" w:name="context"/>
    <w:p>
      <w:pPr>
        <w:pStyle w:val="Heading2"/>
      </w:pPr>
      <w:r>
        <w:t xml:space="preserve">Context</w:t>
      </w:r>
    </w:p>
    <w:p>
      <w:pPr>
        <w:pStyle w:val="FirstParagraph"/>
      </w:pPr>
      <w:r>
        <w:t xml:space="preserve">Creation of this dataset had multiple motivations.</w:t>
      </w:r>
      <w:r>
        <w:t xml:space="preserve"> </w:t>
      </w:r>
      <w:r>
        <w:t xml:space="preserve">First, we sought to harmonize, summarize, and contextualize pediatric cancer genomics data among normal tissues (GTEx) and adult cancer tissues (TCGA) to enable the creation of the National Cancer Institute’s Molecular Targets Platform (MTP) at https://moleculartargets.ccdi.cancer.gov/.</w:t>
      </w:r>
      <w:r>
        <w:t xml:space="preserve"> </w:t>
      </w:r>
      <w:r>
        <w:t xml:space="preserve">Next, we created this resource for broad community use to promote rapid reuse and accelerate the discovery of additional mechanisms contributing to the pathogenesis of pediatric cancers.</w:t>
      </w:r>
    </w:p>
    <w:bookmarkEnd w:id="274"/>
    <w:bookmarkStart w:id="336" w:name="methods"/>
    <w:p>
      <w:pPr>
        <w:pStyle w:val="Heading2"/>
      </w:pPr>
      <w:r>
        <w:t xml:space="preserve">Methods</w:t>
      </w:r>
    </w:p>
    <w:bookmarkStart w:id="314" w:name="method-details"/>
    <w:p>
      <w:pPr>
        <w:pStyle w:val="Heading3"/>
      </w:pPr>
      <w:r>
        <w:t xml:space="preserve">Method Details</w:t>
      </w:r>
    </w:p>
    <w:bookmarkStart w:id="275" w:name="Xf02b739111c92905f93a98a09e9ef33af494767"/>
    <w:p>
      <w:pPr>
        <w:pStyle w:val="Heading4"/>
      </w:pPr>
      <w:r>
        <w:t xml:space="preserve">Nucleic acids extraction and library preparation</w:t>
      </w:r>
    </w:p>
    <w:p>
      <w:pPr>
        <w:pStyle w:val="FirstParagraph"/>
      </w:pPr>
      <w:r>
        <w:t xml:space="preserve">For the PBTA X01 cohort, libraries were prepped using the Illumina TruSeq Strand-Specific Protocol to pull out poly-adenylated transcripts.</w:t>
      </w:r>
    </w:p>
    <w:p>
      <w:pPr>
        <w:pStyle w:val="BodyText"/>
      </w:pPr>
      <w:r>
        <w:rPr>
          <w:bCs/>
          <w:b/>
        </w:rPr>
        <w:t xml:space="preserve">cDNA Library Construction</w:t>
      </w:r>
      <w:r>
        <w:t xml:space="preserve"> </w:t>
      </w:r>
      <w:r>
        <w:t xml:space="preserve">Total RNA was quantified using the Quant-iT™ RiboGreen® RNA Assay Kit and normalized to 5ng/ul.</w:t>
      </w:r>
      <w:r>
        <w:t xml:space="preserve"> </w:t>
      </w:r>
      <w:r>
        <w:t xml:space="preserve">Following plating, 2 uL of ERCC controls (using a 1:1000 dilution) were spiked into each sample.</w:t>
      </w:r>
      <w:r>
        <w:t xml:space="preserve"> </w:t>
      </w:r>
      <w:r>
        <w:t xml:space="preserve">An aliquot of 325 ng for each sample was transferred into library preparation.</w:t>
      </w:r>
      <w:r>
        <w:t xml:space="preserve"> </w:t>
      </w:r>
      <w:r>
        <w:t xml:space="preserve">The resultant 400bp cDNA went through dual-indexed library preparation:</w:t>
      </w:r>
      <w:r>
        <w:t xml:space="preserve"> </w:t>
      </w:r>
      <w:r>
        <w:t xml:space="preserve">‘</w:t>
      </w:r>
      <w:r>
        <w:t xml:space="preserve">A</w:t>
      </w:r>
      <w:r>
        <w:t xml:space="preserve">’</w:t>
      </w:r>
      <w:r>
        <w:t xml:space="preserve"> </w:t>
      </w:r>
      <w:r>
        <w:t xml:space="preserve">base addition, adapter ligation using P7 adapters, and PCR enrichment using P5 adapters.</w:t>
      </w:r>
      <w:r>
        <w:t xml:space="preserve"> </w:t>
      </w:r>
      <w:r>
        <w:t xml:space="preserve">After enrichment, the libraries were quantified using Quant-iT PicoGreen (1:200 dilution).</w:t>
      </w:r>
      <w:r>
        <w:t xml:space="preserve"> </w:t>
      </w:r>
      <w:r>
        <w:t xml:space="preserve">Samples were normalized to 5 ng/uL.</w:t>
      </w:r>
      <w:r>
        <w:t xml:space="preserve"> </w:t>
      </w:r>
      <w:r>
        <w:t xml:space="preserve">The sample set was pooled and quantified using the KAPA Library Quantification Kit for Illumina Sequencing Platforms.</w:t>
      </w:r>
    </w:p>
    <w:p>
      <w:pPr>
        <w:pStyle w:val="BodyText"/>
      </w:pPr>
      <w:r>
        <w:rPr>
          <w:bCs/>
          <w:b/>
        </w:rPr>
        <w:t xml:space="preserve">miRNA Extraction and Library Preparation</w:t>
      </w:r>
      <w:r>
        <w:t xml:space="preserve"> </w:t>
      </w:r>
      <w:r>
        <w:t xml:space="preserve">Total RNA for CBTN samples was extracted as described in OpenPBTA</w:t>
      </w:r>
      <w:r>
        <w:t xml:space="preserve"> </w:t>
      </w:r>
      <w:r>
        <w:t xml:space="preserve">[</w:t>
      </w:r>
      <w:hyperlink w:anchor="ref-5VXMHJ7N">
        <w:r>
          <w:rPr>
            <w:rStyle w:val="Hyperlink"/>
          </w:rPr>
          <w:t xml:space="preserve">5</w:t>
        </w:r>
      </w:hyperlink>
      <w:r>
        <w:t xml:space="preserve">]</w:t>
      </w:r>
      <w:r>
        <w:t xml:space="preserve"> </w:t>
      </w:r>
      <w:r>
        <w:t xml:space="preserve">and prepared according to the HTG Edge Seq protocol for the extracted RNA miRNA Whole transcriptome assay (WTA).</w:t>
      </w:r>
      <w:r>
        <w:t xml:space="preserve"> </w:t>
      </w:r>
      <w:r>
        <w:t xml:space="preserve">15ng of RNA were mixed in 25ul of lysis buffer, which were then loaded onto a 96-well plate.</w:t>
      </w:r>
      <w:r>
        <w:t xml:space="preserve"> </w:t>
      </w:r>
      <w:r>
        <w:t xml:space="preserve">Human Fetal Brain Total RNA (Takara Bio USA, #636526) and Human Brain Total RNA (Ambion, Inc., Austin, TX, USA) were used as controls.</w:t>
      </w:r>
      <w:r>
        <w:t xml:space="preserve"> </w:t>
      </w:r>
      <w:r>
        <w:t xml:space="preserve">The plate was loaded into the HTG EdgeSeq processor along with the miRNA WTA assay reagent pack.</w:t>
      </w:r>
      <w:r>
        <w:t xml:space="preserve"> </w:t>
      </w:r>
      <w:r>
        <w:t xml:space="preserve">Samples were processed for 18-20 hours, then were barcoded and amplified using a unique forward and reverse primer combination.</w:t>
      </w:r>
      <w:r>
        <w:t xml:space="preserve"> </w:t>
      </w:r>
      <w:r>
        <w:t xml:space="preserve">PCR settings used for barcoding and amplification were 95C for 4 min, 16 cycles of (95C for 15 sec, 56C for 45 sec, 68C for 45 sec), and 68C for 10 min.</w:t>
      </w:r>
      <w:r>
        <w:t xml:space="preserve"> </w:t>
      </w:r>
      <w:r>
        <w:t xml:space="preserve">Barcoded and amplified samples were cleaned using AMPure magnetic beads (Ampure XP,Cat# A63881).</w:t>
      </w:r>
      <w:r>
        <w:t xml:space="preserve"> </w:t>
      </w:r>
      <w:r>
        <w:t xml:space="preserve">Libraries were quantified using the KAPA Biosystem assay qPCR kit (Kapa Biosystems Cat#KK4824) and CT values were used to determine the pM concentration of each library.</w:t>
      </w:r>
    </w:p>
    <w:bookmarkEnd w:id="275"/>
    <w:bookmarkStart w:id="276" w:name="data-generation"/>
    <w:p>
      <w:pPr>
        <w:pStyle w:val="Heading4"/>
      </w:pPr>
      <w:r>
        <w:t xml:space="preserve">Data generation</w:t>
      </w:r>
    </w:p>
    <w:p>
      <w:pPr>
        <w:pStyle w:val="FirstParagraph"/>
      </w:pPr>
      <w:r>
        <w:rPr>
          <w:bCs/>
          <w:b/>
        </w:rPr>
        <w:t xml:space="preserve">PBTA X01 Illumina Sequencing</w:t>
      </w:r>
      <w:r>
        <w:t xml:space="preserve"> </w:t>
      </w:r>
      <w:r>
        <w:t xml:space="preserve">Pooled libraries were normalized to 2nM and denatured using 0.1 N NaOH prior to sequencing.</w:t>
      </w:r>
      <w:r>
        <w:t xml:space="preserve"> </w:t>
      </w:r>
      <w:r>
        <w:t xml:space="preserve">Flowcell cluster amplification and sequencing were performed according to the manufacturer’s protocols using the NovaSeq 6000.</w:t>
      </w:r>
      <w:r>
        <w:t xml:space="preserve"> </w:t>
      </w:r>
      <w:r>
        <w:t xml:space="preserve">Each run was a 151bp paired-end with an eight-base index barcode read.</w:t>
      </w:r>
      <w:r>
        <w:t xml:space="preserve"> </w:t>
      </w:r>
      <w:r>
        <w:t xml:space="preserve">Data was analyzed using the Broad Picard Pipeline which includes de-multiplexing and data aggregation.</w:t>
      </w:r>
    </w:p>
    <w:p>
      <w:pPr>
        <w:pStyle w:val="BodyText"/>
      </w:pPr>
      <w:r>
        <w:rPr>
          <w:bCs/>
          <w:b/>
        </w:rPr>
        <w:t xml:space="preserve">PBTA miRNA Sequencing</w:t>
      </w:r>
      <w:r>
        <w:t xml:space="preserve"> </w:t>
      </w:r>
      <w:r>
        <w:t xml:space="preserve">Libraries were pooled, denatured, and loaded onto sequencing cartridge.</w:t>
      </w:r>
      <w:r>
        <w:t xml:space="preserve"> </w:t>
      </w:r>
      <w:r>
        <w:t xml:space="preserve">Libraries were sequenced using an Illumina Nextseq 500 per manufacturer guidelines.</w:t>
      </w:r>
      <w:r>
        <w:t xml:space="preserve"> </w:t>
      </w:r>
      <w:r>
        <w:t xml:space="preserve">FASTQ files were generated from raw sequencing data using Illumina BaseSpace and analyzed with the HTG EdgeSeq Parser software v5.4.0.7543 to generate an excel file containing quantification of 2083 miRNAs per sample.</w:t>
      </w:r>
      <w:r>
        <w:t xml:space="preserve"> </w:t>
      </w:r>
      <w:r>
        <w:t xml:space="preserve">Any sample that did not pass the quality control set by the HTG REVEAL software version 2.0.1 (Tuscon, AR, USA) was excluded from the analysis.</w:t>
      </w:r>
    </w:p>
    <w:bookmarkEnd w:id="276"/>
    <w:bookmarkStart w:id="277" w:name="dna-wgs-alignment"/>
    <w:p>
      <w:pPr>
        <w:pStyle w:val="Heading4"/>
      </w:pPr>
      <w:r>
        <w:t xml:space="preserve">DNA WGS Alignment</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277"/>
    <w:bookmarkStart w:id="279" w:name="quality-control-of-sequencing-data"/>
    <w:p>
      <w:pPr>
        <w:pStyle w:val="Heading4"/>
      </w:pPr>
      <w:r>
        <w:t xml:space="preserve">Quality Control of Sequencing Data</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r>
        <w:t xml:space="preserve"> </w:t>
      </w:r>
      <w:r>
        <w:t xml:space="preserve">We also ran</w:t>
      </w:r>
      <w:r>
        <w:t xml:space="preserve"> </w:t>
      </w:r>
      <w:r>
        <w:rPr>
          <w:rStyle w:val="VerbatimChar"/>
        </w:rPr>
        <w:t xml:space="preserve">somalier relate</w:t>
      </w:r>
      <w:r>
        <w:t xml:space="preserve"> </w:t>
      </w:r>
      <w:r>
        <w:t xml:space="preserve">[</w:t>
      </w:r>
      <w:hyperlink w:anchor="ref-eoDdE9oT">
        <w:r>
          <w:rPr>
            <w:rStyle w:val="Hyperlink"/>
          </w:rPr>
          <w:t xml:space="preserve">6</w:t>
        </w:r>
      </w:hyperlink>
      <w:r>
        <w:t xml:space="preserve">]</w:t>
      </w:r>
      <w:r>
        <w:t xml:space="preserve"> </w:t>
      </w:r>
      <w:r>
        <w:t xml:space="preserve">to identify potential mismatched samples.</w:t>
      </w:r>
      <w:r>
        <w:t xml:space="preserve"> </w:t>
      </w:r>
      <w:r>
        <w:t xml:space="preserve">We required that at least 20M total reads with 50% of RNA-Seq reads mapped to the human reference for samples to be included in analysis.</w:t>
      </w:r>
      <w:r>
        <w:t xml:space="preserve"> </w:t>
      </w:r>
      <w:r>
        <w:t xml:space="preserve">We required at least 20X coverage for tumor DNA samples to be included in this analysis.</w:t>
      </w:r>
    </w:p>
    <w:bookmarkStart w:id="278" w:name="Xa064832b4cd803b821a5e56a42007d3cb21c4af"/>
    <w:p>
      <w:pPr>
        <w:pStyle w:val="Heading5"/>
      </w:pPr>
      <w:r>
        <w:t xml:space="preserve">SNP calling for B-allele Frequency (BAF) generation</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278"/>
    <w:bookmarkEnd w:id="279"/>
    <w:bookmarkStart w:id="283" w:name="somatic-mutation-and-indel-calling"/>
    <w:p>
      <w:pPr>
        <w:pStyle w:val="Heading4"/>
      </w:pPr>
      <w:r>
        <w:t xml:space="preserve">Somatic Mutation and INDEL Calling</w:t>
      </w:r>
    </w:p>
    <w:p>
      <w:pPr>
        <w:pStyle w:val="FirstParagraph"/>
      </w:pPr>
      <w:r>
        <w:t xml:space="preserve">For matched tumor/normal samples, we used the same mutation calling methods as described in OpenPBTA manuscript for details</w:t>
      </w:r>
      <w:r>
        <w:t xml:space="preserve"> </w:t>
      </w:r>
      <w:r>
        <w:t xml:space="preserve">[</w:t>
      </w:r>
      <w:hyperlink w:anchor="ref-5VXMHJ7N">
        <w:r>
          <w:rPr>
            <w:rStyle w:val="Hyperlink"/>
          </w:rPr>
          <w:t xml:space="preserve">5</w:t>
        </w:r>
      </w:hyperlink>
      <w:r>
        <w:t xml:space="preserve">]</w:t>
      </w:r>
      <w:r>
        <w:t xml:space="preserve">.</w:t>
      </w:r>
      <w:r>
        <w:t xml:space="preserve"> </w:t>
      </w:r>
      <w:r>
        <w:t xml:space="preserve">For tumor only samples, we ran Mutect2 from GATK v4.2.2.0 using the following</w:t>
      </w:r>
      <w:r>
        <w:t xml:space="preserve"> </w:t>
      </w:r>
      <w:hyperlink r:id="rId280">
        <w:r>
          <w:rPr>
            <w:rStyle w:val="Hyperlink"/>
          </w:rPr>
          <w:t xml:space="preserve">workflow</w:t>
        </w:r>
      </w:hyperlink>
      <w:r>
        <w:t xml:space="preserve">.</w:t>
      </w:r>
    </w:p>
    <w:bookmarkStart w:id="281" w:name="vcf-annotation-and-maf-creation"/>
    <w:p>
      <w:pPr>
        <w:pStyle w:val="Heading5"/>
      </w:pPr>
      <w:r>
        <w:t xml:space="preserve">VCF annotation and MAF creation</w:t>
      </w:r>
    </w:p>
    <w:p>
      <w:pPr>
        <w:pStyle w:val="FirstParagraph"/>
      </w:pPr>
      <w:r>
        <w:t xml:space="preserve">Somatic variants were annotated by the Ensembl Variant Effect Predictor (VEP v105)</w:t>
      </w:r>
      <w:r>
        <w:t xml:space="preserve"> </w:t>
      </w:r>
      <w:r>
        <w:t xml:space="preserve">[</w:t>
      </w:r>
      <w:hyperlink w:anchor="ref-p1f5DxRQ">
        <w:r>
          <w:rPr>
            <w:rStyle w:val="Hyperlink"/>
          </w:rPr>
          <w:t xml:space="preserve">7</w:t>
        </w:r>
      </w:hyperlink>
      <w:r>
        <w:t xml:space="preserve">]</w:t>
      </w:r>
      <w:r>
        <w:t xml:space="preserve">.</w:t>
      </w:r>
      <w:r>
        <w:t xml:space="preserve"> </w:t>
      </w:r>
      <w:r>
        <w:t xml:space="preserve">From tumor only variant calls, we removed variants with</w:t>
      </w:r>
      <w:r>
        <w:t xml:space="preserve"> </w:t>
      </w:r>
      <w:r>
        <w:rPr>
          <w:rStyle w:val="VerbatimChar"/>
        </w:rPr>
        <w:t xml:space="preserve">alt_depth == 0</w:t>
      </w:r>
      <w:r>
        <w:t xml:space="preserve"> </w:t>
      </w:r>
      <w:r>
        <w:t xml:space="preserve">or</w:t>
      </w:r>
      <w:r>
        <w:t xml:space="preserve"> </w:t>
      </w:r>
      <w:r>
        <w:rPr>
          <w:rStyle w:val="VerbatimChar"/>
        </w:rPr>
        <w:t xml:space="preserve">t_depth &lt; 4</w:t>
      </w:r>
      <w:r>
        <w:t xml:space="preserve">.</w:t>
      </w:r>
    </w:p>
    <w:bookmarkEnd w:id="281"/>
    <w:bookmarkStart w:id="282" w:name="consensus-snv-calling-tumornormal-only"/>
    <w:p>
      <w:pPr>
        <w:pStyle w:val="Heading5"/>
      </w:pPr>
      <w:r>
        <w:t xml:space="preserve">Consensus SNV Calling (tumor/normal only)</w:t>
      </w:r>
    </w:p>
    <w:p>
      <w:pPr>
        <w:pStyle w:val="FirstParagraph"/>
      </w:pPr>
      <w:r>
        <w:t xml:space="preserve">We adopted the consensus SNV calling method described in OpenPBTA manuscript with adjustment</w:t>
      </w:r>
      <w:r>
        <w:t xml:space="preserve"> </w:t>
      </w:r>
      <w:r>
        <w:t xml:space="preserve">[</w:t>
      </w:r>
      <w:hyperlink w:anchor="ref-5VXMHJ7N">
        <w:r>
          <w:rPr>
            <w:rStyle w:val="Hyperlink"/>
          </w:rPr>
          <w:t xml:space="preserve">5</w:t>
        </w:r>
      </w:hyperlink>
      <w:r>
        <w:t xml:space="preserve">]</w:t>
      </w:r>
      <w:r>
        <w:t xml:space="preserve">.</w:t>
      </w:r>
      <w:r>
        <w:t xml:space="preserve"> </w:t>
      </w:r>
      <w:r>
        <w:t xml:space="preserve">For SNV calling, we combined four consensus SNV calling algorithms: Strelka2</w:t>
      </w:r>
      <w:r>
        <w:t xml:space="preserve">[</w:t>
      </w:r>
      <w:hyperlink w:anchor="ref-REfkDUtE">
        <w:r>
          <w:rPr>
            <w:rStyle w:val="Hyperlink"/>
          </w:rPr>
          <w:t xml:space="preserve">8</w:t>
        </w:r>
      </w:hyperlink>
      <w:r>
        <w:t xml:space="preserve">]</w:t>
      </w:r>
      <w:r>
        <w:t xml:space="preserve">, Mutect2</w:t>
      </w:r>
      <w:r>
        <w:t xml:space="preserve">[</w:t>
      </w:r>
      <w:hyperlink w:anchor="ref-149BEKISi">
        <w:r>
          <w:rPr>
            <w:rStyle w:val="Hyperlink"/>
          </w:rPr>
          <w:t xml:space="preserve">9</w:t>
        </w:r>
      </w:hyperlink>
      <w:r>
        <w:t xml:space="preserve">]</w:t>
      </w:r>
      <w:r>
        <w:t xml:space="preserve">, Lancet</w:t>
      </w:r>
      <w:r>
        <w:t xml:space="preserve">[</w:t>
      </w:r>
      <w:hyperlink w:anchor="ref-V6KdWVYi">
        <w:r>
          <w:rPr>
            <w:rStyle w:val="Hyperlink"/>
          </w:rPr>
          <w:t xml:space="preserve">10</w:t>
        </w:r>
      </w:hyperlink>
      <w:r>
        <w:t xml:space="preserve">]</w:t>
      </w:r>
      <w:r>
        <w:t xml:space="preserve">, and VarDict</w:t>
      </w:r>
      <w:r>
        <w:t xml:space="preserve">[</w:t>
      </w:r>
      <w:hyperlink w:anchor="ref-doi">
        <w:r>
          <w:rPr>
            <w:rStyle w:val="Hyperlink"/>
            <w:bCs/>
            <w:b/>
          </w:rPr>
          <w:t xml:space="preserve">doi?</w:t>
        </w:r>
      </w:hyperlink>
      <w:r>
        <w:t xml:space="preserve"> 10.1093/nar/gkw227]</w:t>
      </w:r>
      <w:r>
        <w:t xml:space="preserve">.</w:t>
      </w:r>
    </w:p>
    <w:p>
      <w:pPr>
        <w:pStyle w:val="BodyText"/>
      </w:pPr>
      <w:r>
        <w:t xml:space="preserve">Strelka2 outputs multi-nucleotide polymorphisms (MNPs) as consecutive single-nucleotide polymorphisms.</w:t>
      </w:r>
      <w:r>
        <w:t xml:space="preserve"> </w:t>
      </w:r>
      <w:r>
        <w:t xml:space="preserve">In order preserve MNPs, we gather MNP calls from the other caller inputs, and search for evidence supporting these consecutive SNP calls as MNP candidates.</w:t>
      </w:r>
      <w:r>
        <w:t xml:space="preserve"> </w:t>
      </w:r>
      <w:r>
        <w:t xml:space="preserve">Once found, the Strelka2 SNP calls supporting a MNP are converted to a single MNP call.</w:t>
      </w:r>
      <w:r>
        <w:t xml:space="preserve"> </w:t>
      </w:r>
      <w:r>
        <w:t xml:space="preserve">This is done to preserve the predicted gene model as accurately as possible in our consensus calls.</w:t>
      </w:r>
      <w:r>
        <w:t xml:space="preserve"> </w:t>
      </w:r>
      <w:r>
        <w:t xml:space="preserve">Consensus SNV from all four callers were collected and by default, calls that were detected in at least two calling algorithms or marked with</w:t>
      </w:r>
      <w:r>
        <w:t xml:space="preserve"> </w:t>
      </w:r>
      <w:r>
        <w:t xml:space="preserve">“</w:t>
      </w:r>
      <w:r>
        <w:t xml:space="preserve">HotSpotAllele</w:t>
      </w:r>
      <w:r>
        <w:t xml:space="preserve">”</w:t>
      </w:r>
      <w:r>
        <w:t xml:space="preserve"> </w:t>
      </w:r>
      <w:r>
        <w:t xml:space="preserve">were retained.</w:t>
      </w:r>
    </w:p>
    <w:p>
      <w:pPr>
        <w:pStyle w:val="BodyText"/>
      </w:pPr>
      <w:r>
        <w:t xml:space="preserve">For all SNVs, potential non-hotspot germline variants were removed if they had a normal depth &lt;= 7 and gnomAD allele frequency &gt; 0.001.</w:t>
      </w:r>
      <w:r>
        <w:t xml:space="preserve"> </w:t>
      </w:r>
      <w:r>
        <w:t xml:space="preserve">Final results were saved in MAF format.</w:t>
      </w:r>
    </w:p>
    <w:bookmarkEnd w:id="282"/>
    <w:bookmarkEnd w:id="283"/>
    <w:bookmarkStart w:id="289" w:name="somatic-copy-number-variant-cnv-calling"/>
    <w:p>
      <w:pPr>
        <w:pStyle w:val="Heading4"/>
      </w:pPr>
      <w:r>
        <w:t xml:space="preserve">Somatic Copy Number Variant (CNV) Calling</w:t>
      </w:r>
    </w:p>
    <w:p>
      <w:pPr>
        <w:pStyle w:val="FirstParagraph"/>
      </w:pPr>
      <w:r>
        <w:t xml:space="preserve">We called copy number variants for tumor/normal samples using Control-FREEC</w:t>
      </w:r>
      <w:r>
        <w:t xml:space="preserve"> </w:t>
      </w:r>
      <w:r>
        <w:t xml:space="preserve">[</w:t>
      </w:r>
      <w:hyperlink w:anchor="ref-ZQ0L3o1q">
        <w:r>
          <w:rPr>
            <w:rStyle w:val="Hyperlink"/>
          </w:rPr>
          <w:t xml:space="preserve">11</w:t>
        </w:r>
      </w:hyperlink>
      <w:r>
        <w:t xml:space="preserve">,</w:t>
      </w:r>
      <w:hyperlink w:anchor="ref-1F3i4BvCt">
        <w:r>
          <w:rPr>
            <w:rStyle w:val="Hyperlink"/>
          </w:rPr>
          <w:t xml:space="preserve">12</w:t>
        </w:r>
      </w:hyperlink>
      <w:r>
        <w:t xml:space="preserve">]</w:t>
      </w:r>
      <w:r>
        <w:t xml:space="preserve"> </w:t>
      </w:r>
      <w:r>
        <w:t xml:space="preserve">and CNVkit</w:t>
      </w:r>
      <w:r>
        <w:t xml:space="preserve"> </w:t>
      </w:r>
      <w:r>
        <w:t xml:space="preserve">[</w:t>
      </w:r>
      <w:hyperlink w:anchor="ref-UTxRcYIQ">
        <w:r>
          <w:rPr>
            <w:rStyle w:val="Hyperlink"/>
          </w:rPr>
          <w:t xml:space="preserve">13</w:t>
        </w:r>
      </w:hyperlink>
      <w:r>
        <w:t xml:space="preserve">]</w:t>
      </w:r>
      <w:r>
        <w:t xml:space="preserve"> </w:t>
      </w:r>
      <w:r>
        <w:t xml:space="preserve">as described in the OpenPBTA manuscript</w:t>
      </w:r>
      <w:r>
        <w:t xml:space="preserve"> </w:t>
      </w:r>
      <w:r>
        <w:t xml:space="preserve">[</w:t>
      </w:r>
      <w:hyperlink w:anchor="ref-5VXMHJ7N">
        <w:r>
          <w:rPr>
            <w:rStyle w:val="Hyperlink"/>
          </w:rPr>
          <w:t xml:space="preserve">5</w:t>
        </w:r>
      </w:hyperlink>
      <w:r>
        <w:t xml:space="preserve">]</w:t>
      </w:r>
      <w:r>
        <w:t xml:space="preserve">.</w:t>
      </w:r>
      <w:r>
        <w:t xml:space="preserve"> </w:t>
      </w:r>
      <w:r>
        <w:t xml:space="preserve">We used GATK</w:t>
      </w:r>
      <w:r>
        <w:t xml:space="preserve"> </w:t>
      </w:r>
      <w:r>
        <w:t xml:space="preserve">[</w:t>
      </w:r>
      <w:hyperlink w:anchor="ref-14nSa8zB9">
        <w:r>
          <w:rPr>
            <w:rStyle w:val="Hyperlink"/>
          </w:rPr>
          <w:t xml:space="preserve">14</w:t>
        </w:r>
      </w:hyperlink>
      <w:r>
        <w:t xml:space="preserve">]</w:t>
      </w:r>
      <w:r>
        <w:t xml:space="preserve"> </w:t>
      </w:r>
      <w:r>
        <w:t xml:space="preserve">to call CNVs for matched tumor/normal WGS samples when there were at least 30 male and 30 female normals from the same sequencing platform available for panel of normal creation.</w:t>
      </w:r>
      <w:r>
        <w:t xml:space="preserve"> </w:t>
      </w:r>
      <w:r>
        <w:t xml:space="preserve">For tumor only samples, we used Control-FREEC with the following modifications.</w:t>
      </w:r>
      <w:r>
        <w:t xml:space="preserve"> </w:t>
      </w:r>
      <w:r>
        <w:t xml:space="preserve">Instead of the b-allele frequency germline input file, we used the</w:t>
      </w:r>
      <w:r>
        <w:t xml:space="preserve"> </w:t>
      </w:r>
      <w:r>
        <w:rPr>
          <w:rStyle w:val="VerbatimChar"/>
        </w:rPr>
        <w:t xml:space="preserve">dbSNP_v153_ucsc-compatible.converted.vt.decomp.norm.common_snps.vcf.gz</w:t>
      </w:r>
      <w:r>
        <w:t xml:space="preserve"> </w:t>
      </w:r>
      <w:hyperlink r:id="rId284">
        <w:r>
          <w:rPr>
            <w:rStyle w:val="Hyperlink"/>
          </w:rPr>
          <w:t xml:space="preserve">dbSNP common snps file</w:t>
        </w:r>
      </w:hyperlink>
      <w:r>
        <w:t xml:space="preserve"> </w:t>
      </w:r>
      <w:r>
        <w:t xml:space="preserve">and to avoid hard-to-call regions, utilized the</w:t>
      </w:r>
      <w:r>
        <w:t xml:space="preserve"> </w:t>
      </w:r>
      <w:r>
        <w:rPr>
          <w:rStyle w:val="VerbatimChar"/>
        </w:rPr>
        <w:t xml:space="preserve">hg38_canonical_150.mappability</w:t>
      </w:r>
      <w:r>
        <w:t xml:space="preserve"> </w:t>
      </w:r>
      <w:hyperlink r:id="rId285">
        <w:r>
          <w:rPr>
            <w:rStyle w:val="Hyperlink"/>
          </w:rPr>
          <w:t xml:space="preserve">mappability file</w:t>
        </w:r>
      </w:hyperlink>
      <w:r>
        <w:t xml:space="preserve">.</w:t>
      </w:r>
      <w:r>
        <w:t xml:space="preserve"> </w:t>
      </w:r>
      <w:r>
        <w:t xml:space="preserve">Both are also linked in the public</w:t>
      </w:r>
      <w:r>
        <w:t xml:space="preserve"> </w:t>
      </w:r>
      <w:hyperlink r:id="rId286">
        <w:r>
          <w:rPr>
            <w:rStyle w:val="Hyperlink"/>
          </w:rPr>
          <w:t xml:space="preserve">Kids First references CAVATICA project</w:t>
        </w:r>
      </w:hyperlink>
      <w:r>
        <w:t xml:space="preserve">.</w:t>
      </w:r>
      <w:r>
        <w:t xml:space="preserve"> </w:t>
      </w:r>
      <w:r>
        <w:t xml:space="preserve">The Control-FREEC tumor only workflow can be found</w:t>
      </w:r>
      <w:r>
        <w:t xml:space="preserve"> </w:t>
      </w:r>
      <w:hyperlink r:id="rId287">
        <w:r>
          <w:rPr>
            <w:rStyle w:val="Hyperlink"/>
          </w:rPr>
          <w:t xml:space="preserve">here</w:t>
        </w:r>
      </w:hyperlink>
      <w:r>
        <w:t xml:space="preserve">.</w:t>
      </w:r>
    </w:p>
    <w:bookmarkStart w:id="288" w:name="consensus-cnv-calling-wgs-samples-only"/>
    <w:p>
      <w:pPr>
        <w:pStyle w:val="Heading5"/>
      </w:pPr>
      <w:r>
        <w:t xml:space="preserve">Consensus CNV Calling (WGS samples only)</w:t>
      </w:r>
    </w:p>
    <w:p>
      <w:pPr>
        <w:pStyle w:val="FirstParagraph"/>
      </w:pPr>
      <w:r>
        <w:t xml:space="preserve">We adopted the consensus CNV calling described in OpenPBTA manuscript</w:t>
      </w:r>
      <w:r>
        <w:t xml:space="preserve"> </w:t>
      </w:r>
      <w:r>
        <w:t xml:space="preserve">[</w:t>
      </w:r>
      <w:hyperlink w:anchor="ref-5VXMHJ7N">
        <w:r>
          <w:rPr>
            <w:rStyle w:val="Hyperlink"/>
          </w:rPr>
          <w:t xml:space="preserve">5</w:t>
        </w:r>
      </w:hyperlink>
      <w:r>
        <w:t xml:space="preserve">]</w:t>
      </w:r>
      <w:r>
        <w:t xml:space="preserve"> </w:t>
      </w:r>
      <w:r>
        <w:t xml:space="preserve">with minor adjustments.</w:t>
      </w:r>
      <w:r>
        <w:t xml:space="preserve"> </w:t>
      </w:r>
      <w:r>
        <w:t xml:space="preserve">For each caller and sample with WGS performed, we called CNVs based on consensus among Control-FREEC</w:t>
      </w:r>
      <w:r>
        <w:t xml:space="preserve"> </w:t>
      </w:r>
      <w:r>
        <w:t xml:space="preserve">[</w:t>
      </w:r>
      <w:hyperlink w:anchor="ref-ZQ0L3o1q">
        <w:r>
          <w:rPr>
            <w:rStyle w:val="Hyperlink"/>
          </w:rPr>
          <w:t xml:space="preserve">11</w:t>
        </w:r>
      </w:hyperlink>
      <w:r>
        <w:t xml:space="preserve">,</w:t>
      </w:r>
      <w:hyperlink w:anchor="ref-1F3i4BvCt">
        <w:r>
          <w:rPr>
            <w:rStyle w:val="Hyperlink"/>
          </w:rPr>
          <w:t xml:space="preserve">12</w:t>
        </w:r>
      </w:hyperlink>
      <w:r>
        <w:t xml:space="preserve">]</w:t>
      </w:r>
      <w:r>
        <w:t xml:space="preserve">, CNVkit</w:t>
      </w:r>
      <w:r>
        <w:t xml:space="preserve"> </w:t>
      </w:r>
      <w:r>
        <w:t xml:space="preserve">[</w:t>
      </w:r>
      <w:hyperlink w:anchor="ref-UTxRcYIQ">
        <w:r>
          <w:rPr>
            <w:rStyle w:val="Hyperlink"/>
          </w:rPr>
          <w:t xml:space="preserve">13</w:t>
        </w:r>
      </w:hyperlink>
      <w:r>
        <w:t xml:space="preserve">]</w:t>
      </w:r>
      <w:r>
        <w:t xml:space="preserve">, and GATK</w:t>
      </w:r>
      <w:r>
        <w:t xml:space="preserve"> </w:t>
      </w:r>
      <w:r>
        <w:t xml:space="preserve">[</w:t>
      </w:r>
      <w:hyperlink w:anchor="ref-doi">
        <w:r>
          <w:rPr>
            <w:rStyle w:val="Hyperlink"/>
            <w:bCs/>
            <w:b/>
          </w:rPr>
          <w:t xml:space="preserve">doi?</w:t>
        </w:r>
      </w:hyperlink>
      <w:r>
        <w:t xml:space="preserve"> </w:t>
      </w:r>
      <w:r>
        <w:t xml:space="preserve">10.1101/gr.107524.110]</w:t>
      </w:r>
      <w:r>
        <w:t xml:space="preserve">.</w:t>
      </w:r>
      <w:r>
        <w:t xml:space="preserve"> </w:t>
      </w:r>
      <w:r>
        <w:t xml:space="preserve">Sample and consensus caller files with more than 2,500 CNVs were removed to de-noise and increase data quality, based on cutoffs used in GISTIC</w:t>
      </w:r>
      <w:r>
        <w:t xml:space="preserve"> </w:t>
      </w:r>
      <w:r>
        <w:t xml:space="preserve">[</w:t>
      </w:r>
      <w:hyperlink w:anchor="ref-Z38xUgBW">
        <w:r>
          <w:rPr>
            <w:rStyle w:val="Hyperlink"/>
          </w:rPr>
          <w:t xml:space="preserve">15</w:t>
        </w:r>
      </w:hyperlink>
      <w:r>
        <w:t xml:space="preserve">]</w:t>
      </w:r>
      <w:r>
        <w:t xml:space="preserve">.</w:t>
      </w:r>
      <w:r>
        <w:t xml:space="preserve"> </w:t>
      </w:r>
      <w:r>
        <w:t xml:space="preserve">For each sample, we included the following regions in the final consensus set: 1) regions with reciprocal overlap of 50% or more between at least two of the callers; 2) smaller CNV regions in which more than 90% of regions were covered by another caller.</w:t>
      </w:r>
      <w:r>
        <w:t xml:space="preserve"> </w:t>
      </w:r>
      <w:r>
        <w:t xml:space="preserve">For GATK, if a panel of normal was not able to be created (required 30 male and 30 female with the same sequencing platform), consensus was run for that tumor using Control-FREEC, CNVkit, and MantaSV.</w:t>
      </w:r>
      <w:r>
        <w:t xml:space="preserve"> </w:t>
      </w:r>
      <w:r>
        <w:t xml:space="preserve">We defined copy number as NA for any regions that had a neutral call for the samples included in the consensus file.</w:t>
      </w:r>
      <w:r>
        <w:t xml:space="preserve"> </w:t>
      </w:r>
      <w:r>
        <w:t xml:space="preserve">We merged CNV regions within 10,000 bp of each other with the same direction of gain or loss into single region.</w:t>
      </w:r>
    </w:p>
    <w:p>
      <w:pPr>
        <w:pStyle w:val="BodyText"/>
      </w:pPr>
      <w:r>
        <w:t xml:space="preserve">Any CNVs that overlapped 50% or more with immunoglobulin, telomeric, centromeric, segment duplicated regions, or that were shorter than 3000 bp were filtered out.</w:t>
      </w:r>
      <w:r>
        <w:t xml:space="preserve"> </w:t>
      </w:r>
      <w:r>
        <w:t xml:space="preserve">The CNVKit calls for WXS samples were appended to the consensus CNV file.</w:t>
      </w:r>
    </w:p>
    <w:bookmarkEnd w:id="288"/>
    <w:bookmarkEnd w:id="289"/>
    <w:bookmarkStart w:id="290" w:name="X55c575a2cc2756c85126bff18bca733e923f07c"/>
    <w:p>
      <w:pPr>
        <w:pStyle w:val="Heading4"/>
      </w:pPr>
      <w:r>
        <w:t xml:space="preserve">Somatic Structural Variant Calling (WGS samples only)</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290"/>
    <w:bookmarkStart w:id="297" w:name="methylation-analysis"/>
    <w:p>
      <w:pPr>
        <w:pStyle w:val="Heading4"/>
      </w:pPr>
      <w:r>
        <w:t xml:space="preserve">Methylation Analysis</w:t>
      </w:r>
    </w:p>
    <w:bookmarkStart w:id="292" w:name="methylation-array-preprocessing"/>
    <w:p>
      <w:pPr>
        <w:pStyle w:val="Heading5"/>
      </w:pPr>
      <w:r>
        <w:t xml:space="preserve">Methylation array preprocessing</w:t>
      </w:r>
    </w:p>
    <w:p>
      <w:pPr>
        <w:pStyle w:val="FirstParagraph"/>
      </w:pPr>
      <w:r>
        <w:t xml:space="preserve">We preprocessed raw Illumina 450K and EPIC 850K Infinium Human Methylation Bead Array intensities using the array preprocessing methods implemented in the</w:t>
      </w:r>
      <w:r>
        <w:t xml:space="preserve"> </w:t>
      </w:r>
      <w:r>
        <w:rPr>
          <w:rStyle w:val="VerbatimChar"/>
        </w:rPr>
        <w:t xml:space="preserve">minfi Bioconductor package</w:t>
      </w:r>
      <w:r>
        <w:t xml:space="preserve"> </w:t>
      </w:r>
      <w:r>
        <w:t xml:space="preserve">[</w:t>
      </w:r>
      <w:hyperlink w:anchor="ref-dxeON3tz">
        <w:r>
          <w:rPr>
            <w:rStyle w:val="Hyperlink"/>
          </w:rPr>
          <w:t xml:space="preserve">16</w:t>
        </w:r>
      </w:hyperlink>
      <w:r>
        <w:t xml:space="preserve">]</w:t>
      </w:r>
      <w:r>
        <w:t xml:space="preserve">.</w:t>
      </w:r>
      <w:r>
        <w:t xml:space="preserve"> </w:t>
      </w:r>
      <w:r>
        <w:t xml:space="preserve">We utilized either</w:t>
      </w:r>
      <w:r>
        <w:t xml:space="preserve"> </w:t>
      </w:r>
      <w:r>
        <w:rPr>
          <w:rStyle w:val="VerbatimChar"/>
        </w:rPr>
        <w:t xml:space="preserve">preprocessFunnorm</w:t>
      </w:r>
      <w:r>
        <w:t xml:space="preserve"> </w:t>
      </w:r>
      <w:r>
        <w:t xml:space="preserve">when an array dataset had both tumor and normal samples or multiple OpenPedcan-defined</w:t>
      </w:r>
      <w:r>
        <w:t xml:space="preserve"> </w:t>
      </w:r>
      <w:r>
        <w:rPr>
          <w:rStyle w:val="VerbatimChar"/>
        </w:rPr>
        <w:t xml:space="preserve">cancer_groups</w:t>
      </w:r>
      <w:r>
        <w:t xml:space="preserve"> </w:t>
      </w:r>
      <w:r>
        <w:t xml:space="preserve">and</w:t>
      </w:r>
      <w:r>
        <w:t xml:space="preserve"> </w:t>
      </w:r>
      <w:r>
        <w:rPr>
          <w:rStyle w:val="VerbatimChar"/>
        </w:rPr>
        <w:t xml:space="preserve">preprocessQuantile</w:t>
      </w:r>
      <w:r>
        <w:t xml:space="preserve"> </w:t>
      </w:r>
      <w:r>
        <w:t xml:space="preserve">when an array dataset had only tumor samples from a single OpenPedcan-defined</w:t>
      </w:r>
      <w:r>
        <w:t xml:space="preserve"> </w:t>
      </w:r>
      <w:r>
        <w:rPr>
          <w:rStyle w:val="VerbatimChar"/>
        </w:rPr>
        <w:t xml:space="preserve">cancer_group</w:t>
      </w:r>
      <w:r>
        <w:t xml:space="preserve"> </w:t>
      </w:r>
      <w:r>
        <w:t xml:space="preserve">to estimate usable methylation measurements (</w:t>
      </w:r>
      <w:r>
        <w:rPr>
          <w:rStyle w:val="VerbatimChar"/>
        </w:rPr>
        <w:t xml:space="preserve">beta-values</w:t>
      </w:r>
      <w:r>
        <w:t xml:space="preserve"> </w:t>
      </w:r>
      <w:r>
        <w:t xml:space="preserve">and</w:t>
      </w:r>
      <w:r>
        <w:t xml:space="preserve"> </w:t>
      </w:r>
      <w:r>
        <w:rPr>
          <w:rStyle w:val="VerbatimChar"/>
        </w:rPr>
        <w:t xml:space="preserve">m-values</w:t>
      </w:r>
      <w:r>
        <w:t xml:space="preserve">) and copy number (</w:t>
      </w:r>
      <w:r>
        <w:rPr>
          <w:rStyle w:val="VerbatimChar"/>
        </w:rPr>
        <w:t xml:space="preserve">cn-values</w:t>
      </w:r>
      <w:r>
        <w:t xml:space="preserve">).</w:t>
      </w:r>
      <w:r>
        <w:t xml:space="preserve"> </w:t>
      </w:r>
      <w:r>
        <w:t xml:space="preserve">Some Illumina Infinium array probes targeting CpG loci contain single-nucleotide polymorphisms (SNPs) near or within the probe</w:t>
      </w:r>
      <w:r>
        <w:t xml:space="preserve"> </w:t>
      </w:r>
      <w:r>
        <w:t xml:space="preserve">[</w:t>
      </w:r>
      <w:hyperlink w:anchor="ref-15Yz3j9AA">
        <w:r>
          <w:rPr>
            <w:rStyle w:val="Hyperlink"/>
          </w:rPr>
          <w:t xml:space="preserve">17</w:t>
        </w:r>
      </w:hyperlink>
      <w:r>
        <w:t xml:space="preserve">]</w:t>
      </w:r>
      <w:r>
        <w:t xml:space="preserve">, which could affect DNA methylation measurements</w:t>
      </w:r>
      <w:r>
        <w:t xml:space="preserve"> </w:t>
      </w:r>
      <w:r>
        <w:t xml:space="preserve">[</w:t>
      </w:r>
      <w:hyperlink w:anchor="ref-HOfcb651">
        <w:r>
          <w:rPr>
            <w:rStyle w:val="Hyperlink"/>
          </w:rPr>
          <w:t xml:space="preserve">18</w:t>
        </w:r>
      </w:hyperlink>
      <w:r>
        <w:t xml:space="preserve">]</w:t>
      </w:r>
      <w:r>
        <w:t xml:space="preserve">.</w:t>
      </w:r>
      <w:r>
        <w:t xml:space="preserve"> </w:t>
      </w:r>
      <w:r>
        <w:t xml:space="preserve">As the minfi preprocessing workflow recommends, we dropped probes containing common SNPs in dbSNP (minor allele frequency &gt; 1%) at the CpG interrogation or the single nucleotide extensions.</w:t>
      </w:r>
    </w:p>
    <w:p>
      <w:pPr>
        <w:pStyle w:val="BodyText"/>
      </w:pPr>
      <w:r>
        <w:t xml:space="preserve">Details of methylation array preprocessing are available in the</w:t>
      </w:r>
      <w:r>
        <w:t xml:space="preserve"> </w:t>
      </w:r>
      <w:hyperlink r:id="rId291">
        <w:r>
          <w:rPr>
            <w:rStyle w:val="Hyperlink"/>
          </w:rPr>
          <w:t xml:space="preserve">OpenPedCan methylation-preprocessing module</w:t>
        </w:r>
      </w:hyperlink>
      <w:r>
        <w:t xml:space="preserve">.</w:t>
      </w:r>
    </w:p>
    <w:bookmarkEnd w:id="292"/>
    <w:bookmarkStart w:id="294" w:name="methylation-beta-values-summaries"/>
    <w:p>
      <w:pPr>
        <w:pStyle w:val="Heading5"/>
      </w:pPr>
      <w:r>
        <w:t xml:space="preserve">Methylation beta-values summaries</w:t>
      </w:r>
    </w:p>
    <w:p>
      <w:pPr>
        <w:pStyle w:val="FirstParagraph"/>
      </w:pPr>
      <w:r>
        <w:t xml:space="preserve">We comprehensively summarized gene-level and isoform-level metrics for the methylation</w:t>
      </w:r>
      <w:r>
        <w:t xml:space="preserve"> </w:t>
      </w:r>
      <w:r>
        <w:rPr>
          <w:rStyle w:val="VerbatimChar"/>
        </w:rPr>
        <w:t xml:space="preserve">beta-values</w:t>
      </w:r>
      <w:r>
        <w:t xml:space="preserve"> </w:t>
      </w:r>
      <w:r>
        <w:t xml:space="preserve">estimated by array preprocessing to provide insight into the variations in overall genomic DNA methylation levels observed across different pediatric tumors by computing CpG probe-level summary metrics in each cancer group within a cohort, including 1)</w:t>
      </w:r>
      <w:r>
        <w:t xml:space="preserve"> </w:t>
      </w:r>
      <w:r>
        <w:rPr>
          <w:rStyle w:val="VerbatimChar"/>
        </w:rPr>
        <w:t xml:space="preserve">beta-values quantiles</w:t>
      </w:r>
      <w:r>
        <w:t xml:space="preserve">, 2)</w:t>
      </w:r>
      <w:r>
        <w:t xml:space="preserve"> </w:t>
      </w:r>
      <w:r>
        <w:rPr>
          <w:rStyle w:val="VerbatimChar"/>
        </w:rPr>
        <w:t xml:space="preserve">gene expression (TPM) and methylation (beta-values) correlation</w:t>
      </w:r>
      <w:r>
        <w:t xml:space="preserve">, 3)</w:t>
      </w:r>
      <w:r>
        <w:t xml:space="preserve"> </w:t>
      </w:r>
      <w:r>
        <w:rPr>
          <w:rStyle w:val="VerbatimChar"/>
        </w:rPr>
        <w:t xml:space="preserve">TPM median expression</w:t>
      </w:r>
      <w:r>
        <w:t xml:space="preserve">, and 4)</w:t>
      </w:r>
      <w:r>
        <w:t xml:space="preserve"> </w:t>
      </w:r>
      <w:r>
        <w:rPr>
          <w:rStyle w:val="VerbatimChar"/>
        </w:rPr>
        <w:t xml:space="preserve">transcript representation</w:t>
      </w:r>
      <w:r>
        <w:t xml:space="preserve"> </w:t>
      </w:r>
      <w:r>
        <w:t xml:space="preserve">- a proxy for percent isoform expression in a gene.</w:t>
      </w:r>
      <w:r>
        <w:t xml:space="preserve"> </w:t>
      </w:r>
      <w:r>
        <w:t xml:space="preserve">In addition, each CpG probe was annotated with a gene feature to identify the genomic regions likely involved in regulating gene expression.</w:t>
      </w:r>
    </w:p>
    <w:p>
      <w:pPr>
        <w:pStyle w:val="BodyText"/>
      </w:pPr>
      <w:r>
        <w:t xml:space="preserve">Details of the analysis are available in the</w:t>
      </w:r>
      <w:r>
        <w:t xml:space="preserve"> </w:t>
      </w:r>
      <w:hyperlink r:id="rId293">
        <w:r>
          <w:rPr>
            <w:rStyle w:val="Hyperlink"/>
          </w:rPr>
          <w:t xml:space="preserve">OpenPedCan methylation-summary module</w:t>
        </w:r>
      </w:hyperlink>
      <w:r>
        <w:t xml:space="preserve">.</w:t>
      </w:r>
    </w:p>
    <w:bookmarkEnd w:id="294"/>
    <w:bookmarkStart w:id="296" w:name="methylation-sample-classification"/>
    <w:p>
      <w:pPr>
        <w:pStyle w:val="Heading5"/>
      </w:pPr>
      <w:r>
        <w:t xml:space="preserve">Methylation sample classification</w:t>
      </w:r>
    </w:p>
    <w:p>
      <w:pPr>
        <w:pStyle w:val="FirstParagraph"/>
      </w:pPr>
      <w:r>
        <w:t xml:space="preserve">The Clinical Methylation Unit Laboratory of Pathology at the National Cancer Institute Center for Cancer Research ran the</w:t>
      </w:r>
      <w:r>
        <w:t xml:space="preserve"> </w:t>
      </w:r>
      <w:hyperlink r:id="rId295">
        <w:r>
          <w:rPr>
            <w:rStyle w:val="Hyperlink"/>
          </w:rPr>
          <w:t xml:space="preserve">DKFZ brain classifier version 12.6</w:t>
        </w:r>
      </w:hyperlink>
      <w:r>
        <w:t xml:space="preserve">, a comprehensive DNA methylation-based classification of CNS tumors across all entities and age groups</w:t>
      </w:r>
      <w:r>
        <w:t xml:space="preserve"> </w:t>
      </w:r>
      <w:r>
        <w:t xml:space="preserve">[</w:t>
      </w:r>
      <w:hyperlink w:anchor="ref-19a3Xf4h3">
        <w:r>
          <w:rPr>
            <w:rStyle w:val="Hyperlink"/>
          </w:rPr>
          <w:t xml:space="preserve">19</w:t>
        </w:r>
      </w:hyperlink>
      <w:r>
        <w:t xml:space="preserve">]</w:t>
      </w:r>
      <w:r>
        <w:t xml:space="preserve"> </w:t>
      </w:r>
      <w:r>
        <w:t xml:space="preserve">and/or the Bethesda Brain tumor classifier v2.0 (NIH_v2) and the combo reporter pipeline v2.0 on docker container trust1/bethesda:latest.</w:t>
      </w:r>
      <w:r>
        <w:t xml:space="preserve"> </w:t>
      </w:r>
      <w:r>
        <w:t xml:space="preserve">Unprocessed IDAT-files from the</w:t>
      </w:r>
      <w:r>
        <w:t xml:space="preserve"> </w:t>
      </w:r>
      <w:hyperlink r:id="rId254">
        <w:r>
          <w:rPr>
            <w:rStyle w:val="Hyperlink"/>
          </w:rPr>
          <w:t xml:space="preserve">Children’s Brain Tumor Network (CBTN)</w:t>
        </w:r>
      </w:hyperlink>
      <w:r>
        <w:t xml:space="preserve"> </w:t>
      </w:r>
      <w:r>
        <w:rPr>
          <w:rStyle w:val="VerbatimChar"/>
        </w:rPr>
        <w:t xml:space="preserve">Infinium Human Methylation EPIC (850k) BeadChip arrays</w:t>
      </w:r>
      <w:r>
        <w:t xml:space="preserve"> </w:t>
      </w:r>
      <w:r>
        <w:t xml:space="preserve">were used as input and the following information was compiled into the</w:t>
      </w:r>
      <w:r>
        <w:t xml:space="preserve"> </w:t>
      </w:r>
      <w:r>
        <w:rPr>
          <w:rStyle w:val="VerbatimChar"/>
        </w:rPr>
        <w:t xml:space="preserve">histologies.tsv</w:t>
      </w:r>
      <w:r>
        <w:t xml:space="preserve"> </w:t>
      </w:r>
      <w:r>
        <w:t xml:space="preserve">file:</w:t>
      </w:r>
      <w:r>
        <w:t xml:space="preserve"> </w:t>
      </w:r>
      <w:r>
        <w:rPr>
          <w:rStyle w:val="VerbatimChar"/>
        </w:rPr>
        <w:t xml:space="preserve">dkfz_v12_methylation_subclass</w:t>
      </w:r>
      <w:r>
        <w:t xml:space="preserve"> </w:t>
      </w:r>
      <w:r>
        <w:t xml:space="preserve">(predicted methylation subtype),</w:t>
      </w:r>
      <w:r>
        <w:t xml:space="preserve"> </w:t>
      </w:r>
      <w:r>
        <w:rPr>
          <w:rStyle w:val="VerbatimChar"/>
        </w:rPr>
        <w:t xml:space="preserve">dkfz_v12_methylation_subclass_score</w:t>
      </w:r>
      <w:r>
        <w:t xml:space="preserve"> </w:t>
      </w:r>
      <w:r>
        <w:t xml:space="preserve">(classification score),</w:t>
      </w:r>
      <w:r>
        <w:t xml:space="preserve"> </w:t>
      </w:r>
      <w:r>
        <w:rPr>
          <w:rStyle w:val="VerbatimChar"/>
        </w:rPr>
        <w:t xml:space="preserve">dkfz_v12_methylation_mgmt_status</w:t>
      </w:r>
      <w:r>
        <w:t xml:space="preserve"> </w:t>
      </w:r>
      <w:r>
        <w:t xml:space="preserve">(</w:t>
      </w:r>
      <w:r>
        <w:rPr>
          <w:iCs/>
          <w:i/>
        </w:rPr>
        <w:t xml:space="preserve">MGMT</w:t>
      </w:r>
      <w:r>
        <w:t xml:space="preserve"> </w:t>
      </w:r>
      <w:r>
        <w:t xml:space="preserve">methylation status),</w:t>
      </w:r>
      <w:r>
        <w:t xml:space="preserve"> </w:t>
      </w:r>
      <w:r>
        <w:rPr>
          <w:rStyle w:val="VerbatimChar"/>
        </w:rPr>
        <w:t xml:space="preserve">dkfz_v12_methylation_mgmt_estimated</w:t>
      </w:r>
      <w:r>
        <w:t xml:space="preserve"> </w:t>
      </w:r>
      <w:r>
        <w:t xml:space="preserve">(estimated</w:t>
      </w:r>
      <w:r>
        <w:t xml:space="preserve"> </w:t>
      </w:r>
      <w:r>
        <w:rPr>
          <w:iCs/>
          <w:i/>
        </w:rPr>
        <w:t xml:space="preserve">MGMT</w:t>
      </w:r>
      <w:r>
        <w:t xml:space="preserve"> </w:t>
      </w:r>
      <w:r>
        <w:t xml:space="preserve">methylation fraction),</w:t>
      </w:r>
      <w:r>
        <w:t xml:space="preserve"> </w:t>
      </w:r>
      <w:r>
        <w:rPr>
          <w:rStyle w:val="VerbatimChar"/>
        </w:rPr>
        <w:t xml:space="preserve">NIH_v2_methylation_Superfamily</w:t>
      </w:r>
      <w:r>
        <w:t xml:space="preserve">,</w:t>
      </w:r>
      <w:r>
        <w:t xml:space="preserve"> </w:t>
      </w:r>
      <w:r>
        <w:rPr>
          <w:rStyle w:val="VerbatimChar"/>
        </w:rPr>
        <w:t xml:space="preserve">NIH_v2_methylation_Superfamily_mean_score</w:t>
      </w:r>
      <w:r>
        <w:t xml:space="preserve">,</w:t>
      </w:r>
      <w:r>
        <w:t xml:space="preserve"> </w:t>
      </w:r>
      <w:r>
        <w:rPr>
          <w:rStyle w:val="VerbatimChar"/>
        </w:rPr>
        <w:t xml:space="preserve">NIH_v2_methylation_Superfamily_Consistency_score</w:t>
      </w:r>
      <w:r>
        <w:t xml:space="preserve">,</w:t>
      </w:r>
      <w:r>
        <w:t xml:space="preserve"> </w:t>
      </w:r>
      <w:r>
        <w:rPr>
          <w:rStyle w:val="VerbatimChar"/>
        </w:rPr>
        <w:t xml:space="preserve">NIH_v2_methylation_Class</w:t>
      </w:r>
      <w:r>
        <w:t xml:space="preserve">,</w:t>
      </w:r>
      <w:r>
        <w:t xml:space="preserve"> </w:t>
      </w:r>
      <w:r>
        <w:rPr>
          <w:rStyle w:val="VerbatimChar"/>
        </w:rPr>
        <w:t xml:space="preserve">NIH_v2_methylation_Class_mean_score</w:t>
      </w:r>
      <w:r>
        <w:t xml:space="preserve">,</w:t>
      </w:r>
      <w:r>
        <w:t xml:space="preserve"> </w:t>
      </w:r>
      <w:r>
        <w:rPr>
          <w:rStyle w:val="VerbatimChar"/>
        </w:rPr>
        <w:t xml:space="preserve">NIH_v2_methylation_Class_consistency_score</w:t>
      </w:r>
      <w:r>
        <w:t xml:space="preserve">,</w:t>
      </w:r>
      <w:r>
        <w:t xml:space="preserve"> </w:t>
      </w:r>
      <w:r>
        <w:rPr>
          <w:rStyle w:val="VerbatimChar"/>
        </w:rPr>
        <w:t xml:space="preserve">NIH_v2_methylation_Superfamily_match</w:t>
      </w:r>
      <w:r>
        <w:t xml:space="preserve">, and</w:t>
      </w:r>
      <w:r>
        <w:t xml:space="preserve"> </w:t>
      </w:r>
      <w:r>
        <w:rPr>
          <w:rStyle w:val="VerbatimChar"/>
        </w:rPr>
        <w:t xml:space="preserve">NIH_v2_methylation_Class_match</w:t>
      </w:r>
      <w:r>
        <w:t xml:space="preserve">.</w:t>
      </w:r>
    </w:p>
    <w:bookmarkEnd w:id="296"/>
    <w:bookmarkEnd w:id="297"/>
    <w:bookmarkStart w:id="308" w:name="gene-expression"/>
    <w:p>
      <w:pPr>
        <w:pStyle w:val="Heading4"/>
      </w:pPr>
      <w:r>
        <w:t xml:space="preserve">Gene Expression</w:t>
      </w:r>
    </w:p>
    <w:p>
      <w:pPr>
        <w:pStyle w:val="FirstParagraph"/>
      </w:pPr>
      <w:r>
        <w:t xml:space="preserve">The</w:t>
      </w:r>
      <w:r>
        <w:t xml:space="preserve"> </w:t>
      </w:r>
      <w:hyperlink r:id="rId298">
        <w:r>
          <w:rPr>
            <w:rStyle w:val="VerbatimChar"/>
          </w:rPr>
          <w:t xml:space="preserve">tumor-normal-differential-expression</w:t>
        </w:r>
      </w:hyperlink>
      <w:r>
        <w:t xml:space="preserve"> </w:t>
      </w:r>
      <w:r>
        <w:t xml:space="preserve">module performs differential expression analyses for all sets of Disease (</w:t>
      </w:r>
      <w:r>
        <w:rPr>
          <w:rStyle w:val="VerbatimChar"/>
        </w:rPr>
        <w:t xml:space="preserve">cancer_group</w:t>
      </w:r>
      <w:r>
        <w:t xml:space="preserve">) and Dataset (</w:t>
      </w:r>
      <w:r>
        <w:rPr>
          <w:rStyle w:val="VerbatimChar"/>
        </w:rPr>
        <w:t xml:space="preserve">cohort</w:t>
      </w:r>
      <w:r>
        <w:t xml:space="preserve">) across all genes found in the</w:t>
      </w:r>
      <w:r>
        <w:t xml:space="preserve"> </w:t>
      </w:r>
      <w:r>
        <w:rPr>
          <w:rStyle w:val="VerbatimChar"/>
        </w:rPr>
        <w:t xml:space="preserve">gene-expression-rsem-tpm-collapsed.rds</w:t>
      </w:r>
      <w:r>
        <w:t xml:space="preserve"> </w:t>
      </w:r>
      <w:r>
        <w:t xml:space="preserve">table.</w:t>
      </w:r>
      <w:r>
        <w:t xml:space="preserve"> </w:t>
      </w:r>
      <w:r>
        <w:t xml:space="preserve">The purpose of this analysis is to highlight the correlation and understand the variability in gene expression in different cancer conditions across different histological tissues.</w:t>
      </w:r>
      <w:r>
        <w:t xml:space="preserve"> </w:t>
      </w:r>
      <w:r>
        <w:t xml:space="preserve">For OpenPedCan v12 data release, this module performs expression analysis over 102 cancer groups across 52 histological tissues for all 54,346 genes found in the dataset.</w:t>
      </w:r>
      <w:r>
        <w:t xml:space="preserve"> </w:t>
      </w:r>
      <w:r>
        <w:t xml:space="preserve">This analysis was performed on the Children’s Hospital of Philadelphia HPC and was configured to use 96G of RAM per CPU, with one task (one iteration of expression analysis for each set of tissue and cancer group) per CPU (total 102x52=5304 CPUs) using the</w:t>
      </w:r>
      <w:r>
        <w:t xml:space="preserve"> </w:t>
      </w:r>
      <w:hyperlink r:id="rId299">
        <w:r>
          <w:rPr>
            <w:rStyle w:val="Hyperlink"/>
          </w:rPr>
          <w:t xml:space="preserve">R/DESeq2</w:t>
        </w:r>
      </w:hyperlink>
      <w:r>
        <w:t xml:space="preserve"> </w:t>
      </w:r>
      <w:r>
        <w:t xml:space="preserve">package.</w:t>
      </w:r>
      <w:r>
        <w:t xml:space="preserve"> </w:t>
      </w:r>
      <w:r>
        <w:t xml:space="preserve">Please refer to script</w:t>
      </w:r>
      <w:r>
        <w:t xml:space="preserve"> </w:t>
      </w:r>
      <w:r>
        <w:rPr>
          <w:rStyle w:val="VerbatimChar"/>
        </w:rPr>
        <w:t xml:space="preserve">run-tumor-normal-differential-expression.sh</w:t>
      </w:r>
      <w:r>
        <w:t xml:space="preserve"> </w:t>
      </w:r>
      <w:r>
        <w:t xml:space="preserve">in the module for additional details on Slurm processing configuration.</w:t>
      </w:r>
      <w:r>
        <w:t xml:space="preserve"> </w:t>
      </w:r>
      <w:r>
        <w:t xml:space="preserve">The same analysis can also be performed on CAVATICA, but requires further optimization.</w:t>
      </w:r>
      <w:r>
        <w:t xml:space="preserve"> </w:t>
      </w:r>
      <w:r>
        <w:t xml:space="preserve">The module describes the steps for CAVATICA set up, and scripts to publish an application on the portal.</w:t>
      </w:r>
      <w:r>
        <w:t xml:space="preserve"> </w:t>
      </w:r>
      <w:r>
        <w:t xml:space="preserve">The required data files are also available publicly on CAVATICA under the</w:t>
      </w:r>
      <w:r>
        <w:t xml:space="preserve"> </w:t>
      </w:r>
      <w:hyperlink r:id="rId300">
        <w:r>
          <w:rPr>
            <w:rStyle w:val="Hyperlink"/>
          </w:rPr>
          <w:t xml:space="preserve">Open Pediatric Cancer (OpenPedCan) Open Access</w:t>
        </w:r>
      </w:hyperlink>
      <w:r>
        <w:t xml:space="preserve">.</w:t>
      </w:r>
      <w:r>
        <w:t xml:space="preserve"> </w:t>
      </w:r>
      <w:r>
        <w:t xml:space="preserve">Refer to the module for detailed description and scripts.</w:t>
      </w:r>
    </w:p>
    <w:bookmarkStart w:id="304" w:name="abundance-estimation"/>
    <w:p>
      <w:pPr>
        <w:pStyle w:val="Heading5"/>
      </w:pPr>
      <w:r>
        <w:t xml:space="preserve">Abundance Estimation</w:t>
      </w:r>
    </w:p>
    <w:p>
      <w:pPr>
        <w:pStyle w:val="FirstParagraph"/>
      </w:pPr>
      <w:r>
        <w:t xml:space="preserve">Among the data sources used for OpenPedCan, GTEx and TCGA used GENCODE v26 and v36, respectively.</w:t>
      </w:r>
      <w:r>
        <w:t xml:space="preserve"> </w:t>
      </w:r>
      <w:r>
        <w:t xml:space="preserve">Therefore, the gene symbols had to be harmonized to GENCODE v39 for compatibility with the rest of the dataset.</w:t>
      </w:r>
      <w:r>
        <w:t xml:space="preserve"> </w:t>
      </w:r>
      <w:r>
        <w:t xml:space="preserve">The liftover process was done via a</w:t>
      </w:r>
      <w:r>
        <w:t xml:space="preserve"> </w:t>
      </w:r>
      <w:hyperlink r:id="rId301">
        <w:r>
          <w:rPr>
            <w:rStyle w:val="Hyperlink"/>
          </w:rPr>
          <w:t xml:space="preserve">custom script</w:t>
        </w:r>
      </w:hyperlink>
      <w:r>
        <w:t xml:space="preserve">.</w:t>
      </w:r>
      <w:r>
        <w:t xml:space="preserve"> </w:t>
      </w:r>
      <w:r>
        <w:t xml:space="preserve">The script first constructs an object detailing the gene symbol changes from the</w:t>
      </w:r>
      <w:r>
        <w:t xml:space="preserve"> </w:t>
      </w:r>
      <w:hyperlink r:id="rId302">
        <w:r>
          <w:rPr>
            <w:rStyle w:val="Hyperlink"/>
          </w:rPr>
          <w:t xml:space="preserve">HGNC symbol database</w:t>
        </w:r>
      </w:hyperlink>
      <w:r>
        <w:t xml:space="preserve">.</w:t>
      </w:r>
      <w:r>
        <w:t xml:space="preserve"> </w:t>
      </w:r>
      <w:r>
        <w:t xml:space="preserve">Using the symbol-change object, the script updates any columns containing gene symbols.</w:t>
      </w:r>
      <w:r>
        <w:t xml:space="preserve"> </w:t>
      </w:r>
      <w:r>
        <w:t xml:space="preserve">This liftover process was used on GTEx RNA-Seq, TCGA RNA-Seq, DGD fusions, and DNA hotspot files.</w:t>
      </w:r>
    </w:p>
    <w:p>
      <w:pPr>
        <w:pStyle w:val="BodyText"/>
      </w:pPr>
      <w:r>
        <w:t xml:space="preserve">Additionally, the gene expression matrices had some instances where multiple Ensembl gene identifiers mapped to the same gene symbol.</w:t>
      </w:r>
      <w:r>
        <w:t xml:space="preserve"> </w:t>
      </w:r>
      <w:r>
        <w:t xml:space="preserve">This was dealt with by filtering the expression matrix to only genes with [FPKM/TPM] &gt; 0 and then selecting the instance of the gene symbol with the maximum mean [FPKM/TPM/Expected_count] value across samples.</w:t>
      </w:r>
      <w:r>
        <w:t xml:space="preserve"> </w:t>
      </w:r>
      <w:r>
        <w:t xml:space="preserve">This enabled many downstream modules that require RNA-seq data have gene symbols as unique gene identifiers.</w:t>
      </w:r>
      <w:r>
        <w:t xml:space="preserve"> </w:t>
      </w:r>
      <w:r>
        <w:t xml:space="preserve">Refer to</w:t>
      </w:r>
      <w:r>
        <w:t xml:space="preserve"> </w:t>
      </w:r>
      <w:hyperlink r:id="rId303">
        <w:r>
          <w:rPr>
            <w:rStyle w:val="Hyperlink"/>
          </w:rPr>
          <w:t xml:space="preserve">collapse-rnaseq</w:t>
        </w:r>
      </w:hyperlink>
      <w:r>
        <w:t xml:space="preserve"> </w:t>
      </w:r>
      <w:r>
        <w:t xml:space="preserve">module for scripts and details.</w:t>
      </w:r>
    </w:p>
    <w:bookmarkEnd w:id="304"/>
    <w:bookmarkStart w:id="306" w:name="gene-expression-summary-statistics"/>
    <w:p>
      <w:pPr>
        <w:pStyle w:val="Heading5"/>
      </w:pPr>
      <w:r>
        <w:t xml:space="preserve">Gene Expression Summary Statistics</w:t>
      </w:r>
    </w:p>
    <w:p>
      <w:pPr>
        <w:pStyle w:val="FirstParagraph"/>
      </w:pPr>
      <w:r>
        <w:t xml:space="preserve">We generated RNA-Seq gene expression (TPM) summary statistics for independent tumor samples from the combined OpenPedCan gene expression matrices, including cancers from pediatric cohorts (</w:t>
      </w:r>
      <w:r>
        <w:rPr>
          <w:rStyle w:val="VerbatimChar"/>
        </w:rPr>
        <w:t xml:space="preserve">PBTA</w:t>
      </w:r>
      <w:r>
        <w:t xml:space="preserve">,</w:t>
      </w:r>
      <w:r>
        <w:t xml:space="preserve"> </w:t>
      </w:r>
      <w:r>
        <w:rPr>
          <w:rStyle w:val="VerbatimChar"/>
        </w:rPr>
        <w:t xml:space="preserve">GMKF</w:t>
      </w:r>
      <w:r>
        <w:t xml:space="preserve">, and</w:t>
      </w:r>
      <w:r>
        <w:t xml:space="preserve"> </w:t>
      </w:r>
      <w:r>
        <w:rPr>
          <w:rStyle w:val="VerbatimChar"/>
        </w:rPr>
        <w:t xml:space="preserve">TARGET</w:t>
      </w:r>
      <w:r>
        <w:t xml:space="preserve">) and adult cancers from the</w:t>
      </w:r>
      <w:r>
        <w:t xml:space="preserve"> </w:t>
      </w:r>
      <w:r>
        <w:rPr>
          <w:rStyle w:val="VerbatimChar"/>
        </w:rPr>
        <w:t xml:space="preserve">TCGA</w:t>
      </w:r>
      <w:r>
        <w:t xml:space="preserve"> </w:t>
      </w:r>
      <w:r>
        <w:t xml:space="preserve">cohort.</w:t>
      </w:r>
      <w:r>
        <w:t xml:space="preserve"> </w:t>
      </w:r>
      <w:r>
        <w:t xml:space="preserve">We grouped selected samples into two groups containing samples from a cancer group in either each cohort or all cohorts, and calculated</w:t>
      </w:r>
      <w:r>
        <w:t xml:space="preserve"> </w:t>
      </w:r>
      <w:r>
        <w:rPr>
          <w:rStyle w:val="VerbatimChar"/>
        </w:rPr>
        <w:t xml:space="preserve">TPM means</w:t>
      </w:r>
      <w:r>
        <w:t xml:space="preserve">,</w:t>
      </w:r>
      <w:r>
        <w:t xml:space="preserve"> </w:t>
      </w:r>
      <w:r>
        <w:rPr>
          <w:rStyle w:val="VerbatimChar"/>
        </w:rPr>
        <w:t xml:space="preserve">standard deviations</w:t>
      </w:r>
      <w:r>
        <w:t xml:space="preserve">,</w:t>
      </w:r>
      <w:r>
        <w:t xml:space="preserve"> </w:t>
      </w:r>
      <w:r>
        <w:rPr>
          <w:rStyle w:val="VerbatimChar"/>
        </w:rPr>
        <w:t xml:space="preserve">gene-wise z-scores</w:t>
      </w:r>
      <w:r>
        <w:t xml:space="preserve">,</w:t>
      </w:r>
      <w:r>
        <w:t xml:space="preserve"> </w:t>
      </w:r>
      <w:r>
        <w:rPr>
          <w:rStyle w:val="VerbatimChar"/>
        </w:rPr>
        <w:t xml:space="preserve">group-wise z-scores</w:t>
      </w:r>
      <w:r>
        <w:t xml:space="preserve">, and</w:t>
      </w:r>
      <w:r>
        <w:t xml:space="preserve"> </w:t>
      </w:r>
      <w:r>
        <w:rPr>
          <w:rStyle w:val="VerbatimChar"/>
        </w:rPr>
        <w:t xml:space="preserve">ranks</w:t>
      </w:r>
      <w:r>
        <w:t xml:space="preserve"> </w:t>
      </w:r>
      <w:r>
        <w:t xml:space="preserve">for each group as described in the</w:t>
      </w:r>
      <w:r>
        <w:t xml:space="preserve"> </w:t>
      </w:r>
      <w:hyperlink r:id="rId305">
        <w:r>
          <w:rPr>
            <w:rStyle w:val="Hyperlink"/>
          </w:rPr>
          <w:t xml:space="preserve">OpenPedCan rna-seq-expression-summary-stats module</w:t>
        </w:r>
      </w:hyperlink>
      <w:r>
        <w:t xml:space="preserve"> </w:t>
      </w:r>
      <w:r>
        <w:t xml:space="preserve">in detail.</w:t>
      </w:r>
      <w:r>
        <w:t xml:space="preserve"> </w:t>
      </w:r>
      <w:r>
        <w:t xml:space="preserve">The resulting</w:t>
      </w:r>
      <w:r>
        <w:t xml:space="preserve"> </w:t>
      </w:r>
      <w:r>
        <w:rPr>
          <w:rStyle w:val="VerbatimChar"/>
        </w:rPr>
        <w:t xml:space="preserve">gene-wise</w:t>
      </w:r>
      <w:r>
        <w:t xml:space="preserve"> </w:t>
      </w:r>
      <w:r>
        <w:t xml:space="preserve">and</w:t>
      </w:r>
      <w:r>
        <w:t xml:space="preserve"> </w:t>
      </w:r>
      <w:r>
        <w:rPr>
          <w:rStyle w:val="VerbatimChar"/>
        </w:rPr>
        <w:t xml:space="preserve">group-wise</w:t>
      </w:r>
      <w:r>
        <w:t xml:space="preserve"> </w:t>
      </w:r>
      <w:r>
        <w:t xml:space="preserve">summary statistics tables were annotated with</w:t>
      </w:r>
      <w:r>
        <w:t xml:space="preserve"> </w:t>
      </w:r>
      <w:r>
        <w:rPr>
          <w:rStyle w:val="VerbatimChar"/>
        </w:rPr>
        <w:t xml:space="preserve">EFO</w:t>
      </w:r>
      <w:r>
        <w:t xml:space="preserve"> </w:t>
      </w:r>
      <w:r>
        <w:t xml:space="preserve">and</w:t>
      </w:r>
      <w:r>
        <w:t xml:space="preserve"> </w:t>
      </w:r>
      <w:r>
        <w:rPr>
          <w:rStyle w:val="VerbatimChar"/>
        </w:rPr>
        <w:t xml:space="preserve">MONDO</w:t>
      </w:r>
      <w:r>
        <w:t xml:space="preserve"> </w:t>
      </w:r>
      <w:r>
        <w:t xml:space="preserve">disease codes associated with the cancer groups.</w:t>
      </w:r>
    </w:p>
    <w:bookmarkEnd w:id="306"/>
    <w:bookmarkStart w:id="307" w:name="gene-fusion-detection"/>
    <w:p>
      <w:pPr>
        <w:pStyle w:val="Heading5"/>
      </w:pPr>
      <w:r>
        <w:t xml:space="preserve">Gene fusion detection</w:t>
      </w:r>
    </w:p>
    <w:bookmarkEnd w:id="307"/>
    <w:bookmarkEnd w:id="308"/>
    <w:bookmarkStart w:id="313" w:name="X002861f1d17d24aaba55d148778cbe068d86ce3"/>
    <w:p>
      <w:pPr>
        <w:pStyle w:val="Heading4"/>
      </w:pPr>
      <w:r>
        <w:t xml:space="preserve">CPTAC PBTA, CPTAC GBM, and HOPE proteogenomics</w:t>
      </w:r>
    </w:p>
    <w:p>
      <w:pPr>
        <w:pStyle w:val="FirstParagraph"/>
      </w:pPr>
      <w:r>
        <w:t xml:space="preserve">The following methods are the general proteomics approaches used for the CPTAC PBTA</w:t>
      </w:r>
      <w:r>
        <w:t xml:space="preserve"> </w:t>
      </w:r>
      <w:r>
        <w:t xml:space="preserve">[</w:t>
      </w:r>
      <w:hyperlink w:anchor="ref-meH98mKZ">
        <w:r>
          <w:rPr>
            <w:rStyle w:val="Hyperlink"/>
          </w:rPr>
          <w:t xml:space="preserve">3</w:t>
        </w:r>
      </w:hyperlink>
      <w:r>
        <w:t xml:space="preserve">]</w:t>
      </w:r>
      <w:r>
        <w:t xml:space="preserve">, CPTAC GBM</w:t>
      </w:r>
      <w:r>
        <w:t xml:space="preserve"> </w:t>
      </w:r>
      <w:r>
        <w:t xml:space="preserve">[</w:t>
      </w:r>
      <w:hyperlink w:anchor="ref-XOVss5Jf">
        <w:r>
          <w:rPr>
            <w:rStyle w:val="Hyperlink"/>
          </w:rPr>
          <w:t xml:space="preserve">4</w:t>
        </w:r>
      </w:hyperlink>
      <w:r>
        <w:t xml:space="preserve">]</w:t>
      </w:r>
      <w:r>
        <w:t xml:space="preserve">, and HOPE (pre-publication, correspondence with Dr. Pei Wang) studies.</w:t>
      </w:r>
      <w:r>
        <w:t xml:space="preserve"> </w:t>
      </w:r>
      <w:r>
        <w:t xml:space="preserve">For specific descriptions of sample preparation, mass spectrometry instrumentation and approaches, and data generation, processing, or analysis please refer to the relevant publications.</w:t>
      </w:r>
    </w:p>
    <w:bookmarkStart w:id="309" w:name="X468b4788df1f86af81544111c6564d98f694012"/>
    <w:p>
      <w:pPr>
        <w:pStyle w:val="Heading5"/>
      </w:pPr>
      <w:r>
        <w:t xml:space="preserve">TMT-11 Labeling and Phosphopeptide Enrichment</w:t>
      </w:r>
    </w:p>
    <w:p>
      <w:pPr>
        <w:pStyle w:val="FirstParagraph"/>
      </w:pPr>
      <w:r>
        <w:t xml:space="preserve">Proteome and phosphoproteome analysis of brain cancer samples in the CPTAC PBTA (pediatric), CPTAC GBM (adult), and HOPE (adolescent and young adult, AYA) cohort studies were structured as TMT11-plex experiments.</w:t>
      </w:r>
      <w:r>
        <w:t xml:space="preserve"> </w:t>
      </w:r>
      <w:r>
        <w:t xml:space="preserve">Tumor samples were digested with LysC and trypsin.</w:t>
      </w:r>
      <w:r>
        <w:t xml:space="preserve"> </w:t>
      </w:r>
      <w:r>
        <w:t xml:space="preserve">Digested peptides were labeled with TMT11-plex reagent and prepared for phosphopeptide enrichment.</w:t>
      </w:r>
      <w:r>
        <w:t xml:space="preserve"> </w:t>
      </w:r>
      <w:r>
        <w:t xml:space="preserve">For each dataset, a common reference sample was compiled from representative samples within the cohort.</w:t>
      </w:r>
      <w:r>
        <w:t xml:space="preserve"> </w:t>
      </w:r>
      <w:r>
        <w:t xml:space="preserve">Phosphopeptides were enriched using Immobilized Metal Affinity Chromatography (IMAC) with Fe3+-NTA-agarose bead kits.</w:t>
      </w:r>
    </w:p>
    <w:bookmarkEnd w:id="309"/>
    <w:bookmarkStart w:id="310" w:name="Xa145fe57e3d4b586e84f85fee0ded44556a6225"/>
    <w:p>
      <w:pPr>
        <w:pStyle w:val="Heading5"/>
      </w:pPr>
      <w:r>
        <w:t xml:space="preserve">Liquid Chromatography with Tandem Mass Spectrometry (LC-MS/MS) Analysis</w:t>
      </w:r>
    </w:p>
    <w:p>
      <w:pPr>
        <w:pStyle w:val="FirstParagraph"/>
      </w:pPr>
      <w:r>
        <w:t xml:space="preserve">To reduce sample complexity, peptide samples were separated by high pH reversed phase HPLC fractionation.</w:t>
      </w:r>
      <w:r>
        <w:t xml:space="preserve"> </w:t>
      </w:r>
      <w:r>
        <w:t xml:space="preserve">For CPTAC PBTA a total of 96 fractions were consolidated into 12 final fractions for LC-MS/MS analysis.</w:t>
      </w:r>
      <w:r>
        <w:t xml:space="preserve"> </w:t>
      </w:r>
      <w:r>
        <w:t xml:space="preserve">For CPTAC GBM and HOPE cohorts a total of 96 fractions were consolidated into 24 fractions.</w:t>
      </w:r>
      <w:r>
        <w:t xml:space="preserve"> </w:t>
      </w:r>
      <w:r>
        <w:t xml:space="preserve">For CPTAC PBTA, global proteome mass spectrometry analyses were performed on an Orbitrap Fusion Tribrid Mass Spectrometer and phosphoproteome analyses were performed on an Orbitrap Fusion Lumos Tribrid Mass Spectrometer.</w:t>
      </w:r>
      <w:r>
        <w:t xml:space="preserve"> </w:t>
      </w:r>
      <w:r>
        <w:t xml:space="preserve">For CPTAC GBM and HOPE studies, mass spectrometry analysis was performed using an Orbitrap Fusion Lumos Mass Spectrometer.</w:t>
      </w:r>
    </w:p>
    <w:bookmarkEnd w:id="310"/>
    <w:bookmarkStart w:id="311" w:name="protein-identification"/>
    <w:p>
      <w:pPr>
        <w:pStyle w:val="Heading5"/>
      </w:pPr>
      <w:r>
        <w:t xml:space="preserve">Protein Identification</w:t>
      </w:r>
    </w:p>
    <w:p>
      <w:pPr>
        <w:pStyle w:val="FirstParagraph"/>
      </w:pPr>
      <w:r>
        <w:t xml:space="preserve">The CPTAC PBTA spectra data were analyzed with MSFragger version 20190628</w:t>
      </w:r>
      <w:r>
        <w:t xml:space="preserve"> </w:t>
      </w:r>
      <w:r>
        <w:t xml:space="preserve">[</w:t>
      </w:r>
      <w:hyperlink w:anchor="ref-bKpYR6PB">
        <w:r>
          <w:rPr>
            <w:rStyle w:val="Hyperlink"/>
          </w:rPr>
          <w:t xml:space="preserve">20</w:t>
        </w:r>
      </w:hyperlink>
      <w:r>
        <w:t xml:space="preserve">]</w:t>
      </w:r>
      <w:r>
        <w:t xml:space="preserve"> </w:t>
      </w:r>
      <w:r>
        <w:t xml:space="preserve">searching against a CPTAC harmonized RefSeq-based sequence database containing 41,457 proteins mapped to the human reference genome (GRCh38/hg38) obtained via the UCSC Table Browser on June 29, 2018, with the addition of 13 proteins encoded in the human mitochondrial genome, 264 common laboratory contaminant proteins, and an equal number of decoy sequences.</w:t>
      </w:r>
      <w:r>
        <w:t xml:space="preserve"> </w:t>
      </w:r>
      <w:r>
        <w:t xml:space="preserve">The CPTAC GBM and HOPE spectra data were analyzed with MS-GF+ v9881</w:t>
      </w:r>
      <w:r>
        <w:t xml:space="preserve"> </w:t>
      </w:r>
      <w:r>
        <w:t xml:space="preserve">[</w:t>
      </w:r>
      <w:hyperlink w:anchor="ref-2rzcFP4J">
        <w:r>
          <w:rPr>
            <w:rStyle w:val="Hyperlink"/>
          </w:rPr>
          <w:t xml:space="preserve">21</w:t>
        </w:r>
      </w:hyperlink>
      <w:r>
        <w:t xml:space="preserve">,</w:t>
      </w:r>
      <w:hyperlink w:anchor="ref-1B2RVFOKK">
        <w:r>
          <w:rPr>
            <w:rStyle w:val="Hyperlink"/>
          </w:rPr>
          <w:t xml:space="preserve">22</w:t>
        </w:r>
      </w:hyperlink>
      <w:r>
        <w:t xml:space="preserve">,</w:t>
      </w:r>
      <w:hyperlink w:anchor="ref-G4kbj7VC">
        <w:r>
          <w:rPr>
            <w:rStyle w:val="Hyperlink"/>
          </w:rPr>
          <w:t xml:space="preserve">23</w:t>
        </w:r>
      </w:hyperlink>
      <w:r>
        <w:t xml:space="preserve">]</w:t>
      </w:r>
      <w:r>
        <w:t xml:space="preserve"> </w:t>
      </w:r>
      <w:r>
        <w:t xml:space="preserve">searching against the RefSeq human protein sequence database downloaded on June 29, 2018 (hg38; 41,734 proteins), combined with 264 contaminants, and a decoy database composed of the forward and reversed protein sequences.</w:t>
      </w:r>
    </w:p>
    <w:bookmarkEnd w:id="311"/>
    <w:bookmarkStart w:id="312" w:name="protein-quantification-and-data-analysis"/>
    <w:p>
      <w:pPr>
        <w:pStyle w:val="Heading5"/>
      </w:pPr>
      <w:r>
        <w:t xml:space="preserve">Protein Quantification and Data Analysis</w:t>
      </w:r>
    </w:p>
    <w:p>
      <w:pPr>
        <w:pStyle w:val="FirstParagraph"/>
      </w:pPr>
      <w:r>
        <w:t xml:space="preserve">Relative protein (gene) abundance was calculated as the ratio of sample abundance to reference abundance using the summed reporter ion intensities from peptides mapped to the respective gene.</w:t>
      </w:r>
      <w:r>
        <w:t xml:space="preserve"> </w:t>
      </w:r>
      <w:r>
        <w:t xml:space="preserve">For phosphoproteomic datasets, data were not summarized by protein but left at the phosphopeptide level.</w:t>
      </w:r>
      <w:r>
        <w:t xml:space="preserve"> </w:t>
      </w:r>
      <w:r>
        <w:t xml:space="preserve">Global normalization was performed on the gene-level abundance matrix (log2 ratio) for global proteomic and on the site-level abundance matrix (log2 ratio) for phosphoproteomic data.</w:t>
      </w:r>
      <w:r>
        <w:t xml:space="preserve"> </w:t>
      </w:r>
      <w:r>
        <w:t xml:space="preserve">The median, log2 relative protein or peptide abundance for each sample was calculated and used to normalize each sample to achieve a common median of 0.</w:t>
      </w:r>
      <w:r>
        <w:t xml:space="preserve"> </w:t>
      </w:r>
      <w:r>
        <w:t xml:space="preserve">To identify TMT outliers, inter-TMT t-tests were performed for each individual protein or phosphopeptide.</w:t>
      </w:r>
      <w:r>
        <w:t xml:space="preserve"> </w:t>
      </w:r>
      <w:r>
        <w:t xml:space="preserve">Batch effects were checked using the log2 relative protein or phosphopeptide abundance and corrected using the Combat algorithm</w:t>
      </w:r>
      <w:r>
        <w:t xml:space="preserve"> </w:t>
      </w:r>
      <w:r>
        <w:t xml:space="preserve">[</w:t>
      </w:r>
      <w:hyperlink w:anchor="ref-VLwxfMaF">
        <w:r>
          <w:rPr>
            <w:rStyle w:val="Hyperlink"/>
          </w:rPr>
          <w:t xml:space="preserve">24</w:t>
        </w:r>
      </w:hyperlink>
      <w:r>
        <w:t xml:space="preserve">]</w:t>
      </w:r>
      <w:r>
        <w:t xml:space="preserve">.</w:t>
      </w:r>
      <w:r>
        <w:t xml:space="preserve"> </w:t>
      </w:r>
      <w:r>
        <w:t xml:space="preserve">Imputation was performed after batch effect correction for proteins or phosphopeptides with a missing rate &lt; 50%.</w:t>
      </w:r>
      <w:r>
        <w:t xml:space="preserve"> </w:t>
      </w:r>
      <w:r>
        <w:t xml:space="preserve">For the phosphopeptide datasets, 440 markers associated with cold-regulated ischemia genes were filtered and removed.</w:t>
      </w:r>
    </w:p>
    <w:bookmarkEnd w:id="312"/>
    <w:bookmarkEnd w:id="313"/>
    <w:bookmarkEnd w:id="314"/>
    <w:bookmarkStart w:id="323" w:name="quantification-and-statistical-analysis"/>
    <w:p>
      <w:pPr>
        <w:pStyle w:val="Heading3"/>
      </w:pPr>
      <w:r>
        <w:t xml:space="preserve">QUANTIFICATION AND STATISTICAL ANALYSIS</w:t>
      </w:r>
    </w:p>
    <w:bookmarkStart w:id="316" w:name="Xf92e5c6e4c8b4b4c2a1a15961f2a513d59942be"/>
    <w:p>
      <w:pPr>
        <w:pStyle w:val="Heading5"/>
      </w:pPr>
      <w:r>
        <w:t xml:space="preserve">Focal Copy Number Calling (</w:t>
      </w:r>
      <w:r>
        <w:rPr>
          <w:rStyle w:val="VerbatimChar"/>
        </w:rPr>
        <w:t xml:space="preserve">focal-cn-file-preparation</w:t>
      </w:r>
      <w:r>
        <w:t xml:space="preserve"> </w:t>
      </w:r>
      <w:r>
        <w:t xml:space="preserve">analysis module)</w:t>
      </w:r>
    </w:p>
    <w:p>
      <w:pPr>
        <w:pStyle w:val="FirstParagraph"/>
      </w:pPr>
      <w:r>
        <w:t xml:space="preserve">Please refer to the OpenPBTA manuscript for details on assignment of copy number status values to CNV segments, cytobands, and genes</w:t>
      </w:r>
      <w:r>
        <w:t xml:space="preserve"> </w:t>
      </w:r>
      <w:r>
        <w:t xml:space="preserve">[</w:t>
      </w:r>
      <w:hyperlink w:anchor="ref-5VXMHJ7N">
        <w:r>
          <w:rPr>
            <w:rStyle w:val="Hyperlink"/>
          </w:rPr>
          <w:t xml:space="preserve">5</w:t>
        </w:r>
      </w:hyperlink>
      <w:r>
        <w:t xml:space="preserve">]</w:t>
      </w:r>
      <w:r>
        <w:t xml:space="preserve">.</w:t>
      </w:r>
      <w:r>
        <w:t xml:space="preserve"> </w:t>
      </w:r>
      <w:r>
        <w:t xml:space="preserve">We applied criteria to resolve instances of multiple conflicting status calls for the same gene and sample, which are described in detail in the</w:t>
      </w:r>
      <w:r>
        <w:t xml:space="preserve"> </w:t>
      </w:r>
      <w:hyperlink r:id="rId315">
        <w:r>
          <w:rPr>
            <w:rStyle w:val="Hyperlink"/>
          </w:rPr>
          <w:t xml:space="preserve">focal-cn-file-preparation</w:t>
        </w:r>
      </w:hyperlink>
      <w:r>
        <w:t xml:space="preserve"> </w:t>
      </w:r>
      <w:r>
        <w:t xml:space="preserve">module.</w:t>
      </w:r>
      <w:r>
        <w:t xml:space="preserve"> </w:t>
      </w:r>
      <w:r>
        <w:t xml:space="preserve">Briefly, we prioritized 1) non-neutral status calls, 2) calls made from dominant segments with respect to gene overlap, and 3) amplification and deep deletion status calls over gain and loss calls, respectively, when selecting a dominant status call per gene and sample.</w:t>
      </w:r>
      <w:r>
        <w:t xml:space="preserve"> </w:t>
      </w:r>
      <w:r>
        <w:t xml:space="preserve">These methods resolved &gt;99% of duplicated gene-level status calls.</w:t>
      </w:r>
    </w:p>
    <w:bookmarkEnd w:id="316"/>
    <w:bookmarkStart w:id="317" w:name="Xc100016fe5ca649048648aa0848fc772e76806c"/>
    <w:p>
      <w:pPr>
        <w:pStyle w:val="Heading5"/>
      </w:pPr>
      <w:r>
        <w:t xml:space="preserve">Gene Set Variation Analysis (</w:t>
      </w:r>
      <w:r>
        <w:rPr>
          <w:rStyle w:val="VerbatimChar"/>
        </w:rPr>
        <w:t xml:space="preserve">gene-set-enrichment-analysis</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317"/>
    <w:bookmarkStart w:id="319" w:name="X29c65fcf469276050b3a2ce67ea7b6113b9c866"/>
    <w:p>
      <w:pPr>
        <w:pStyle w:val="Heading5"/>
      </w:pPr>
      <w:r>
        <w:t xml:space="preserve">Fusion prioritization (</w:t>
      </w:r>
      <w:r>
        <w:rPr>
          <w:rStyle w:val="VerbatimChar"/>
        </w:rPr>
        <w:t xml:space="preserve">fusion_filtering</w:t>
      </w:r>
      <w:r>
        <w:t xml:space="preserve"> </w:t>
      </w:r>
      <w:r>
        <w:t xml:space="preserve">analysis module)</w:t>
      </w:r>
    </w:p>
    <w:p>
      <w:pPr>
        <w:pStyle w:val="FirstParagraph"/>
      </w:pPr>
      <w:r>
        <w:t xml:space="preserve">The</w:t>
      </w:r>
      <w:r>
        <w:t xml:space="preserve"> </w:t>
      </w:r>
      <w:hyperlink r:id="rId318">
        <w:r>
          <w:rPr>
            <w:rStyle w:val="VerbatimChar"/>
          </w:rPr>
          <w:t xml:space="preserve">fusion_filtering</w:t>
        </w:r>
      </w:hyperlink>
      <w:r>
        <w:t xml:space="preserve"> </w:t>
      </w:r>
      <w:r>
        <w:t xml:space="preserve">module filters artifacts and annotates fusion calls, with prioritization for oncogenic fusions, for the fusion calls from STAR-Fusion and Arriba.</w:t>
      </w:r>
      <w:r>
        <w:t xml:space="preserve"> </w:t>
      </w:r>
      <w:r>
        <w:t xml:space="preserve">After artifact filtering, fusions were prioritized and annotated as</w:t>
      </w:r>
      <w:r>
        <w:t xml:space="preserve"> </w:t>
      </w:r>
      <w:r>
        <w:t xml:space="preserve">“</w:t>
      </w:r>
      <w:r>
        <w:t xml:space="preserve">putative oncogenic fusions</w:t>
      </w:r>
      <w:r>
        <w:t xml:space="preserve">”</w:t>
      </w:r>
      <w:r>
        <w:t xml:space="preserve"> </w:t>
      </w:r>
      <w:r>
        <w:t xml:space="preserve">when at least one gene was a known kinase, oncogene, tumor suppressor, curated transcription factor, on the COSMIC Cancer Gene Census List, or observed in TCGA.</w:t>
      </w:r>
      <w:r>
        <w:t xml:space="preserve"> </w:t>
      </w:r>
      <w:r>
        <w:t xml:space="preserve">Fusions were retained in this module if they were called by both callers, recurrent or specific to a cancer group, or annotated as a putative oncogenic fusion.</w:t>
      </w:r>
      <w:r>
        <w:t xml:space="preserve"> </w:t>
      </w:r>
      <w:r>
        <w:t xml:space="preserve">Please refer to the module linked above for more detailed documentation and scripts.</w:t>
      </w:r>
    </w:p>
    <w:bookmarkEnd w:id="319"/>
    <w:bookmarkStart w:id="321" w:name="splicing-quantification"/>
    <w:p>
      <w:pPr>
        <w:pStyle w:val="Heading5"/>
      </w:pPr>
      <w:r>
        <w:t xml:space="preserve">Splicing quantification</w:t>
      </w:r>
    </w:p>
    <w:p>
      <w:pPr>
        <w:pStyle w:val="FirstParagraph"/>
      </w:pPr>
      <w:r>
        <w:t xml:space="preserve">To detect alternative splicing events, we utilized rMATS turbo (v. 4.1.0) with Ensembl/GENCODE v39 GFF annotations using the</w:t>
      </w:r>
      <w:r>
        <w:t xml:space="preserve"> </w:t>
      </w:r>
      <w:hyperlink r:id="rId320">
        <w:r>
          <w:rPr>
            <w:rStyle w:val="Hyperlink"/>
          </w:rPr>
          <w:t xml:space="preserve">Kids First RNA-Seq workflow</w:t>
        </w:r>
      </w:hyperlink>
      <w:r>
        <w:t xml:space="preserve">.</w:t>
      </w:r>
      <w:r>
        <w:t xml:space="preserve"> </w:t>
      </w:r>
      <w:r>
        <w:t xml:space="preserve">We used</w:t>
      </w:r>
      <w:r>
        <w:t xml:space="preserve"> </w:t>
      </w:r>
      <w:r>
        <w:rPr>
          <w:rStyle w:val="VerbatimChar"/>
        </w:rPr>
        <w:t xml:space="preserve">--variable-read-length</w:t>
      </w:r>
      <w:r>
        <w:t xml:space="preserve"> </w:t>
      </w:r>
      <w:r>
        <w:t xml:space="preserve">and</w:t>
      </w:r>
      <w:r>
        <w:t xml:space="preserve"> </w:t>
      </w:r>
      <w:r>
        <w:rPr>
          <w:rStyle w:val="VerbatimChar"/>
        </w:rPr>
        <w:t xml:space="preserve">-t paired</w:t>
      </w:r>
      <w:r>
        <w:t xml:space="preserve"> </w:t>
      </w:r>
      <w:r>
        <w:t xml:space="preserve">options and applied an additional filter to include only splicing events with total junction read counts greater than 10.</w:t>
      </w:r>
    </w:p>
    <w:bookmarkEnd w:id="321"/>
    <w:bookmarkStart w:id="322" w:name="X559763d0bcd154628ca238438cccc0e2bab162c"/>
    <w:p>
      <w:pPr>
        <w:pStyle w:val="Heading4"/>
      </w:pPr>
      <w:r>
        <w:t xml:space="preserve">Mutational Signatures (</w:t>
      </w:r>
      <w:r>
        <w:rPr>
          <w:rStyle w:val="VerbatimChar"/>
        </w:rPr>
        <w:t xml:space="preserve">mutational-signatures</w:t>
      </w:r>
      <w:r>
        <w:t xml:space="preserve"> </w:t>
      </w:r>
      <w:r>
        <w:t xml:space="preserve">analysis module)</w:t>
      </w:r>
    </w:p>
    <w:p>
      <w:pPr>
        <w:pStyle w:val="FirstParagraph"/>
      </w:pPr>
      <w:r>
        <w:t xml:space="preserve">We obtained mutational signature weights (i.e., exposures) from consensus SNVs using the deconstructSigs R package</w:t>
      </w:r>
      <w:r>
        <w:t xml:space="preserve"> </w:t>
      </w:r>
      <w:r>
        <w:t xml:space="preserve">[</w:t>
      </w:r>
      <w:hyperlink w:anchor="ref-KhxTOfIb">
        <w:r>
          <w:rPr>
            <w:rStyle w:val="Hyperlink"/>
          </w:rPr>
          <w:t xml:space="preserve">25</w:t>
        </w:r>
      </w:hyperlink>
      <w:r>
        <w:t xml:space="preserve">]</w:t>
      </w:r>
      <w:r>
        <w:t xml:space="preserve">.</w:t>
      </w:r>
      <w:r>
        <w:t xml:space="preserve"> </w:t>
      </w:r>
      <w:r>
        <w:t xml:space="preserve">We estimated weights for single- and double-base substitution (SBS and DBS, respectively) signatures from the Catalogue of Somatic Mutations in Cancer (COSMIC) database versions 2 and 3.3, as well as SBS signatures from Alexandrov et al. 2013</w:t>
      </w:r>
      <w:r>
        <w:t xml:space="preserve"> </w:t>
      </w:r>
      <w:r>
        <w:t xml:space="preserve">[</w:t>
      </w:r>
      <w:hyperlink w:anchor="ref-kG8qNLrs">
        <w:r>
          <w:rPr>
            <w:rStyle w:val="Hyperlink"/>
          </w:rPr>
          <w:t xml:space="preserve">26</w:t>
        </w:r>
      </w:hyperlink>
      <w:r>
        <w:t xml:space="preserve">]</w:t>
      </w:r>
      <w:r>
        <w:t xml:space="preserve">.</w:t>
      </w:r>
      <w:r>
        <w:t xml:space="preserve"> </w:t>
      </w:r>
      <w:r>
        <w:t xml:space="preserve">The following COSMIC SBS signatures were excluded from weight estimation in all tumors: 1) sequencing artifact signatures, 2) signatures associated with environmental exposure, and 3) signatures with an unknown etiology.</w:t>
      </w:r>
      <w:r>
        <w:t xml:space="preserve"> </w:t>
      </w:r>
      <w:r>
        <w:t xml:space="preserve">Additionally, we excluded therapy-associated signatures from mutational signature weight estimation in tumors collected prior to treatment (i.e. </w:t>
      </w:r>
      <w:r>
        <w:t xml:space="preserve">“</w:t>
      </w:r>
      <w:r>
        <w:t xml:space="preserve">Initial CNS Tumor</w:t>
      </w:r>
      <w:r>
        <w:t xml:space="preserve">”</w:t>
      </w:r>
      <w:r>
        <w:t xml:space="preserve"> </w:t>
      </w:r>
      <w:r>
        <w:t xml:space="preserve">or</w:t>
      </w:r>
      <w:r>
        <w:t xml:space="preserve"> </w:t>
      </w:r>
      <w:r>
        <w:t xml:space="preserve">“</w:t>
      </w:r>
      <w:r>
        <w:t xml:space="preserve">Primary Tumor</w:t>
      </w:r>
      <w:r>
        <w:t xml:space="preserve">”</w:t>
      </w:r>
      <w:r>
        <w:t xml:space="preserve">).</w:t>
      </w:r>
    </w:p>
    <w:bookmarkEnd w:id="322"/>
    <w:bookmarkEnd w:id="323"/>
    <w:bookmarkStart w:id="335" w:name="X64f26fdb1f5c5cf72dcec70b59c95886e3b8304"/>
    <w:p>
      <w:pPr>
        <w:pStyle w:val="Heading3"/>
      </w:pPr>
      <w:r>
        <w:t xml:space="preserve">Tumor Mutation Burden [TMB] (</w:t>
      </w:r>
      <w:r>
        <w:rPr>
          <w:rStyle w:val="VerbatimChar"/>
        </w:rPr>
        <w:t xml:space="preserve">tmb-calculation</w:t>
      </w:r>
      <w:r>
        <w:t xml:space="preserve"> </w:t>
      </w:r>
      <w:r>
        <w:t xml:space="preserve">analysis module)</w:t>
      </w:r>
    </w:p>
    <w:p>
      <w:pPr>
        <w:pStyle w:val="FirstParagraph"/>
      </w:pPr>
      <w:r>
        <w:t xml:space="preserve">Recent clinical studies have associated high TMB with improved patient response rates and survival benefit from immune checkpoint inhibitors</w:t>
      </w:r>
      <w:r>
        <w:t xml:space="preserve"> </w:t>
      </w:r>
      <w:r>
        <w:t xml:space="preserve">[</w:t>
      </w:r>
      <w:hyperlink w:anchor="ref-doi.org/10.1002/gcc.22733">
        <w:r>
          <w:rPr>
            <w:rStyle w:val="Hyperlink"/>
            <w:bCs/>
            <w:b/>
          </w:rPr>
          <w:t xml:space="preserve">doi.org/10.1002/gcc.22733?</w:t>
        </w:r>
      </w:hyperlink>
      <w:r>
        <w:t xml:space="preserve">]</w:t>
      </w:r>
      <w:r>
        <w:t xml:space="preserve">.</w:t>
      </w:r>
    </w:p>
    <w:p>
      <w:pPr>
        <w:pStyle w:val="BodyText"/>
      </w:pPr>
      <w:r>
        <w:t xml:space="preserve">The</w:t>
      </w:r>
      <w:r>
        <w:t xml:space="preserve"> </w:t>
      </w:r>
      <w:hyperlink r:id="rId324">
        <w:r>
          <w:rPr>
            <w:rStyle w:val="Hyperlink"/>
          </w:rPr>
          <w:t xml:space="preserve">Tumor Mutation Burden (TMB)</w:t>
        </w:r>
        <w:r>
          <w:rPr>
            <w:rStyle w:val="Hyperlink"/>
          </w:rPr>
          <w:t xml:space="preserve"> </w:t>
        </w:r>
        <w:r>
          <w:rPr>
            <w:rStyle w:val="VerbatimChar"/>
          </w:rPr>
          <w:t xml:space="preserve">tmb-calculation</w:t>
        </w:r>
      </w:hyperlink>
      <w:r>
        <w:t xml:space="preserve"> </w:t>
      </w:r>
      <w:r>
        <w:t xml:space="preserve">module was adapted from the</w:t>
      </w:r>
      <w:r>
        <w:t xml:space="preserve"> </w:t>
      </w:r>
      <w:hyperlink r:id="rId325">
        <w:r>
          <w:rPr>
            <w:rStyle w:val="VerbatimChar"/>
          </w:rPr>
          <w:t xml:space="preserve">snv-callers</w:t>
        </w:r>
        <w:r>
          <w:rPr>
            <w:rStyle w:val="Hyperlink"/>
          </w:rPr>
          <w:t xml:space="preserve"> </w:t>
        </w:r>
        <w:r>
          <w:rPr>
            <w:rStyle w:val="Hyperlink"/>
          </w:rPr>
          <w:t xml:space="preserve">module</w:t>
        </w:r>
      </w:hyperlink>
      <w:r>
        <w:t xml:space="preserve"> </w:t>
      </w:r>
      <w:r>
        <w:t xml:space="preserve">of the OpenPBTA project</w:t>
      </w:r>
      <w:r>
        <w:t xml:space="preserve"> </w:t>
      </w:r>
      <w:r>
        <w:t xml:space="preserve">[</w:t>
      </w:r>
      <w:hyperlink w:anchor="ref-5VXMHJ7N">
        <w:r>
          <w:rPr>
            <w:rStyle w:val="Hyperlink"/>
          </w:rPr>
          <w:t xml:space="preserve">5</w:t>
        </w:r>
      </w:hyperlink>
      <w:r>
        <w:t xml:space="preserve">]</w:t>
      </w:r>
      <w:r>
        <w:t xml:space="preserve">.</w:t>
      </w:r>
      <w:r>
        <w:t xml:space="preserve"> </w:t>
      </w:r>
      <w:r>
        <w:t xml:space="preserve">Here, we use mutations in the</w:t>
      </w:r>
      <w:r>
        <w:t xml:space="preserve"> </w:t>
      </w:r>
      <w:r>
        <w:rPr>
          <w:rStyle w:val="VerbatimChar"/>
        </w:rPr>
        <w:t xml:space="preserve">snv-consensus-plus-hotspots.maf.tsv.gz</w:t>
      </w:r>
      <w:r>
        <w:t xml:space="preserve"> </w:t>
      </w:r>
      <w:r>
        <w:t xml:space="preserve">file which is generated using</w:t>
      </w:r>
      <w:r>
        <w:t xml:space="preserve"> </w:t>
      </w:r>
      <w:hyperlink r:id="rId326">
        <w:r>
          <w:rPr>
            <w:rStyle w:val="Hyperlink"/>
          </w:rPr>
          <w:t xml:space="preserve">Kids First DRC Consensus Calling Workflow</w:t>
        </w:r>
      </w:hyperlink>
      <w:r>
        <w:t xml:space="preserve"> </w:t>
      </w:r>
      <w:r>
        <w:t xml:space="preserve">and is included in the OpenPedCan data download.</w:t>
      </w:r>
      <w:r>
        <w:t xml:space="preserve"> </w:t>
      </w:r>
      <w:r>
        <w:t xml:space="preserve">The consensus MAF contains SNVs or MNVs called in at least 2 of the 4 callers (Mutect2, Strelka2, Lancet, and Vardict) plus hotspot mutations if called in 1 of the 4 callers.</w:t>
      </w:r>
      <w:r>
        <w:t xml:space="preserve"> </w:t>
      </w:r>
      <w:r>
        <w:t xml:space="preserve">We calculated TMB for tumor samples sequenced with either WGS or WXS.</w:t>
      </w:r>
      <w:r>
        <w:t xml:space="preserve"> </w:t>
      </w:r>
      <w:r>
        <w:t xml:space="preserve">Briefly, we split the SNV consensus MAF into SNVs and multinucleotide variants (MNVs).</w:t>
      </w:r>
      <w:r>
        <w:t xml:space="preserve"> </w:t>
      </w:r>
      <w:r>
        <w:t xml:space="preserve">We split the MNV subset into SNV calls, merged those back with the SNVs subset, and then removed sample-specific redundant calls.</w:t>
      </w:r>
      <w:r>
        <w:t xml:space="preserve"> </w:t>
      </w:r>
      <w:r>
        <w:t xml:space="preserve">The resulting merged and non-redundant SNV consensus calls were used as input for the TMB calculation.</w:t>
      </w:r>
      <w:r>
        <w:t xml:space="preserve"> </w:t>
      </w:r>
      <w:r>
        <w:t xml:space="preserve">We tallied only nonsynonymous variants with classifications of high/moderate consequence (</w:t>
      </w:r>
      <w:r>
        <w:t xml:space="preserve">“</w:t>
      </w:r>
      <w:r>
        <w:t xml:space="preserve">Missense_Mutation</w:t>
      </w:r>
      <w:r>
        <w:t xml:space="preserve">”</w:t>
      </w:r>
      <w:r>
        <w:t xml:space="preserve">,</w:t>
      </w:r>
      <w:r>
        <w:t xml:space="preserve"> </w:t>
      </w:r>
      <w:r>
        <w:t xml:space="preserve">“</w:t>
      </w:r>
      <w:r>
        <w:t xml:space="preserve">Frame_Shift_Del</w:t>
      </w:r>
      <w:r>
        <w:t xml:space="preserve">”</w:t>
      </w:r>
      <w:r>
        <w:t xml:space="preserve">,</w:t>
      </w:r>
      <w:r>
        <w:t xml:space="preserve"> </w:t>
      </w:r>
      <w:r>
        <w:t xml:space="preserve">“</w:t>
      </w:r>
      <w:r>
        <w:t xml:space="preserve">In_Frame_Ins</w:t>
      </w:r>
      <w:r>
        <w:t xml:space="preserve">”</w:t>
      </w:r>
      <w:r>
        <w:t xml:space="preserve">,</w:t>
      </w:r>
      <w:r>
        <w:t xml:space="preserve"> </w:t>
      </w:r>
      <w:r>
        <w:t xml:space="preserve">“</w:t>
      </w:r>
      <w:r>
        <w:t xml:space="preserve">Frame_Shift_Ins</w:t>
      </w:r>
      <w:r>
        <w:t xml:space="preserve">”</w:t>
      </w:r>
      <w:r>
        <w:t xml:space="preserve">,</w:t>
      </w:r>
      <w:r>
        <w:t xml:space="preserve"> </w:t>
      </w:r>
      <w:r>
        <w:t xml:space="preserve">“</w:t>
      </w:r>
      <w:r>
        <w:t xml:space="preserve">Splice_Site</w:t>
      </w:r>
      <w:r>
        <w:t xml:space="preserve">”</w:t>
      </w:r>
      <w:r>
        <w:t xml:space="preserve">,</w:t>
      </w:r>
      <w:r>
        <w:t xml:space="preserve"> </w:t>
      </w:r>
      <w:r>
        <w:t xml:space="preserve">“</w:t>
      </w:r>
      <w:r>
        <w:t xml:space="preserve">Nonsense_Mutation</w:t>
      </w:r>
      <w:r>
        <w:t xml:space="preserve">”</w:t>
      </w:r>
      <w:r>
        <w:t xml:space="preserve">,</w:t>
      </w:r>
      <w:r>
        <w:t xml:space="preserve"> </w:t>
      </w:r>
      <w:r>
        <w:t xml:space="preserve">“</w:t>
      </w:r>
      <w:r>
        <w:t xml:space="preserve">In_Frame_Del</w:t>
      </w:r>
      <w:r>
        <w:t xml:space="preserve">”</w:t>
      </w:r>
      <w:r>
        <w:t xml:space="preserve">,</w:t>
      </w:r>
      <w:r>
        <w:t xml:space="preserve"> </w:t>
      </w:r>
      <w:r>
        <w:t xml:space="preserve">“</w:t>
      </w:r>
      <w:r>
        <w:t xml:space="preserve">Nonstop_Mutation</w:t>
      </w:r>
      <w:r>
        <w:t xml:space="preserve">”</w:t>
      </w:r>
      <w:r>
        <w:t xml:space="preserve">, and</w:t>
      </w:r>
      <w:r>
        <w:t xml:space="preserve"> </w:t>
      </w:r>
      <w:r>
        <w:t xml:space="preserve">“</w:t>
      </w:r>
      <w:r>
        <w:t xml:space="preserve">Translation_Start_Site</w:t>
      </w:r>
      <w:r>
        <w:t xml:space="preserve">”</w:t>
      </w:r>
      <w:r>
        <w:t xml:space="preserve">) for the numerator.</w:t>
      </w:r>
    </w:p>
    <w:p>
      <w:pPr>
        <w:pStyle w:val="BodyText"/>
      </w:pPr>
      <w:r>
        <w:rPr>
          <w:bCs/>
          <w:b/>
        </w:rPr>
        <w:t xml:space="preserve">All mutation TMB</w:t>
      </w:r>
    </w:p>
    <w:p>
      <w:pPr>
        <w:pStyle w:val="BodyText"/>
      </w:pPr>
      <w:r>
        <w:t xml:space="preserve">For WGS samples, we calculated the size of the genome covered as the intersection of Strelka2 and Mutect2’s effectively surveyed areas, regions common to all variant callers, and used this as the denominator.</w:t>
      </w:r>
      <w:r>
        <w:t xml:space="preserve"> </w:t>
      </w:r>
      <w:r>
        <w:rPr>
          <w:rStyle w:val="VerbatimChar"/>
        </w:rPr>
        <w:t xml:space="preserve">WGS_all_mutations_TMB = (total # mutations in consensus MAF) / intersection_strelka_mutect_vardict_genome_size</w:t>
      </w:r>
      <w:r>
        <w:t xml:space="preserve"> </w:t>
      </w:r>
      <w:r>
        <w:t xml:space="preserve">For WXS samples, we used the size of the WXS bed region file as the denominator.</w:t>
      </w:r>
      <w:r>
        <w:t xml:space="preserve"> </w:t>
      </w:r>
      <w:r>
        <w:rPr>
          <w:rStyle w:val="VerbatimChar"/>
        </w:rPr>
        <w:t xml:space="preserve">WXS_all_mutations_TMB = (total # mutations in consensus MAF)) / wxs_genome_size</w:t>
      </w:r>
    </w:p>
    <w:p>
      <w:pPr>
        <w:pStyle w:val="BodyText"/>
      </w:pPr>
      <w:r>
        <w:rPr>
          <w:bCs/>
          <w:b/>
        </w:rPr>
        <w:t xml:space="preserve">Coding only TMB</w:t>
      </w:r>
    </w:p>
    <w:p>
      <w:pPr>
        <w:pStyle w:val="BodyText"/>
      </w:pPr>
      <w:r>
        <w:t xml:space="preserve">We generated coding only TMB from the consensus MAF as well.</w:t>
      </w:r>
      <w:r>
        <w:t xml:space="preserve"> </w:t>
      </w:r>
      <w:r>
        <w:t xml:space="preserve">We calculated the intersection for Strelka2 and Mutect2 surveyed regions using the coding sequence ranges in the GENCODE v39 gtf supplied in the OpenPedCan data download.</w:t>
      </w:r>
      <w:r>
        <w:t xml:space="preserve"> </w:t>
      </w:r>
      <w:r>
        <w:t xml:space="preserve">We removed SNVs outside of these coding sequences prior to implementing the TMB calculation below:</w:t>
      </w:r>
      <w:r>
        <w:t xml:space="preserve"> </w:t>
      </w:r>
      <w:r>
        <w:rPr>
          <w:rStyle w:val="VerbatimChar"/>
        </w:rPr>
        <w:t xml:space="preserve">WGS_coding_only_TMB = (total # coding mutations in consensus MAF) / intersection_wgs_strelka_mutect_vardict_CDS_genome_size</w:t>
      </w:r>
      <w:r>
        <w:t xml:space="preserve"> </w:t>
      </w:r>
      <w:r>
        <w:t xml:space="preserve">For WXS samples, we intersected each WXS bed region file with the GENCODE v39 coding sequence, sum only variants within this region for the numerator, and calculate the size of this region as the denominator.</w:t>
      </w:r>
      <w:r>
        <w:t xml:space="preserve"> </w:t>
      </w:r>
      <w:r>
        <w:rPr>
          <w:rStyle w:val="VerbatimChar"/>
        </w:rPr>
        <w:t xml:space="preserve">WXS_coding_only_TMB = (total # coding mutations in consensus MAF) / intersection_wxs_CDS_genome_size</w:t>
      </w:r>
    </w:p>
    <w:p>
      <w:pPr>
        <w:pStyle w:val="BodyText"/>
      </w:pPr>
      <w:r>
        <w:t xml:space="preserve">Finally, we include an option (</w:t>
      </w:r>
      <w:r>
        <w:rPr>
          <w:rStyle w:val="VerbatimChar"/>
        </w:rPr>
        <w:t xml:space="preserve">nonsynfilter_focr</w:t>
      </w:r>
      <w:r>
        <w:t xml:space="preserve">) to use specific nonsynonymous mutation variant classifications recommended from the</w:t>
      </w:r>
      <w:r>
        <w:t xml:space="preserve"> </w:t>
      </w:r>
      <w:hyperlink r:id="rId327">
        <w:r>
          <w:rPr>
            <w:rStyle w:val="Hyperlink"/>
          </w:rPr>
          <w:t xml:space="preserve">TMB Harmonization Project</w:t>
        </w:r>
      </w:hyperlink>
      <w:r>
        <w:t xml:space="preserve">.</w:t>
      </w:r>
    </w:p>
    <w:bookmarkStart w:id="330" w:name="clinical-data-harmonization"/>
    <w:p>
      <w:pPr>
        <w:pStyle w:val="Heading4"/>
      </w:pPr>
      <w:r>
        <w:t xml:space="preserve">Clinical Data Harmonization</w:t>
      </w:r>
    </w:p>
    <w:bookmarkStart w:id="328" w:name="who-classification-of-disease-types"/>
    <w:p>
      <w:pPr>
        <w:pStyle w:val="Heading5"/>
      </w:pPr>
      <w:r>
        <w:t xml:space="preserve">WHO Classification of Disease Types</w:t>
      </w:r>
    </w:p>
    <w:bookmarkEnd w:id="328"/>
    <w:bookmarkStart w:id="329" w:name="molecular-subtyping"/>
    <w:p>
      <w:pPr>
        <w:pStyle w:val="Heading5"/>
      </w:pPr>
      <w:r>
        <w:t xml:space="preserve">Molecular Subtyping</w:t>
      </w:r>
    </w:p>
    <w:p>
      <w:pPr>
        <w:pStyle w:val="FirstParagraph"/>
      </w:pPr>
      <w:r>
        <w:t xml:space="preserve">Here, we build upon the molecular subtyping performed in OpenPBTA</w:t>
      </w:r>
      <w:r>
        <w:t xml:space="preserve"> </w:t>
      </w:r>
      <w:r>
        <w:t xml:space="preserve">[</w:t>
      </w:r>
      <w:hyperlink w:anchor="ref-5VXMHJ7N">
        <w:r>
          <w:rPr>
            <w:rStyle w:val="Hyperlink"/>
          </w:rPr>
          <w:t xml:space="preserve">5</w:t>
        </w:r>
      </w:hyperlink>
      <w:r>
        <w:t xml:space="preserve">]</w:t>
      </w:r>
      <w:r>
        <w:t xml:space="preserve">.</w:t>
      </w:r>
    </w:p>
    <w:p>
      <w:pPr>
        <w:pStyle w:val="BodyText"/>
      </w:pPr>
      <w:r>
        <w:rPr>
          <w:bCs/>
          <w:b/>
        </w:rPr>
        <w:t xml:space="preserve">High-grade gliomas.</w:t>
      </w:r>
      <w:r>
        <w:t xml:space="preserve"> </w:t>
      </w:r>
    </w:p>
    <w:p>
      <w:pPr>
        <w:pStyle w:val="BodyText"/>
      </w:pPr>
      <w:r>
        <w:t xml:space="preserve">High-grade gliomas (HGG) were categorized based on a combination of clinical information, molecular features, and DNA methylation data.</w:t>
      </w:r>
      <w:r>
        <w:t xml:space="preserve"> </w:t>
      </w:r>
      <w:r>
        <w:t xml:space="preserve">H3 K28-altered diffuse midline gliomas (DMG) were classified based on the presence of a p.K28M or p.K28I mutation in</w:t>
      </w:r>
      <w:r>
        <w:t xml:space="preserve"> </w:t>
      </w:r>
      <w:r>
        <w:rPr>
          <w:iCs/>
          <w:i/>
        </w:rPr>
        <w:t xml:space="preserve">H3F3A</w:t>
      </w:r>
      <w:r>
        <w:t xml:space="preserve">,</w:t>
      </w:r>
      <w:r>
        <w:t xml:space="preserve"> </w:t>
      </w:r>
      <w:r>
        <w:rPr>
          <w:iCs/>
          <w:i/>
        </w:rPr>
        <w:t xml:space="preserve">HIST1H3B</w:t>
      </w:r>
      <w:r>
        <w:t xml:space="preserve">,</w:t>
      </w:r>
      <w:r>
        <w:t xml:space="preserve"> </w:t>
      </w:r>
      <w:r>
        <w:rPr>
          <w:iCs/>
          <w:i/>
        </w:rPr>
        <w:t xml:space="preserve">HIST1H3C</w:t>
      </w:r>
      <w:r>
        <w:t xml:space="preserve">, or</w:t>
      </w:r>
      <w:r>
        <w:t xml:space="preserve"> </w:t>
      </w:r>
      <w:r>
        <w:rPr>
          <w:iCs/>
          <w:i/>
        </w:rPr>
        <w:t xml:space="preserve">HIST2H3C</w:t>
      </w:r>
      <w:r>
        <w:t xml:space="preserve">, or a high-confidence DKFZ methylation score (&gt;=0.8) in the appropriate subclass.</w:t>
      </w:r>
      <w:r>
        <w:t xml:space="preserve"> </w:t>
      </w:r>
      <w:r>
        <w:t xml:space="preserve">Oligodendroglioma, IDH-mutant tumors were classified based on high-confidence</w:t>
      </w:r>
      <w:r>
        <w:t xml:space="preserve"> </w:t>
      </w:r>
      <w:r>
        <w:t xml:space="preserve">“</w:t>
      </w:r>
      <w:r>
        <w:t xml:space="preserve">O_IDH</w:t>
      </w:r>
      <w:r>
        <w:t xml:space="preserve">”</w:t>
      </w:r>
      <w:r>
        <w:t xml:space="preserve"> </w:t>
      </w:r>
      <w:r>
        <w:t xml:space="preserve">methylation classifications, and oligosarcoma, IDH-mutant tumors were defined as those with high-confidence</w:t>
      </w:r>
      <w:r>
        <w:t xml:space="preserve"> </w:t>
      </w:r>
      <w:r>
        <w:t xml:space="preserve">“</w:t>
      </w:r>
      <w:r>
        <w:t xml:space="preserve">OLIGOSARC_IDH</w:t>
      </w:r>
      <w:r>
        <w:t xml:space="preserve">”</w:t>
      </w:r>
      <w:r>
        <w:t xml:space="preserve"> </w:t>
      </w:r>
      <w:r>
        <w:t xml:space="preserve">methylation classifications.</w:t>
      </w:r>
      <w:r>
        <w:t xml:space="preserve"> </w:t>
      </w:r>
      <w:r>
        <w:t xml:space="preserve">Pleomorphic xanthoastrocytomas (PXA) were classified using the following criteria: 1) methylation subtype is high-confidence</w:t>
      </w:r>
      <w:r>
        <w:t xml:space="preserve"> </w:t>
      </w:r>
      <w:r>
        <w:t xml:space="preserve">“</w:t>
      </w:r>
      <w:r>
        <w:t xml:space="preserve">PXA</w:t>
      </w:r>
      <w:r>
        <w:t xml:space="preserve">”</w:t>
      </w:r>
      <w:r>
        <w:t xml:space="preserve"> </w:t>
      </w:r>
      <w:r>
        <w:t xml:space="preserve">or</w:t>
      </w:r>
      <w:r>
        <w:t xml:space="preserve"> </w:t>
      </w:r>
      <w:r>
        <w:rPr>
          <w:rStyle w:val="VerbatimChar"/>
        </w:rPr>
        <w:t xml:space="preserve">pathology_free_text_diagnosis</w:t>
      </w:r>
      <w:r>
        <w:t xml:space="preserve"> </w:t>
      </w:r>
      <w:r>
        <w:t xml:space="preserve">contains</w:t>
      </w:r>
      <w:r>
        <w:t xml:space="preserve"> </w:t>
      </w:r>
      <w:r>
        <w:t xml:space="preserve">“</w:t>
      </w:r>
      <w:r>
        <w:t xml:space="preserve">pleomorphic xanthoastrocytoma</w:t>
      </w:r>
      <w:r>
        <w:t xml:space="preserve">”</w:t>
      </w:r>
      <w:r>
        <w:t xml:space="preserve"> </w:t>
      </w:r>
      <w:r>
        <w:t xml:space="preserve">or</w:t>
      </w:r>
      <w:r>
        <w:t xml:space="preserve"> </w:t>
      </w:r>
      <w:r>
        <w:t xml:space="preserve">“</w:t>
      </w:r>
      <w:r>
        <w:t xml:space="preserve">pxa</w:t>
      </w:r>
      <w:r>
        <w:t xml:space="preserve">”</w:t>
      </w:r>
      <w:r>
        <w:t xml:space="preserve">, and 2) tumor contains a BRAF V600E mutation and a</w:t>
      </w:r>
      <w:r>
        <w:t xml:space="preserve"> </w:t>
      </w:r>
      <w:r>
        <w:rPr>
          <w:iCs/>
          <w:i/>
        </w:rPr>
        <w:t xml:space="preserve">CDKN2A</w:t>
      </w:r>
      <w:r>
        <w:t xml:space="preserve"> </w:t>
      </w:r>
      <w:r>
        <w:t xml:space="preserve">or</w:t>
      </w:r>
      <w:r>
        <w:t xml:space="preserve"> </w:t>
      </w:r>
      <w:r>
        <w:rPr>
          <w:iCs/>
          <w:i/>
        </w:rPr>
        <w:t xml:space="preserve">CDKN2B</w:t>
      </w:r>
      <w:r>
        <w:t xml:space="preserve"> </w:t>
      </w:r>
      <w:r>
        <w:t xml:space="preserve">homozygous deletion.</w:t>
      </w:r>
      <w:r>
        <w:t xml:space="preserve"> </w:t>
      </w:r>
      <w:r>
        <w:t xml:space="preserve">Methylation classifications were used in classifying the following subtypes:</w:t>
      </w:r>
    </w:p>
    <w:p>
      <w:pPr>
        <w:numPr>
          <w:ilvl w:val="0"/>
          <w:numId w:val="1003"/>
        </w:numPr>
        <w:pStyle w:val="Compact"/>
      </w:pPr>
      <w:r>
        <w:t xml:space="preserve">DHG, H3 G35 (</w:t>
      </w:r>
      <w:r>
        <w:t xml:space="preserve">“</w:t>
      </w:r>
      <w:r>
        <w:t xml:space="preserve">DHG_G34</w:t>
      </w:r>
      <w:r>
        <w:t xml:space="preserve">”</w:t>
      </w:r>
      <w:r>
        <w:t xml:space="preserve"> </w:t>
      </w:r>
      <w:r>
        <w:t xml:space="preserve">and</w:t>
      </w:r>
      <w:r>
        <w:t xml:space="preserve"> </w:t>
      </w:r>
      <w:r>
        <w:t xml:space="preserve">“</w:t>
      </w:r>
      <w:r>
        <w:t xml:space="preserve">GBM_G34</w:t>
      </w:r>
      <w:r>
        <w:t xml:space="preserve">”</w:t>
      </w:r>
      <w:r>
        <w:t xml:space="preserve"> </w:t>
      </w:r>
      <w:r>
        <w:t xml:space="preserve">classifications)</w:t>
      </w:r>
    </w:p>
    <w:p>
      <w:pPr>
        <w:numPr>
          <w:ilvl w:val="0"/>
          <w:numId w:val="1003"/>
        </w:numPr>
        <w:pStyle w:val="Compact"/>
      </w:pPr>
      <w:r>
        <w:t xml:space="preserve">HGG, IDH (</w:t>
      </w:r>
      <w:r>
        <w:t xml:space="preserve">“</w:t>
      </w:r>
      <w:r>
        <w:t xml:space="preserve">A_IDH_HG</w:t>
      </w:r>
      <w:r>
        <w:t xml:space="preserve">”</w:t>
      </w:r>
      <w:r>
        <w:t xml:space="preserve"> </w:t>
      </w:r>
      <w:r>
        <w:t xml:space="preserve">and</w:t>
      </w:r>
      <w:r>
        <w:t xml:space="preserve"> </w:t>
      </w:r>
      <w:r>
        <w:t xml:space="preserve">“</w:t>
      </w:r>
      <w:r>
        <w:t xml:space="preserve">GBM_IDH</w:t>
      </w:r>
      <w:r>
        <w:t xml:space="preserve">”</w:t>
      </w:r>
      <w:r>
        <w:t xml:space="preserve"> </w:t>
      </w:r>
      <w:r>
        <w:t xml:space="preserve">classifications)</w:t>
      </w:r>
    </w:p>
    <w:p>
      <w:pPr>
        <w:numPr>
          <w:ilvl w:val="0"/>
          <w:numId w:val="1003"/>
        </w:numPr>
        <w:pStyle w:val="Compact"/>
      </w:pPr>
      <w:r>
        <w:t xml:space="preserve">HGG, H3 wild type (methylation classification contains</w:t>
      </w:r>
      <w:r>
        <w:t xml:space="preserve"> </w:t>
      </w:r>
      <w:r>
        <w:t xml:space="preserve">“</w:t>
      </w:r>
      <w:r>
        <w:t xml:space="preserve">GBM_MES</w:t>
      </w:r>
      <w:r>
        <w:t xml:space="preserve">”</w:t>
      </w:r>
      <w:r>
        <w:t xml:space="preserve">,</w:t>
      </w:r>
      <w:r>
        <w:t xml:space="preserve"> </w:t>
      </w:r>
      <w:r>
        <w:t xml:space="preserve">“</w:t>
      </w:r>
      <w:r>
        <w:t xml:space="preserve">GBM_RTK</w:t>
      </w:r>
      <w:r>
        <w:t xml:space="preserve">”</w:t>
      </w:r>
      <w:r>
        <w:t xml:space="preserve">,</w:t>
      </w:r>
      <w:r>
        <w:t xml:space="preserve"> </w:t>
      </w:r>
      <w:r>
        <w:t xml:space="preserve">“</w:t>
      </w:r>
      <w:r>
        <w:t xml:space="preserve">HGG_</w:t>
      </w:r>
      <w:r>
        <w:t xml:space="preserve">”</w:t>
      </w:r>
      <w:r>
        <w:t xml:space="preserve">,</w:t>
      </w:r>
      <w:r>
        <w:t xml:space="preserve"> </w:t>
      </w:r>
      <w:r>
        <w:t xml:space="preserve">“</w:t>
      </w:r>
      <w:r>
        <w:t xml:space="preserve">HGAP</w:t>
      </w:r>
      <w:r>
        <w:t xml:space="preserve">”</w:t>
      </w:r>
      <w:r>
        <w:t xml:space="preserve">,</w:t>
      </w:r>
      <w:r>
        <w:t xml:space="preserve"> </w:t>
      </w:r>
      <w:r>
        <w:t xml:space="preserve">“</w:t>
      </w:r>
      <w:r>
        <w:t xml:space="preserve">AAP</w:t>
      </w:r>
      <w:r>
        <w:t xml:space="preserve">”</w:t>
      </w:r>
      <w:r>
        <w:t xml:space="preserve">, or</w:t>
      </w:r>
      <w:r>
        <w:t xml:space="preserve"> </w:t>
      </w:r>
      <w:r>
        <w:t xml:space="preserve">“</w:t>
      </w:r>
      <w:r>
        <w:t xml:space="preserve">ped_</w:t>
      </w:r>
      <w:r>
        <w:t xml:space="preserve">”</w:t>
      </w:r>
      <w:r>
        <w:t xml:space="preserve">)</w:t>
      </w:r>
    </w:p>
    <w:p>
      <w:pPr>
        <w:pStyle w:val="FirstParagraph"/>
      </w:pPr>
      <w:r>
        <w:t xml:space="preserve">A new high-grade glioma entity called infant-type hemispheric gliomas (IHGs), characterized by distinct gene fusions enriched in receptor tyrosine kinase (RTK) genes including</w:t>
      </w:r>
      <w:r>
        <w:t xml:space="preserve"> </w:t>
      </w:r>
      <w:r>
        <w:rPr>
          <w:iCs/>
          <w:i/>
        </w:rPr>
        <w:t xml:space="preserve">ALK</w:t>
      </w:r>
      <w:r>
        <w:t xml:space="preserve">,</w:t>
      </w:r>
      <w:r>
        <w:t xml:space="preserve"> </w:t>
      </w:r>
      <w:r>
        <w:rPr>
          <w:iCs/>
          <w:i/>
        </w:rPr>
        <w:t xml:space="preserve">NTRK1/2/3</w:t>
      </w:r>
      <w:r>
        <w:t xml:space="preserve">,</w:t>
      </w:r>
      <w:r>
        <w:t xml:space="preserve"> </w:t>
      </w:r>
      <w:r>
        <w:rPr>
          <w:iCs/>
          <w:i/>
        </w:rPr>
        <w:t xml:space="preserve">ROS1</w:t>
      </w:r>
      <w:r>
        <w:t xml:space="preserve"> </w:t>
      </w:r>
      <w:r>
        <w:t xml:space="preserve">or</w:t>
      </w:r>
      <w:r>
        <w:t xml:space="preserve"> </w:t>
      </w:r>
      <w:r>
        <w:rPr>
          <w:iCs/>
          <w:i/>
        </w:rPr>
        <w:t xml:space="preserve">MET</w:t>
      </w:r>
      <w:r>
        <w:t xml:space="preserve">, was identified in 2021</w:t>
      </w:r>
      <w:r>
        <w:t xml:space="preserve"> </w:t>
      </w:r>
      <w:r>
        <w:t xml:space="preserve">[</w:t>
      </w:r>
      <w:hyperlink w:anchor="ref-doi">
        <w:r>
          <w:rPr>
            <w:rStyle w:val="Hyperlink"/>
            <w:bCs/>
            <w:b/>
          </w:rPr>
          <w:t xml:space="preserve">doi?</w:t>
        </w:r>
      </w:hyperlink>
      <w:r>
        <w:t xml:space="preserve"> 10.1038/s41467-019-12187-5]</w:t>
      </w:r>
      <w:r>
        <w:t xml:space="preserve">.</w:t>
      </w:r>
      <w:r>
        <w:t xml:space="preserve"> </w:t>
      </w:r>
      <w:r>
        <w:t xml:space="preserve">To identify IHG tumors, first, tumors which were classified as</w:t>
      </w:r>
      <w:r>
        <w:t xml:space="preserve"> </w:t>
      </w:r>
      <w:r>
        <w:t xml:space="preserve">“</w:t>
      </w:r>
      <w:r>
        <w:t xml:space="preserve">IHG</w:t>
      </w:r>
      <w:r>
        <w:t xml:space="preserve">”</w:t>
      </w:r>
      <w:r>
        <w:t xml:space="preserve"> </w:t>
      </w:r>
      <w:r>
        <w:t xml:space="preserve">by the DKFZ methylation classifier or diagnosed as</w:t>
      </w:r>
      <w:r>
        <w:t xml:space="preserve"> </w:t>
      </w:r>
      <w:r>
        <w:t xml:space="preserve">“</w:t>
      </w:r>
      <w:r>
        <w:t xml:space="preserve">infant type hemispheric glioma</w:t>
      </w:r>
      <w:r>
        <w:t xml:space="preserve">”</w:t>
      </w:r>
      <w:r>
        <w:t xml:space="preserve"> </w:t>
      </w:r>
      <w:r>
        <w:t xml:space="preserve">from</w:t>
      </w:r>
      <w:r>
        <w:t xml:space="preserve"> </w:t>
      </w:r>
      <w:r>
        <w:rPr>
          <w:rStyle w:val="VerbatimChar"/>
        </w:rPr>
        <w:t xml:space="preserve">pathology_free_text_diagnosis</w:t>
      </w:r>
      <w:r>
        <w:t xml:space="preserve"> </w:t>
      </w:r>
      <w:r>
        <w:t xml:space="preserve">were selected</w:t>
      </w:r>
      <w:r>
        <w:t xml:space="preserve"> </w:t>
      </w:r>
      <w:r>
        <w:t xml:space="preserve">[</w:t>
      </w:r>
      <w:hyperlink w:anchor="ref-19a3Xf4h3">
        <w:r>
          <w:rPr>
            <w:rStyle w:val="Hyperlink"/>
          </w:rPr>
          <w:t xml:space="preserve">19</w:t>
        </w:r>
      </w:hyperlink>
      <w:r>
        <w:t xml:space="preserve">]</w:t>
      </w:r>
      <w:r>
        <w:t xml:space="preserve">.</w:t>
      </w:r>
      <w:r>
        <w:t xml:space="preserve"> </w:t>
      </w:r>
      <w:r>
        <w:t xml:space="preserve">Then, the corresponding tumor RNA-seq data were utilized to seek the evidence for RTK gene fusion.</w:t>
      </w:r>
      <w:r>
        <w:t xml:space="preserve"> </w:t>
      </w:r>
      <w:r>
        <w:t xml:space="preserve">Based on the specific RTK gene fusion present in the samples, IHGs were further classified as</w:t>
      </w:r>
      <w:r>
        <w:t xml:space="preserve"> </w:t>
      </w:r>
      <w:r>
        <w:t xml:space="preserve">“</w:t>
      </w:r>
      <w:r>
        <w:t xml:space="preserve">IHG, ALK-altered</w:t>
      </w:r>
      <w:r>
        <w:t xml:space="preserve">”</w:t>
      </w:r>
      <w:r>
        <w:t xml:space="preserve">,</w:t>
      </w:r>
      <w:r>
        <w:t xml:space="preserve"> </w:t>
      </w:r>
      <w:r>
        <w:t xml:space="preserve">“</w:t>
      </w:r>
      <w:r>
        <w:t xml:space="preserve">IHG, NTRK-altered</w:t>
      </w:r>
      <w:r>
        <w:t xml:space="preserve">”</w:t>
      </w:r>
      <w:r>
        <w:t xml:space="preserve">,</w:t>
      </w:r>
      <w:r>
        <w:t xml:space="preserve"> </w:t>
      </w:r>
      <w:r>
        <w:t xml:space="preserve">“</w:t>
      </w:r>
      <w:r>
        <w:t xml:space="preserve">IHG, ROS1-altered</w:t>
      </w:r>
      <w:r>
        <w:t xml:space="preserve">”</w:t>
      </w:r>
      <w:r>
        <w:t xml:space="preserve">, or</w:t>
      </w:r>
      <w:r>
        <w:t xml:space="preserve"> </w:t>
      </w:r>
      <w:r>
        <w:t xml:space="preserve">“</w:t>
      </w:r>
      <w:r>
        <w:t xml:space="preserve">IHG, MET-altered</w:t>
      </w:r>
      <w:r>
        <w:t xml:space="preserve">”</w:t>
      </w:r>
      <w:r>
        <w:t xml:space="preserve">.</w:t>
      </w:r>
      <w:r>
        <w:t xml:space="preserve"> </w:t>
      </w:r>
      <w:r>
        <w:t xml:space="preserve">If no fusion was observed, the samples were identified as</w:t>
      </w:r>
      <w:r>
        <w:t xml:space="preserve"> </w:t>
      </w:r>
      <w:r>
        <w:t xml:space="preserve">“</w:t>
      </w:r>
      <w:r>
        <w:t xml:space="preserve">IHG, To be classified</w:t>
      </w:r>
      <w:r>
        <w:t xml:space="preserve">”</w:t>
      </w:r>
      <w:r>
        <w:t xml:space="preserve">.</w:t>
      </w:r>
    </w:p>
    <w:p>
      <w:pPr>
        <w:pStyle w:val="BodyText"/>
      </w:pPr>
      <w:r>
        <w:rPr>
          <w:bCs/>
          <w:b/>
        </w:rPr>
        <w:t xml:space="preserve">Atypical teratoid rhabdoid tumors.</w:t>
      </w:r>
    </w:p>
    <w:p>
      <w:pPr>
        <w:pStyle w:val="BodyText"/>
      </w:pPr>
      <w:r>
        <w:t xml:space="preserve">Atypical teratoid rhabdoid tumors (ATRT) tumors were categorized into three subtypes:</w:t>
      </w:r>
      <w:r>
        <w:t xml:space="preserve"> </w:t>
      </w:r>
      <w:r>
        <w:t xml:space="preserve">“</w:t>
      </w:r>
      <w:r>
        <w:t xml:space="preserve">ATRT, MYC</w:t>
      </w:r>
      <w:r>
        <w:t xml:space="preserve">”</w:t>
      </w:r>
      <w:r>
        <w:t xml:space="preserve">,</w:t>
      </w:r>
      <w:r>
        <w:t xml:space="preserve"> </w:t>
      </w:r>
      <w:r>
        <w:t xml:space="preserve">“</w:t>
      </w:r>
      <w:r>
        <w:t xml:space="preserve">ATRT, SHH</w:t>
      </w:r>
      <w:r>
        <w:t xml:space="preserve">”</w:t>
      </w:r>
      <w:r>
        <w:t xml:space="preserve">, and</w:t>
      </w:r>
      <w:r>
        <w:t xml:space="preserve"> </w:t>
      </w:r>
      <w:r>
        <w:t xml:space="preserve">“</w:t>
      </w:r>
      <w:r>
        <w:t xml:space="preserve">ATRT, TYR</w:t>
      </w:r>
      <w:r>
        <w:t xml:space="preserve">”</w:t>
      </w:r>
      <w:r>
        <w:t xml:space="preserve"> </w:t>
      </w:r>
      <w:r>
        <w:t xml:space="preserve">[</w:t>
      </w:r>
      <w:hyperlink w:anchor="ref-5NHLHVO3">
        <w:r>
          <w:rPr>
            <w:rStyle w:val="Hyperlink"/>
          </w:rPr>
          <w:t xml:space="preserve">27</w:t>
        </w:r>
      </w:hyperlink>
      <w:r>
        <w:t xml:space="preserve">]</w:t>
      </w:r>
      <w:r>
        <w:t xml:space="preserve">.</w:t>
      </w:r>
      <w:r>
        <w:t xml:space="preserve"> </w:t>
      </w:r>
      <w:r>
        <w:t xml:space="preserve">In OpenPedCan, the molecular subtyping of ATRT was based solely on the DNA methylation data.</w:t>
      </w:r>
      <w:r>
        <w:t xml:space="preserve"> </w:t>
      </w:r>
      <w:r>
        <w:t xml:space="preserve">Briefly, ATRT samples with a high confidence DKFZ methylation subclass score (&gt;= 0.8) were selected and subtypes were assigned based on the DKFZ methylation subclass</w:t>
      </w:r>
      <w:r>
        <w:t xml:space="preserve"> </w:t>
      </w:r>
      <w:r>
        <w:t xml:space="preserve">[</w:t>
      </w:r>
      <w:hyperlink w:anchor="ref-doi10.1038/nature26000">
        <w:r>
          <w:rPr>
            <w:rStyle w:val="Hyperlink"/>
            <w:bCs/>
            <w:b/>
          </w:rPr>
          <w:t xml:space="preserve">doi10.1038/nature26000?</w:t>
        </w:r>
      </w:hyperlink>
      <w:r>
        <w:t xml:space="preserve">]</w:t>
      </w:r>
      <w:r>
        <w:t xml:space="preserve">.</w:t>
      </w:r>
      <w:r>
        <w:t xml:space="preserve"> </w:t>
      </w:r>
      <w:r>
        <w:t xml:space="preserve">Samples with low confidence DKFZ methylation subclass scores (&lt; 0.8) were identified as</w:t>
      </w:r>
      <w:r>
        <w:t xml:space="preserve"> </w:t>
      </w:r>
      <w:r>
        <w:t xml:space="preserve">“</w:t>
      </w:r>
      <w:r>
        <w:t xml:space="preserve">ATRT, To be classified</w:t>
      </w:r>
      <w:r>
        <w:t xml:space="preserve">”</w:t>
      </w:r>
      <w:r>
        <w:t xml:space="preserve">.</w:t>
      </w:r>
    </w:p>
    <w:p>
      <w:pPr>
        <w:pStyle w:val="BodyText"/>
      </w:pPr>
      <w:r>
        <w:rPr>
          <w:bCs/>
          <w:b/>
        </w:rPr>
        <w:t xml:space="preserve">Neuroblastoma tumors.</w:t>
      </w:r>
    </w:p>
    <w:p>
      <w:pPr>
        <w:pStyle w:val="BodyText"/>
      </w:pPr>
      <w:r>
        <w:t xml:space="preserve">Neuroblastoma (NBL) tumors with a pathology diagnosis of neuroblastoma, ganglioneuroblastoma, or ganglioneuroma were subtyped based on their MYCN copy number status as either</w:t>
      </w:r>
      <w:r>
        <w:t xml:space="preserve"> </w:t>
      </w:r>
      <w:r>
        <w:t xml:space="preserve">“</w:t>
      </w:r>
      <w:r>
        <w:t xml:space="preserve">NBL, MYCN amplified</w:t>
      </w:r>
      <w:r>
        <w:t xml:space="preserve">”</w:t>
      </w:r>
      <w:r>
        <w:t xml:space="preserve"> </w:t>
      </w:r>
      <w:r>
        <w:t xml:space="preserve">or</w:t>
      </w:r>
      <w:r>
        <w:t xml:space="preserve"> </w:t>
      </w:r>
      <w:r>
        <w:t xml:space="preserve">“</w:t>
      </w:r>
      <w:r>
        <w:t xml:space="preserve">NBL, MYCN non-amplified</w:t>
      </w:r>
      <w:r>
        <w:t xml:space="preserve">”</w:t>
      </w:r>
      <w:r>
        <w:t xml:space="preserve">.</w:t>
      </w:r>
      <w:r>
        <w:t xml:space="preserve"> </w:t>
      </w:r>
      <w:r>
        <w:t xml:space="preserve">If</w:t>
      </w:r>
      <w:r>
        <w:t xml:space="preserve"> </w:t>
      </w:r>
      <w:r>
        <w:rPr>
          <w:rStyle w:val="VerbatimChar"/>
        </w:rPr>
        <w:t xml:space="preserve">pathology_free_text_diagnosis</w:t>
      </w:r>
      <w:r>
        <w:t xml:space="preserve"> </w:t>
      </w:r>
      <w:r>
        <w:t xml:space="preserve">was</w:t>
      </w:r>
      <w:r>
        <w:t xml:space="preserve"> </w:t>
      </w:r>
      <w:r>
        <w:t xml:space="preserve">“</w:t>
      </w:r>
      <w:r>
        <w:t xml:space="preserve">NBL, MYCN non-amplified</w:t>
      </w:r>
      <w:r>
        <w:t xml:space="preserve">”</w:t>
      </w:r>
      <w:r>
        <w:t xml:space="preserve"> </w:t>
      </w:r>
      <w:r>
        <w:t xml:space="preserve">and the genetic data suggested MYCN amplification, the samples were subtyped as</w:t>
      </w:r>
      <w:r>
        <w:t xml:space="preserve"> </w:t>
      </w:r>
      <w:r>
        <w:t xml:space="preserve">“</w:t>
      </w:r>
      <w:r>
        <w:t xml:space="preserve">NBL, MYCN amplified</w:t>
      </w:r>
      <w:r>
        <w:t xml:space="preserve">”</w:t>
      </w:r>
      <w:r>
        <w:t xml:space="preserve">.</w:t>
      </w:r>
      <w:r>
        <w:t xml:space="preserve"> </w:t>
      </w:r>
      <w:r>
        <w:t xml:space="preserve">On the other hand, if</w:t>
      </w:r>
      <w:r>
        <w:t xml:space="preserve"> </w:t>
      </w:r>
      <w:r>
        <w:rPr>
          <w:rStyle w:val="VerbatimChar"/>
        </w:rPr>
        <w:t xml:space="preserve">pathology_free_text_diagnosis</w:t>
      </w:r>
      <w:r>
        <w:t xml:space="preserve"> </w:t>
      </w:r>
      <w:r>
        <w:t xml:space="preserve">was</w:t>
      </w:r>
      <w:r>
        <w:t xml:space="preserve"> </w:t>
      </w:r>
      <w:r>
        <w:t xml:space="preserve">“</w:t>
      </w:r>
      <w:r>
        <w:t xml:space="preserve">NBL, MYCN amplified</w:t>
      </w:r>
      <w:r>
        <w:t xml:space="preserve">”</w:t>
      </w:r>
      <w:r>
        <w:t xml:space="preserve"> </w:t>
      </w:r>
      <w:r>
        <w:t xml:space="preserve">and the genetic data suggested MYCN non-amplification, the RNA-Seq gene expression level of</w:t>
      </w:r>
      <w:r>
        <w:t xml:space="preserve"> </w:t>
      </w:r>
      <w:r>
        <w:rPr>
          <w:iCs/>
          <w:i/>
        </w:rPr>
        <w:t xml:space="preserve">MYCN</w:t>
      </w:r>
      <w:r>
        <w:t xml:space="preserve"> </w:t>
      </w:r>
      <w:r>
        <w:t xml:space="preserve">was used as a prediction indicator.</w:t>
      </w:r>
      <w:r>
        <w:t xml:space="preserve"> </w:t>
      </w:r>
      <w:r>
        <w:t xml:space="preserve">In those cases, samples with</w:t>
      </w:r>
      <w:r>
        <w:t xml:space="preserve"> </w:t>
      </w:r>
      <w:r>
        <w:rPr>
          <w:iCs/>
          <w:i/>
        </w:rPr>
        <w:t xml:space="preserve">MYCN</w:t>
      </w:r>
      <w:r>
        <w:t xml:space="preserve"> </w:t>
      </w:r>
      <w:r>
        <w:t xml:space="preserve">gene expression above or below the cutoff (TPM &gt;= 140.83 based on visual inspection of MYCN CNV status) were subtyped as</w:t>
      </w:r>
      <w:r>
        <w:t xml:space="preserve"> </w:t>
      </w:r>
      <w:r>
        <w:t xml:space="preserve">“</w:t>
      </w:r>
      <w:r>
        <w:t xml:space="preserve">NBL, MYCN amplified</w:t>
      </w:r>
      <w:r>
        <w:t xml:space="preserve">”</w:t>
      </w:r>
      <w:r>
        <w:t xml:space="preserve"> </w:t>
      </w:r>
      <w:r>
        <w:t xml:space="preserve">and</w:t>
      </w:r>
      <w:r>
        <w:t xml:space="preserve"> </w:t>
      </w:r>
      <w:r>
        <w:t xml:space="preserve">“</w:t>
      </w:r>
      <w:r>
        <w:t xml:space="preserve">NBL, MYCN non-amplified</w:t>
      </w:r>
      <w:r>
        <w:t xml:space="preserve">”</w:t>
      </w:r>
      <w:r>
        <w:t xml:space="preserve">, respectively.</w:t>
      </w:r>
      <w:r>
        <w:t xml:space="preserve"> </w:t>
      </w:r>
      <w:r>
        <w:rPr>
          <w:iCs/>
          <w:i/>
        </w:rPr>
        <w:t xml:space="preserve">MYCN</w:t>
      </w:r>
      <w:r>
        <w:t xml:space="preserve"> </w:t>
      </w:r>
      <w:r>
        <w:t xml:space="preserve">gene expression was also used to subtype samples without DNA sequencing data.</w:t>
      </w:r>
      <w:r>
        <w:t xml:space="preserve"> </w:t>
      </w:r>
      <w:r>
        <w:t xml:space="preserve">If a sample did not fit none of these situations, it was denoted as</w:t>
      </w:r>
      <w:r>
        <w:t xml:space="preserve"> </w:t>
      </w:r>
      <w:r>
        <w:t xml:space="preserve">“</w:t>
      </w:r>
      <w:r>
        <w:t xml:space="preserve">NBL, To be classified</w:t>
      </w:r>
      <w:r>
        <w:t xml:space="preserve">”</w:t>
      </w:r>
      <w:r>
        <w:t xml:space="preserve">.</w:t>
      </w:r>
    </w:p>
    <w:p>
      <w:pPr>
        <w:pStyle w:val="BodyText"/>
      </w:pPr>
      <w:r>
        <w:rPr>
          <w:bCs/>
          <w:b/>
        </w:rPr>
        <w:t xml:space="preserve">Craniopharyngiomas</w:t>
      </w:r>
    </w:p>
    <w:p>
      <w:pPr>
        <w:pStyle w:val="BodyText"/>
      </w:pPr>
      <w:r>
        <w:t xml:space="preserve">In addition to molecular criteria established in OpenPBTA</w:t>
      </w:r>
      <w:r>
        <w:t xml:space="preserve"> </w:t>
      </w:r>
      <w:r>
        <w:t xml:space="preserve">[</w:t>
      </w:r>
      <w:hyperlink w:anchor="ref-5VXMHJ7N">
        <w:r>
          <w:rPr>
            <w:rStyle w:val="Hyperlink"/>
          </w:rPr>
          <w:t xml:space="preserve">5</w:t>
        </w:r>
      </w:hyperlink>
      <w:r>
        <w:t xml:space="preserve">]</w:t>
      </w:r>
      <w:r>
        <w:t xml:space="preserve">, craniopharyngiomas (CRANIO) are now subtyped using DNA methylation classifiers.</w:t>
      </w:r>
      <w:r>
        <w:t xml:space="preserve"> </w:t>
      </w:r>
      <w:r>
        <w:t xml:space="preserve">Craniopharyngiomas with a high-confidence methylation subclass containing</w:t>
      </w:r>
      <w:r>
        <w:t xml:space="preserve"> </w:t>
      </w:r>
      <w:r>
        <w:t xml:space="preserve">“</w:t>
      </w:r>
      <w:r>
        <w:t xml:space="preserve">CPH_PAP</w:t>
      </w:r>
      <w:r>
        <w:t xml:space="preserve">”</w:t>
      </w:r>
      <w:r>
        <w:t xml:space="preserve"> </w:t>
      </w:r>
      <w:r>
        <w:t xml:space="preserve">were classified as papillary (CRANIO, PAP), and those with high-confidence methylation subclass containing</w:t>
      </w:r>
      <w:r>
        <w:t xml:space="preserve"> </w:t>
      </w:r>
      <w:r>
        <w:t xml:space="preserve">“</w:t>
      </w:r>
      <w:r>
        <w:t xml:space="preserve">CPH_ADM</w:t>
      </w:r>
      <w:r>
        <w:t xml:space="preserve">”</w:t>
      </w:r>
      <w:r>
        <w:t xml:space="preserve"> </w:t>
      </w:r>
      <w:r>
        <w:t xml:space="preserve">were classified as adamantinomatous (CRANIO, ADAM), respectively.</w:t>
      </w:r>
    </w:p>
    <w:p>
      <w:pPr>
        <w:pStyle w:val="BodyText"/>
      </w:pPr>
      <w:r>
        <w:rPr>
          <w:bCs/>
          <w:b/>
        </w:rPr>
        <w:t xml:space="preserve">Ependymomas</w:t>
      </w:r>
    </w:p>
    <w:p>
      <w:pPr>
        <w:pStyle w:val="BodyText"/>
      </w:pPr>
      <w:r>
        <w:t xml:space="preserve">Ependymomas (EPN) are subtyped using the following criteria:</w:t>
      </w:r>
    </w:p>
    <w:p>
      <w:pPr>
        <w:numPr>
          <w:ilvl w:val="0"/>
          <w:numId w:val="1004"/>
        </w:numPr>
        <w:pStyle w:val="Compact"/>
      </w:pPr>
      <w:r>
        <w:t xml:space="preserve">Any spinal tumor with</w:t>
      </w:r>
      <w:r>
        <w:t xml:space="preserve"> </w:t>
      </w:r>
      <w:r>
        <w:rPr>
          <w:iCs/>
          <w:i/>
        </w:rPr>
        <w:t xml:space="preserve">MYCN</w:t>
      </w:r>
      <w:r>
        <w:t xml:space="preserve"> </w:t>
      </w:r>
      <w:r>
        <w:t xml:space="preserve">amplification or with a high-confidence</w:t>
      </w:r>
      <w:r>
        <w:t xml:space="preserve"> </w:t>
      </w:r>
      <w:r>
        <w:t xml:space="preserve">“</w:t>
      </w:r>
      <w:r>
        <w:t xml:space="preserve">EPN, SP-MYCN</w:t>
      </w:r>
      <w:r>
        <w:t xml:space="preserve">”</w:t>
      </w:r>
      <w:r>
        <w:t xml:space="preserve"> </w:t>
      </w:r>
      <w:r>
        <w:t xml:space="preserve">methylation classification was subtyped as EPN, spinal and MYCN-amplified (SP-MYCN).</w:t>
      </w:r>
    </w:p>
    <w:p>
      <w:pPr>
        <w:numPr>
          <w:ilvl w:val="0"/>
          <w:numId w:val="1004"/>
        </w:numPr>
        <w:pStyle w:val="Compact"/>
      </w:pPr>
      <w:r>
        <w:t xml:space="preserve">EPN tumors containing one or more gene fusions of</w:t>
      </w:r>
      <w:r>
        <w:t xml:space="preserve"> </w:t>
      </w:r>
      <w:r>
        <w:rPr>
          <w:iCs/>
          <w:i/>
        </w:rPr>
        <w:t xml:space="preserve">YAP1::MAMLD1</w:t>
      </w:r>
      <w:r>
        <w:t xml:space="preserve">,</w:t>
      </w:r>
      <w:r>
        <w:t xml:space="preserve"> </w:t>
      </w:r>
      <w:r>
        <w:rPr>
          <w:iCs/>
          <w:i/>
        </w:rPr>
        <w:t xml:space="preserve">YAP1::MAML2</w:t>
      </w:r>
      <w:r>
        <w:t xml:space="preserve">, or</w:t>
      </w:r>
      <w:r>
        <w:t xml:space="preserve"> </w:t>
      </w:r>
      <w:r>
        <w:rPr>
          <w:iCs/>
          <w:i/>
        </w:rPr>
        <w:t xml:space="preserve">YAP1::FAM118B</w:t>
      </w:r>
      <w:r>
        <w:t xml:space="preserve">, or else had a high-confidence</w:t>
      </w:r>
      <w:r>
        <w:t xml:space="preserve"> </w:t>
      </w:r>
      <w:r>
        <w:t xml:space="preserve">“</w:t>
      </w:r>
      <w:r>
        <w:t xml:space="preserve">EPN, ST YAP1</w:t>
      </w:r>
      <w:r>
        <w:t xml:space="preserve">”</w:t>
      </w:r>
      <w:r>
        <w:t xml:space="preserve"> </w:t>
      </w:r>
      <w:r>
        <w:t xml:space="preserve">methylation classification were subtyped as EPN, ST YAP1.</w:t>
      </w:r>
    </w:p>
    <w:p>
      <w:pPr>
        <w:numPr>
          <w:ilvl w:val="0"/>
          <w:numId w:val="1004"/>
        </w:numPr>
        <w:pStyle w:val="Compact"/>
      </w:pPr>
      <w:r>
        <w:t xml:space="preserve">EPN tumors containing one or more gene fusions of</w:t>
      </w:r>
      <w:r>
        <w:t xml:space="preserve"> </w:t>
      </w:r>
      <w:r>
        <w:rPr>
          <w:iCs/>
          <w:i/>
        </w:rPr>
        <w:t xml:space="preserve">ZFTA::RELA</w:t>
      </w:r>
      <w:r>
        <w:t xml:space="preserve"> </w:t>
      </w:r>
      <w:r>
        <w:t xml:space="preserve">or</w:t>
      </w:r>
      <w:r>
        <w:t xml:space="preserve"> </w:t>
      </w:r>
      <w:r>
        <w:rPr>
          <w:iCs/>
          <w:i/>
        </w:rPr>
        <w:t xml:space="preserve">ZFTA::MAML2</w:t>
      </w:r>
      <w:r>
        <w:t xml:space="preserve">, or else had a high-confidence</w:t>
      </w:r>
      <w:r>
        <w:t xml:space="preserve"> </w:t>
      </w:r>
      <w:r>
        <w:t xml:space="preserve">“</w:t>
      </w:r>
      <w:r>
        <w:t xml:space="preserve">EPN, ST ZFTA</w:t>
      </w:r>
      <w:r>
        <w:t xml:space="preserve">”</w:t>
      </w:r>
      <w:r>
        <w:t xml:space="preserve"> </w:t>
      </w:r>
      <w:r>
        <w:t xml:space="preserve">methylation classification were subtyped as EPN, ST ZFTA.</w:t>
      </w:r>
      <w:r>
        <w:t xml:space="preserve"> </w:t>
      </w:r>
      <w:r>
        <w:t xml:space="preserve">This reflects an update to WHO classifications that now characterizes this subtype based on</w:t>
      </w:r>
      <w:r>
        <w:t xml:space="preserve"> </w:t>
      </w:r>
      <w:r>
        <w:rPr>
          <w:iCs/>
          <w:i/>
        </w:rPr>
        <w:t xml:space="preserve">ZFTA</w:t>
      </w:r>
      <w:r>
        <w:t xml:space="preserve"> </w:t>
      </w:r>
      <w:r>
        <w:t xml:space="preserve">fusions rather than</w:t>
      </w:r>
      <w:r>
        <w:t xml:space="preserve"> </w:t>
      </w:r>
      <w:r>
        <w:rPr>
          <w:iCs/>
          <w:i/>
        </w:rPr>
        <w:t xml:space="preserve">RELA</w:t>
      </w:r>
      <w:r>
        <w:t xml:space="preserve"> </w:t>
      </w:r>
      <w:r>
        <w:t xml:space="preserve">fusions.</w:t>
      </w:r>
    </w:p>
    <w:p>
      <w:pPr>
        <w:numPr>
          <w:ilvl w:val="0"/>
          <w:numId w:val="1004"/>
        </w:numPr>
        <w:pStyle w:val="Compact"/>
      </w:pPr>
      <w:r>
        <w:t xml:space="preserve">EPN tumors with 1) chromosome 1q gain and</w:t>
      </w:r>
      <w:r>
        <w:t xml:space="preserve"> </w:t>
      </w:r>
      <w:r>
        <w:rPr>
          <w:iCs/>
          <w:i/>
        </w:rPr>
        <w:t xml:space="preserve">TKTL1</w:t>
      </w:r>
      <w:r>
        <w:t xml:space="preserve"> </w:t>
      </w:r>
      <w:r>
        <w:t xml:space="preserve">over-expression, or 2)</w:t>
      </w:r>
      <w:r>
        <w:t xml:space="preserve"> </w:t>
      </w:r>
      <w:r>
        <w:rPr>
          <w:iCs/>
          <w:i/>
        </w:rPr>
        <w:t xml:space="preserve">EZHIP</w:t>
      </w:r>
      <w:r>
        <w:t xml:space="preserve"> </w:t>
      </w:r>
      <w:r>
        <w:t xml:space="preserve">over-expression, or 3) posterior fossa anatomical location and a histone H3 K28 mutation in</w:t>
      </w:r>
      <w:r>
        <w:t xml:space="preserve"> </w:t>
      </w:r>
      <w:r>
        <w:rPr>
          <w:iCs/>
          <w:i/>
        </w:rPr>
        <w:t xml:space="preserve">H3F3A</w:t>
      </w:r>
      <w:r>
        <w:t xml:space="preserve">,</w:t>
      </w:r>
      <w:r>
        <w:t xml:space="preserve"> </w:t>
      </w:r>
      <w:r>
        <w:rPr>
          <w:iCs/>
          <w:i/>
        </w:rPr>
        <w:t xml:space="preserve">HIST1H3B</w:t>
      </w:r>
      <w:r>
        <w:t xml:space="preserve">,</w:t>
      </w:r>
      <w:r>
        <w:t xml:space="preserve"> </w:t>
      </w:r>
      <w:r>
        <w:rPr>
          <w:iCs/>
          <w:i/>
        </w:rPr>
        <w:t xml:space="preserve">HIST1H3C</w:t>
      </w:r>
      <w:r>
        <w:t xml:space="preserve">, or</w:t>
      </w:r>
      <w:r>
        <w:t xml:space="preserve"> </w:t>
      </w:r>
      <w:r>
        <w:rPr>
          <w:iCs/>
          <w:i/>
        </w:rPr>
        <w:t xml:space="preserve">HIST2H3C</w:t>
      </w:r>
      <w:r>
        <w:t xml:space="preserve">, or 4) a high-confidence</w:t>
      </w:r>
      <w:r>
        <w:t xml:space="preserve"> </w:t>
      </w:r>
      <w:r>
        <w:t xml:space="preserve">“</w:t>
      </w:r>
      <w:r>
        <w:t xml:space="preserve">EPN, PF A</w:t>
      </w:r>
      <w:r>
        <w:t xml:space="preserve">”</w:t>
      </w:r>
      <w:r>
        <w:t xml:space="preserve"> </w:t>
      </w:r>
      <w:r>
        <w:t xml:space="preserve">methylation classification were subtyped as posterior fossa group A ependymomas (EPN, PF A).</w:t>
      </w:r>
    </w:p>
    <w:p>
      <w:pPr>
        <w:numPr>
          <w:ilvl w:val="0"/>
          <w:numId w:val="1004"/>
        </w:numPr>
        <w:pStyle w:val="Compact"/>
      </w:pPr>
      <w:r>
        <w:t xml:space="preserve">Tumors with 1) chr 6p or 6q loss and</w:t>
      </w:r>
      <w:r>
        <w:t xml:space="preserve"> </w:t>
      </w:r>
      <w:r>
        <w:rPr>
          <w:iCs/>
          <w:i/>
        </w:rPr>
        <w:t xml:space="preserve">GPBP1</w:t>
      </w:r>
      <w:r>
        <w:t xml:space="preserve"> </w:t>
      </w:r>
      <w:r>
        <w:t xml:space="preserve">or</w:t>
      </w:r>
      <w:r>
        <w:t xml:space="preserve"> </w:t>
      </w:r>
      <w:r>
        <w:rPr>
          <w:iCs/>
          <w:i/>
        </w:rPr>
        <w:t xml:space="preserve">IFT46</w:t>
      </w:r>
      <w:r>
        <w:t xml:space="preserve"> </w:t>
      </w:r>
      <w:r>
        <w:t xml:space="preserve">over-expression, or 2) a high-confidence</w:t>
      </w:r>
      <w:r>
        <w:t xml:space="preserve"> </w:t>
      </w:r>
      <w:r>
        <w:t xml:space="preserve">“</w:t>
      </w:r>
      <w:r>
        <w:t xml:space="preserve">EPN, PF B</w:t>
      </w:r>
      <w:r>
        <w:t xml:space="preserve">”</w:t>
      </w:r>
      <w:r>
        <w:t xml:space="preserve"> </w:t>
      </w:r>
      <w:r>
        <w:t xml:space="preserve">methylation classification were subtyped as posterior fossa group B ependymomas (EPN, PF B).</w:t>
      </w:r>
    </w:p>
    <w:p>
      <w:pPr>
        <w:numPr>
          <w:ilvl w:val="0"/>
          <w:numId w:val="1004"/>
        </w:numPr>
        <w:pStyle w:val="Compact"/>
      </w:pPr>
      <w:r>
        <w:t xml:space="preserve">EPN tumors with a high-confidence</w:t>
      </w:r>
      <w:r>
        <w:t xml:space="preserve"> </w:t>
      </w:r>
      <w:r>
        <w:t xml:space="preserve">“</w:t>
      </w:r>
      <w:r>
        <w:t xml:space="preserve">EPN, MPE</w:t>
      </w:r>
      <w:r>
        <w:t xml:space="preserve">”</w:t>
      </w:r>
      <w:r>
        <w:t xml:space="preserve"> </w:t>
      </w:r>
      <w:r>
        <w:t xml:space="preserve">methylation classification were subtyped as myxopapillary ependymomas (EPN, MPE).</w:t>
      </w:r>
    </w:p>
    <w:p>
      <w:pPr>
        <w:numPr>
          <w:ilvl w:val="0"/>
          <w:numId w:val="1004"/>
        </w:numPr>
        <w:pStyle w:val="Compact"/>
      </w:pPr>
      <w:r>
        <w:t xml:space="preserve">EPN tumors with a high-confidence</w:t>
      </w:r>
      <w:r>
        <w:t xml:space="preserve"> </w:t>
      </w:r>
      <w:r>
        <w:t xml:space="preserve">“</w:t>
      </w:r>
      <w:r>
        <w:t xml:space="preserve">EPN, PF SE</w:t>
      </w:r>
      <w:r>
        <w:t xml:space="preserve">”</w:t>
      </w:r>
      <w:r>
        <w:t xml:space="preserve"> </w:t>
      </w:r>
      <w:r>
        <w:t xml:space="preserve">methylation classification were subtyped as posterior fossa subependymomas (EPN, PF SE).</w:t>
      </w:r>
    </w:p>
    <w:p>
      <w:pPr>
        <w:numPr>
          <w:ilvl w:val="0"/>
          <w:numId w:val="1004"/>
        </w:numPr>
        <w:pStyle w:val="Compact"/>
      </w:pPr>
      <w:r>
        <w:t xml:space="preserve">EPN tumors with a high-confidence</w:t>
      </w:r>
      <w:r>
        <w:t xml:space="preserve"> </w:t>
      </w:r>
      <w:r>
        <w:t xml:space="preserve">“</w:t>
      </w:r>
      <w:r>
        <w:t xml:space="preserve">EPN, SP SE</w:t>
      </w:r>
      <w:r>
        <w:t xml:space="preserve">”</w:t>
      </w:r>
      <w:r>
        <w:t xml:space="preserve"> </w:t>
      </w:r>
      <w:r>
        <w:t xml:space="preserve">methylation classification were subtyped as spinal subependymomas (EPN, SP SE).</w:t>
      </w:r>
    </w:p>
    <w:p>
      <w:pPr>
        <w:numPr>
          <w:ilvl w:val="0"/>
          <w:numId w:val="1004"/>
        </w:numPr>
        <w:pStyle w:val="Compact"/>
      </w:pPr>
      <w:r>
        <w:t xml:space="preserve">EPN tumors with a high-confidence</w:t>
      </w:r>
      <w:r>
        <w:t xml:space="preserve"> </w:t>
      </w:r>
      <w:r>
        <w:t xml:space="preserve">“</w:t>
      </w:r>
      <w:r>
        <w:t xml:space="preserve">EPN, SP</w:t>
      </w:r>
      <w:r>
        <w:t xml:space="preserve">”</w:t>
      </w:r>
      <w:r>
        <w:t xml:space="preserve"> </w:t>
      </w:r>
      <w:r>
        <w:t xml:space="preserve">methylation classification were subtyped as spinal ependymomas (EPN, SP).</w:t>
      </w:r>
    </w:p>
    <w:p>
      <w:pPr>
        <w:numPr>
          <w:ilvl w:val="0"/>
          <w:numId w:val="1004"/>
        </w:numPr>
        <w:pStyle w:val="Compact"/>
      </w:pPr>
      <w:r>
        <w:t xml:space="preserve">All other EPN tumors were classified as</w:t>
      </w:r>
      <w:r>
        <w:t xml:space="preserve"> </w:t>
      </w:r>
      <w:r>
        <w:t xml:space="preserve">“</w:t>
      </w:r>
      <w:r>
        <w:t xml:space="preserve">EPN, To be classified</w:t>
      </w:r>
      <w:r>
        <w:t xml:space="preserve">”</w:t>
      </w:r>
      <w:r>
        <w:t xml:space="preserve">.</w:t>
      </w:r>
    </w:p>
    <w:p>
      <w:pPr>
        <w:pStyle w:val="FirstParagraph"/>
      </w:pPr>
      <w:r>
        <w:rPr>
          <w:bCs/>
          <w:b/>
        </w:rPr>
        <w:t xml:space="preserve">Low-grade gliomas</w:t>
      </w:r>
    </w:p>
    <w:p>
      <w:pPr>
        <w:pStyle w:val="BodyText"/>
      </w:pPr>
      <w:r>
        <w:t xml:space="preserve">In addition to subtyping methods described in OpenPBTA</w:t>
      </w:r>
      <w:r>
        <w:t xml:space="preserve"> </w:t>
      </w:r>
      <w:r>
        <w:t xml:space="preserve">[</w:t>
      </w:r>
      <w:hyperlink w:anchor="ref-5VXMHJ7N">
        <w:r>
          <w:rPr>
            <w:rStyle w:val="Hyperlink"/>
          </w:rPr>
          <w:t xml:space="preserve">5</w:t>
        </w:r>
      </w:hyperlink>
      <w:r>
        <w:t xml:space="preserve">]</w:t>
      </w:r>
      <w:r>
        <w:t xml:space="preserve">, high-confidence methylation classifications are now used in classifying the following low-grade glioma (LGG) subtypes:</w:t>
      </w:r>
    </w:p>
    <w:p>
      <w:pPr>
        <w:numPr>
          <w:ilvl w:val="0"/>
          <w:numId w:val="1005"/>
        </w:numPr>
        <w:pStyle w:val="Compact"/>
      </w:pPr>
      <w:r>
        <w:t xml:space="preserve">LGG, other MAPK-altered (methylation subclass</w:t>
      </w:r>
      <w:r>
        <w:t xml:space="preserve"> </w:t>
      </w:r>
      <w:r>
        <w:t xml:space="preserve">“</w:t>
      </w:r>
      <w:r>
        <w:t xml:space="preserve">PA_MID</w:t>
      </w:r>
      <w:r>
        <w:t xml:space="preserve">”</w:t>
      </w:r>
      <w:r>
        <w:t xml:space="preserve"> </w:t>
      </w:r>
      <w:r>
        <w:t xml:space="preserve">or</w:t>
      </w:r>
      <w:r>
        <w:t xml:space="preserve"> </w:t>
      </w:r>
      <w:r>
        <w:t xml:space="preserve">“</w:t>
      </w:r>
      <w:r>
        <w:t xml:space="preserve">PLNTY</w:t>
      </w:r>
      <w:r>
        <w:t xml:space="preserve">”</w:t>
      </w:r>
      <w:r>
        <w:t xml:space="preserve">)</w:t>
      </w:r>
    </w:p>
    <w:p>
      <w:pPr>
        <w:numPr>
          <w:ilvl w:val="0"/>
          <w:numId w:val="1005"/>
        </w:numPr>
        <w:pStyle w:val="Compact"/>
      </w:pPr>
      <w:r>
        <w:t xml:space="preserve">LGG, FGFR-altered (methylation subclass</w:t>
      </w:r>
      <w:r>
        <w:t xml:space="preserve"> </w:t>
      </w:r>
      <w:r>
        <w:t xml:space="preserve">“</w:t>
      </w:r>
      <w:r>
        <w:t xml:space="preserve">PA_INF_FGFR</w:t>
      </w:r>
      <w:r>
        <w:t xml:space="preserve">”</w:t>
      </w:r>
      <w:r>
        <w:t xml:space="preserve">)</w:t>
      </w:r>
    </w:p>
    <w:p>
      <w:pPr>
        <w:numPr>
          <w:ilvl w:val="0"/>
          <w:numId w:val="1005"/>
        </w:numPr>
        <w:pStyle w:val="Compact"/>
      </w:pPr>
      <w:r>
        <w:t xml:space="preserve">LGG, IDH-altered (methylation subclass</w:t>
      </w:r>
      <w:r>
        <w:t xml:space="preserve"> </w:t>
      </w:r>
      <w:r>
        <w:t xml:space="preserve">“</w:t>
      </w:r>
      <w:r>
        <w:t xml:space="preserve">A_IDH_LG</w:t>
      </w:r>
      <w:r>
        <w:t xml:space="preserve">”</w:t>
      </w:r>
      <w:r>
        <w:t xml:space="preserve">)</w:t>
      </w:r>
    </w:p>
    <w:p>
      <w:pPr>
        <w:numPr>
          <w:ilvl w:val="0"/>
          <w:numId w:val="1005"/>
        </w:numPr>
        <w:pStyle w:val="Compact"/>
      </w:pPr>
      <w:r>
        <w:t xml:space="preserve">LGG, MYB/MYBL1 fusion (methylation subclass</w:t>
      </w:r>
      <w:r>
        <w:t xml:space="preserve"> </w:t>
      </w:r>
      <w:r>
        <w:t xml:space="preserve">“</w:t>
      </w:r>
      <w:r>
        <w:t xml:space="preserve">AG_MYB</w:t>
      </w:r>
      <w:r>
        <w:t xml:space="preserve">”</w:t>
      </w:r>
      <w:r>
        <w:t xml:space="preserve"> </w:t>
      </w:r>
      <w:r>
        <w:t xml:space="preserve">or</w:t>
      </w:r>
      <w:r>
        <w:t xml:space="preserve"> </w:t>
      </w:r>
      <w:r>
        <w:t xml:space="preserve">“</w:t>
      </w:r>
      <w:r>
        <w:t xml:space="preserve">LGG_MYB</w:t>
      </w:r>
      <w:r>
        <w:t xml:space="preserve">”</w:t>
      </w:r>
      <w:r>
        <w:t xml:space="preserve">)</w:t>
      </w:r>
    </w:p>
    <w:p>
      <w:pPr>
        <w:numPr>
          <w:ilvl w:val="0"/>
          <w:numId w:val="1005"/>
        </w:numPr>
        <w:pStyle w:val="Compact"/>
      </w:pPr>
      <w:r>
        <w:t xml:space="preserve">LGG, MAPK-altered (methylation subclass</w:t>
      </w:r>
      <w:r>
        <w:t xml:space="preserve"> </w:t>
      </w:r>
      <w:r>
        <w:t xml:space="preserve">“</w:t>
      </w:r>
      <w:r>
        <w:t xml:space="preserve">LGG, MAPK</w:t>
      </w:r>
      <w:r>
        <w:t xml:space="preserve">”</w:t>
      </w:r>
      <w:r>
        <w:t xml:space="preserve">)</w:t>
      </w:r>
    </w:p>
    <w:p>
      <w:pPr>
        <w:numPr>
          <w:ilvl w:val="0"/>
          <w:numId w:val="1005"/>
        </w:numPr>
        <w:pStyle w:val="Compact"/>
      </w:pPr>
      <w:r>
        <w:t xml:space="preserve">LGG, BRAF- and MAPK-altered (methylation subclass</w:t>
      </w:r>
      <w:r>
        <w:t xml:space="preserve"> </w:t>
      </w:r>
      <w:r>
        <w:t xml:space="preserve">“</w:t>
      </w:r>
      <w:r>
        <w:t xml:space="preserve">LGG, BRAF/MAPK</w:t>
      </w:r>
      <w:r>
        <w:t xml:space="preserve">”</w:t>
      </w:r>
      <w:r>
        <w:t xml:space="preserve">)</w:t>
      </w:r>
    </w:p>
    <w:p>
      <w:pPr>
        <w:numPr>
          <w:ilvl w:val="0"/>
          <w:numId w:val="1005"/>
        </w:numPr>
        <w:pStyle w:val="Compact"/>
      </w:pPr>
      <w:r>
        <w:t xml:space="preserve">SEGA, to be classified (methylation subclass</w:t>
      </w:r>
      <w:r>
        <w:t xml:space="preserve"> </w:t>
      </w:r>
      <w:r>
        <w:t xml:space="preserve">“</w:t>
      </w:r>
      <w:r>
        <w:t xml:space="preserve">SEGA, To be classified</w:t>
      </w:r>
      <w:r>
        <w:t xml:space="preserve">”</w:t>
      </w:r>
      <w:r>
        <w:t xml:space="preserve">)</w:t>
      </w:r>
    </w:p>
    <w:p>
      <w:pPr>
        <w:pStyle w:val="FirstParagraph"/>
      </w:pPr>
      <w:r>
        <w:rPr>
          <w:bCs/>
          <w:b/>
        </w:rPr>
        <w:t xml:space="preserve">Medulloblastoma</w:t>
      </w:r>
    </w:p>
    <w:p>
      <w:pPr>
        <w:pStyle w:val="BodyText"/>
      </w:pPr>
      <w:r>
        <w:t xml:space="preserve">Medulloblastomas (MB) are now subtyped using high-confidence methylation classifications in addition to MedulloClassifier</w:t>
      </w:r>
      <w:r>
        <w:t xml:space="preserve"> </w:t>
      </w:r>
      <w:r>
        <w:t xml:space="preserve">[</w:t>
      </w:r>
      <w:hyperlink w:anchor="ref-12DKhuCiy">
        <w:r>
          <w:rPr>
            <w:rStyle w:val="Hyperlink"/>
          </w:rPr>
          <w:t xml:space="preserve">28</w:t>
        </w:r>
      </w:hyperlink>
      <w:r>
        <w:t xml:space="preserve">]</w:t>
      </w:r>
      <w:r>
        <w:t xml:space="preserve"> </w:t>
      </w:r>
      <w:r>
        <w:t xml:space="preserve">as follows:</w:t>
      </w:r>
    </w:p>
    <w:p>
      <w:pPr>
        <w:numPr>
          <w:ilvl w:val="0"/>
          <w:numId w:val="1006"/>
        </w:numPr>
        <w:pStyle w:val="Compact"/>
      </w:pPr>
      <w:r>
        <w:t xml:space="preserve">MB tumors with methylation classification that contains</w:t>
      </w:r>
      <w:r>
        <w:t xml:space="preserve"> </w:t>
      </w:r>
      <w:r>
        <w:t xml:space="preserve">“</w:t>
      </w:r>
      <w:r>
        <w:t xml:space="preserve">MB_SHH</w:t>
      </w:r>
      <w:r>
        <w:t xml:space="preserve">”</w:t>
      </w:r>
      <w:r>
        <w:t xml:space="preserve"> </w:t>
      </w:r>
      <w:r>
        <w:t xml:space="preserve">are subtyped as SHH-activated medulloblastoma (MB, SHH)</w:t>
      </w:r>
    </w:p>
    <w:p>
      <w:pPr>
        <w:numPr>
          <w:ilvl w:val="0"/>
          <w:numId w:val="1006"/>
        </w:numPr>
        <w:pStyle w:val="Compact"/>
      </w:pPr>
      <w:r>
        <w:t xml:space="preserve">MB tumors with</w:t>
      </w:r>
      <w:r>
        <w:t xml:space="preserve"> </w:t>
      </w:r>
      <w:r>
        <w:t xml:space="preserve">“</w:t>
      </w:r>
      <w:r>
        <w:t xml:space="preserve">MB_G34_I</w:t>
      </w:r>
      <w:r>
        <w:t xml:space="preserve">”</w:t>
      </w:r>
      <w:r>
        <w:t xml:space="preserve">,</w:t>
      </w:r>
      <w:r>
        <w:t xml:space="preserve"> </w:t>
      </w:r>
      <w:r>
        <w:t xml:space="preserve">“</w:t>
      </w:r>
      <w:r>
        <w:t xml:space="preserve">MB_G34_II</w:t>
      </w:r>
      <w:r>
        <w:t xml:space="preserve">”</w:t>
      </w:r>
      <w:r>
        <w:t xml:space="preserve">,</w:t>
      </w:r>
      <w:r>
        <w:t xml:space="preserve"> </w:t>
      </w:r>
      <w:r>
        <w:t xml:space="preserve">“</w:t>
      </w:r>
      <w:r>
        <w:t xml:space="preserve">MB_G34_III</w:t>
      </w:r>
      <w:r>
        <w:t xml:space="preserve">”</w:t>
      </w:r>
      <w:r>
        <w:t xml:space="preserve">, and</w:t>
      </w:r>
      <w:r>
        <w:t xml:space="preserve"> </w:t>
      </w:r>
      <w:r>
        <w:t xml:space="preserve">“</w:t>
      </w:r>
      <w:r>
        <w:t xml:space="preserve">MB_G334_IV</w:t>
      </w:r>
      <w:r>
        <w:t xml:space="preserve">”</w:t>
      </w:r>
      <w:r>
        <w:t xml:space="preserve"> </w:t>
      </w:r>
      <w:r>
        <w:t xml:space="preserve">methylation classifications are subtyped as medulloblastoma group 3 (MB, group 3)</w:t>
      </w:r>
    </w:p>
    <w:p>
      <w:pPr>
        <w:numPr>
          <w:ilvl w:val="0"/>
          <w:numId w:val="1006"/>
        </w:numPr>
        <w:pStyle w:val="Compact"/>
      </w:pPr>
      <w:r>
        <w:t xml:space="preserve">MB tumors with</w:t>
      </w:r>
      <w:r>
        <w:t xml:space="preserve"> </w:t>
      </w:r>
      <w:r>
        <w:t xml:space="preserve">“</w:t>
      </w:r>
      <w:r>
        <w:t xml:space="preserve">MB_G34_V</w:t>
      </w:r>
      <w:r>
        <w:t xml:space="preserve">”</w:t>
      </w:r>
      <w:r>
        <w:t xml:space="preserve">,</w:t>
      </w:r>
      <w:r>
        <w:t xml:space="preserve"> </w:t>
      </w:r>
      <w:r>
        <w:t xml:space="preserve">“</w:t>
      </w:r>
      <w:r>
        <w:t xml:space="preserve">MB_G34_VI</w:t>
      </w:r>
      <w:r>
        <w:t xml:space="preserve">”</w:t>
      </w:r>
      <w:r>
        <w:t xml:space="preserve">,</w:t>
      </w:r>
      <w:r>
        <w:t xml:space="preserve"> </w:t>
      </w:r>
      <w:r>
        <w:t xml:space="preserve">“</w:t>
      </w:r>
      <w:r>
        <w:t xml:space="preserve">MB_G34_VII</w:t>
      </w:r>
      <w:r>
        <w:t xml:space="preserve">”</w:t>
      </w:r>
      <w:r>
        <w:t xml:space="preserve">, and</w:t>
      </w:r>
      <w:r>
        <w:t xml:space="preserve"> </w:t>
      </w:r>
      <w:r>
        <w:t xml:space="preserve">“</w:t>
      </w:r>
      <w:r>
        <w:t xml:space="preserve">MB_G334_VIII</w:t>
      </w:r>
      <w:r>
        <w:t xml:space="preserve">”</w:t>
      </w:r>
      <w:r>
        <w:t xml:space="preserve"> </w:t>
      </w:r>
      <w:r>
        <w:t xml:space="preserve">methylation classifications are subtyped as medulloblastoma group 4 (MB, group 4)</w:t>
      </w:r>
    </w:p>
    <w:p>
      <w:pPr>
        <w:numPr>
          <w:ilvl w:val="0"/>
          <w:numId w:val="1006"/>
        </w:numPr>
        <w:pStyle w:val="Compact"/>
      </w:pPr>
      <w:r>
        <w:t xml:space="preserve">MB tumors with</w:t>
      </w:r>
      <w:r>
        <w:t xml:space="preserve"> </w:t>
      </w:r>
      <w:r>
        <w:t xml:space="preserve">“</w:t>
      </w:r>
      <w:r>
        <w:t xml:space="preserve">MB_WNT</w:t>
      </w:r>
      <w:r>
        <w:t xml:space="preserve">”</w:t>
      </w:r>
      <w:r>
        <w:t xml:space="preserve"> </w:t>
      </w:r>
      <w:r>
        <w:t xml:space="preserve">methylation classification are subtyped as WNT-activated MB (MB, WNT)</w:t>
      </w:r>
    </w:p>
    <w:p>
      <w:pPr>
        <w:numPr>
          <w:ilvl w:val="0"/>
          <w:numId w:val="1006"/>
        </w:numPr>
        <w:pStyle w:val="Compact"/>
      </w:pPr>
      <w:r>
        <w:t xml:space="preserve">MB tumors with</w:t>
      </w:r>
      <w:r>
        <w:t xml:space="preserve"> </w:t>
      </w:r>
      <w:r>
        <w:t xml:space="preserve">“</w:t>
      </w:r>
      <w:r>
        <w:t xml:space="preserve">MB_MYO</w:t>
      </w:r>
      <w:r>
        <w:t xml:space="preserve">”</w:t>
      </w:r>
      <w:r>
        <w:t xml:space="preserve"> </w:t>
      </w:r>
      <w:r>
        <w:t xml:space="preserve">methylation classification are subtyped as medulloblastomas with myogenic differentiation (MB, MYO)</w:t>
      </w:r>
    </w:p>
    <w:p>
      <w:pPr>
        <w:pStyle w:val="FirstParagraph"/>
      </w:pPr>
      <w:r>
        <w:rPr>
          <w:bCs/>
          <w:b/>
        </w:rPr>
        <w:t xml:space="preserve">Pineoblastomas</w:t>
      </w:r>
    </w:p>
    <w:p>
      <w:pPr>
        <w:pStyle w:val="BodyText"/>
      </w:pPr>
      <w:r>
        <w:t xml:space="preserve">Pineoblastomas (PB) are classified as follows using high-confidence methylation classifications:</w:t>
      </w:r>
    </w:p>
    <w:p>
      <w:pPr>
        <w:numPr>
          <w:ilvl w:val="0"/>
          <w:numId w:val="1007"/>
        </w:numPr>
        <w:pStyle w:val="Compact"/>
      </w:pPr>
      <w:r>
        <w:t xml:space="preserve">Pineoblastoma, MYC/FOXR2-activated (</w:t>
      </w:r>
      <w:r>
        <w:t xml:space="preserve">“</w:t>
      </w:r>
      <w:r>
        <w:t xml:space="preserve">PB_FOXR2</w:t>
      </w:r>
      <w:r>
        <w:t xml:space="preserve">”</w:t>
      </w:r>
      <w:r>
        <w:t xml:space="preserve"> </w:t>
      </w:r>
      <w:r>
        <w:t xml:space="preserve">methylation classification)</w:t>
      </w:r>
    </w:p>
    <w:p>
      <w:pPr>
        <w:numPr>
          <w:ilvl w:val="0"/>
          <w:numId w:val="1007"/>
        </w:numPr>
        <w:pStyle w:val="Compact"/>
      </w:pPr>
      <w:r>
        <w:t xml:space="preserve">Pineoblastoma, RB1-altered (</w:t>
      </w:r>
      <w:r>
        <w:t xml:space="preserve">“</w:t>
      </w:r>
      <w:r>
        <w:t xml:space="preserve">PB_RB1</w:t>
      </w:r>
      <w:r>
        <w:t xml:space="preserve">”</w:t>
      </w:r>
      <w:r>
        <w:t xml:space="preserve"> </w:t>
      </w:r>
      <w:r>
        <w:t xml:space="preserve">methylation classification)</w:t>
      </w:r>
    </w:p>
    <w:p>
      <w:pPr>
        <w:numPr>
          <w:ilvl w:val="0"/>
          <w:numId w:val="1007"/>
        </w:numPr>
        <w:pStyle w:val="Compact"/>
      </w:pPr>
      <w:r>
        <w:t xml:space="preserve">Pineoblastoma, group 1 (</w:t>
      </w:r>
      <w:r>
        <w:t xml:space="preserve">“</w:t>
      </w:r>
      <w:r>
        <w:t xml:space="preserve">PB_GRP1A</w:t>
      </w:r>
      <w:r>
        <w:t xml:space="preserve">”</w:t>
      </w:r>
      <w:r>
        <w:t xml:space="preserve"> </w:t>
      </w:r>
      <w:r>
        <w:t xml:space="preserve">and</w:t>
      </w:r>
      <w:r>
        <w:t xml:space="preserve"> </w:t>
      </w:r>
      <w:r>
        <w:t xml:space="preserve">“</w:t>
      </w:r>
      <w:r>
        <w:t xml:space="preserve">PB_GRP1B</w:t>
      </w:r>
      <w:r>
        <w:t xml:space="preserve">”</w:t>
      </w:r>
      <w:r>
        <w:t xml:space="preserve"> </w:t>
      </w:r>
      <w:r>
        <w:t xml:space="preserve">methylation classifications)</w:t>
      </w:r>
    </w:p>
    <w:p>
      <w:pPr>
        <w:numPr>
          <w:ilvl w:val="0"/>
          <w:numId w:val="1007"/>
        </w:numPr>
        <w:pStyle w:val="Compact"/>
      </w:pPr>
      <w:r>
        <w:t xml:space="preserve">Pineoblastoma, group 2 (</w:t>
      </w:r>
      <w:r>
        <w:t xml:space="preserve">“</w:t>
      </w:r>
      <w:r>
        <w:t xml:space="preserve">PB_GRP2</w:t>
      </w:r>
      <w:r>
        <w:t xml:space="preserve">”</w:t>
      </w:r>
      <w:r>
        <w:t xml:space="preserve"> </w:t>
      </w:r>
      <w:r>
        <w:t xml:space="preserve">methylation classification)</w:t>
      </w:r>
    </w:p>
    <w:p>
      <w:pPr>
        <w:numPr>
          <w:ilvl w:val="0"/>
          <w:numId w:val="1007"/>
        </w:numPr>
        <w:pStyle w:val="Compact"/>
      </w:pPr>
      <w:r>
        <w:t xml:space="preserve">All other pineoblastomas were classified as</w:t>
      </w:r>
      <w:r>
        <w:t xml:space="preserve"> </w:t>
      </w:r>
      <w:r>
        <w:t xml:space="preserve">“</w:t>
      </w:r>
      <w:r>
        <w:t xml:space="preserve">PB, To be classified</w:t>
      </w:r>
      <w:r>
        <w:t xml:space="preserve">”</w:t>
      </w:r>
    </w:p>
    <w:p>
      <w:pPr>
        <w:pStyle w:val="FirstParagraph"/>
      </w:pPr>
      <w:r>
        <w:rPr>
          <w:bCs/>
          <w:b/>
        </w:rPr>
        <w:t xml:space="preserve">non-MB, non-ATRT Embryonal Tumors</w:t>
      </w:r>
    </w:p>
    <w:p>
      <w:pPr>
        <w:pStyle w:val="BodyText"/>
      </w:pPr>
      <w:r>
        <w:t xml:space="preserve">Updates were made to non-MB, non-ATRT embryonal tumor subtyping as follows:</w:t>
      </w:r>
    </w:p>
    <w:p>
      <w:pPr>
        <w:numPr>
          <w:ilvl w:val="0"/>
          <w:numId w:val="1008"/>
        </w:numPr>
        <w:pStyle w:val="Compact"/>
      </w:pPr>
      <w:r>
        <w:t xml:space="preserve">Embryonal tumors with multilayered rosettes and C19MC-altered (ETMR, C19MC-altered) were classified based on 1) high-confidence</w:t>
      </w:r>
      <w:r>
        <w:t xml:space="preserve"> </w:t>
      </w:r>
      <w:r>
        <w:t xml:space="preserve">“</w:t>
      </w:r>
      <w:r>
        <w:t xml:space="preserve">ETMR_C19MC</w:t>
      </w:r>
      <w:r>
        <w:t xml:space="preserve">”</w:t>
      </w:r>
      <w:r>
        <w:t xml:space="preserve"> </w:t>
      </w:r>
      <w:r>
        <w:t xml:space="preserve">methylation classification or 2)</w:t>
      </w:r>
      <w:r>
        <w:t xml:space="preserve"> </w:t>
      </w:r>
      <w:r>
        <w:rPr>
          <w:iCs/>
          <w:i/>
        </w:rPr>
        <w:t xml:space="preserve">TTYH1</w:t>
      </w:r>
      <w:r>
        <w:t xml:space="preserve"> </w:t>
      </w:r>
      <w:r>
        <w:t xml:space="preserve">gene fusion and either chromosome 19 amplification or</w:t>
      </w:r>
      <w:r>
        <w:t xml:space="preserve"> </w:t>
      </w:r>
      <w:r>
        <w:rPr>
          <w:iCs/>
          <w:i/>
        </w:rPr>
        <w:t xml:space="preserve">LIN28A</w:t>
      </w:r>
      <w:r>
        <w:t xml:space="preserve"> </w:t>
      </w:r>
      <w:r>
        <w:t xml:space="preserve">over-expression.</w:t>
      </w:r>
    </w:p>
    <w:p>
      <w:pPr>
        <w:numPr>
          <w:ilvl w:val="0"/>
          <w:numId w:val="1008"/>
        </w:numPr>
        <w:pStyle w:val="Compact"/>
      </w:pPr>
      <w:r>
        <w:t xml:space="preserve">ETMR, not otherwise specified (NOS) were classified based on</w:t>
      </w:r>
      <w:r>
        <w:t xml:space="preserve"> </w:t>
      </w:r>
      <w:r>
        <w:rPr>
          <w:iCs/>
          <w:i/>
        </w:rPr>
        <w:t xml:space="preserve">LIN28A</w:t>
      </w:r>
      <w:r>
        <w:t xml:space="preserve"> </w:t>
      </w:r>
      <w:r>
        <w:t xml:space="preserve">over-expression and no</w:t>
      </w:r>
      <w:r>
        <w:t xml:space="preserve"> </w:t>
      </w:r>
      <w:r>
        <w:rPr>
          <w:iCs/>
          <w:i/>
        </w:rPr>
        <w:t xml:space="preserve">TTYH1</w:t>
      </w:r>
      <w:r>
        <w:t xml:space="preserve"> </w:t>
      </w:r>
      <w:r>
        <w:t xml:space="preserve">gene fusion.</w:t>
      </w:r>
    </w:p>
    <w:bookmarkEnd w:id="329"/>
    <w:bookmarkEnd w:id="330"/>
    <w:bookmarkStart w:id="331" w:name="Xae8cb1b73a9c77769eec294778d3baab465cba2"/>
    <w:p>
      <w:pPr>
        <w:pStyle w:val="Heading4"/>
      </w:pPr>
      <w:r>
        <w:t xml:space="preserve">TP53 Alteration Annotation (</w:t>
      </w:r>
      <w:r>
        <w:rPr>
          <w:rStyle w:val="VerbatimChar"/>
        </w:rPr>
        <w:t xml:space="preserve">tp53_nf1_score</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331"/>
    <w:bookmarkStart w:id="332" w:name="prediction-of-participants-genetic-sex"/>
    <w:p>
      <w:pPr>
        <w:pStyle w:val="Heading4"/>
      </w:pPr>
      <w:r>
        <w:t xml:space="preserve">Prediction of participants’ genetic sex</w:t>
      </w:r>
    </w:p>
    <w:p>
      <w:pPr>
        <w:pStyle w:val="FirstParagraph"/>
      </w:pPr>
      <w:r>
        <w:t xml:space="preserve">Please refer to the OpenPBTA manuscript for details</w:t>
      </w:r>
      <w:r>
        <w:t xml:space="preserve"> </w:t>
      </w:r>
      <w:r>
        <w:t xml:space="preserve">[</w:t>
      </w:r>
      <w:hyperlink w:anchor="ref-5VXMHJ7N">
        <w:r>
          <w:rPr>
            <w:rStyle w:val="Hyperlink"/>
          </w:rPr>
          <w:t xml:space="preserve">5</w:t>
        </w:r>
      </w:hyperlink>
      <w:r>
        <w:t xml:space="preserve">]</w:t>
      </w:r>
      <w:r>
        <w:t xml:space="preserve">.</w:t>
      </w:r>
    </w:p>
    <w:bookmarkEnd w:id="332"/>
    <w:bookmarkStart w:id="334" w:name="Xaec90076bc783deb5e9ffe505c6094537cbaad8"/>
    <w:p>
      <w:pPr>
        <w:pStyle w:val="Heading4"/>
      </w:pPr>
      <w:r>
        <w:t xml:space="preserve">Selection of independent samples (</w:t>
      </w:r>
      <w:r>
        <w:rPr>
          <w:rStyle w:val="VerbatimChar"/>
        </w:rPr>
        <w:t xml:space="preserve">independent-samples</w:t>
      </w:r>
      <w:r>
        <w:t xml:space="preserve"> </w:t>
      </w:r>
      <w:r>
        <w:t xml:space="preserve">analysis module)</w:t>
      </w:r>
    </w:p>
    <w:p>
      <w:pPr>
        <w:pStyle w:val="FirstParagraph"/>
      </w:pPr>
      <w:r>
        <w:t xml:space="preserve">For analyses that require all input biospecimens to be independent, we use the OpenPedCan-analysis</w:t>
      </w:r>
      <w:r>
        <w:t xml:space="preserve"> </w:t>
      </w:r>
      <w:hyperlink r:id="rId333">
        <w:r>
          <w:rPr>
            <w:rStyle w:val="Hyperlink"/>
          </w:rPr>
          <w:t xml:space="preserve">independent-samples</w:t>
        </w:r>
      </w:hyperlink>
      <w:r>
        <w:t xml:space="preserve"> </w:t>
      </w:r>
      <w:r>
        <w:t xml:space="preserve">module to select only one biospecimen from each input participant.</w:t>
      </w:r>
      <w:r>
        <w:t xml:space="preserve"> </w:t>
      </w:r>
      <w:r>
        <w:t xml:space="preserve">For each input participant of an analysis, the independent biospecimen is selected based on the analysis-specific filters and preferences for the biospecimen metadata, such as experimental strategy, cancer group, and tumor descriptor.</w:t>
      </w:r>
    </w:p>
    <w:bookmarkEnd w:id="334"/>
    <w:bookmarkEnd w:id="335"/>
    <w:bookmarkEnd w:id="336"/>
    <w:bookmarkStart w:id="339" w:name="X3e066af15c8d97436bf8db638ddd567e1b87548"/>
    <w:p>
      <w:pPr>
        <w:pStyle w:val="Heading2"/>
      </w:pPr>
      <w:r>
        <w:t xml:space="preserve">Availability of source code and requirements</w:t>
      </w:r>
    </w:p>
    <w:p>
      <w:pPr>
        <w:pStyle w:val="FirstParagraph"/>
      </w:pPr>
      <w:r>
        <w:t xml:space="preserve">Project name: The Open Pediatric Cancer (OpenPedCan) Project</w:t>
      </w:r>
      <w:r>
        <w:t xml:space="preserve"> </w:t>
      </w:r>
      <w:r>
        <w:t xml:space="preserve">Project home page: https://github.com/d3b-center/OpenPedCan-analysis</w:t>
      </w:r>
      <w:r>
        <w:t xml:space="preserve"> </w:t>
      </w:r>
      <w:r>
        <w:t xml:space="preserve">Operating system(s): Platform independent</w:t>
      </w:r>
      <w:r>
        <w:t xml:space="preserve"> </w:t>
      </w:r>
      <w:r>
        <w:t xml:space="preserve">Programming languages: R, Python, bash</w:t>
      </w:r>
      <w:r>
        <w:t xml:space="preserve"> </w:t>
      </w:r>
      <w:r>
        <w:t xml:space="preserve">Other requirements: CAVATICA, Docker image at pgc-images.sbgenomics.com/d3b-bixu/openpedcanverse:latest</w:t>
      </w:r>
      <w:r>
        <w:t xml:space="preserve"> </w:t>
      </w:r>
      <w:r>
        <w:t xml:space="preserve">License: CC-BY 4.0</w:t>
      </w:r>
    </w:p>
    <w:p>
      <w:pPr>
        <w:pStyle w:val="BodyText"/>
      </w:pPr>
      <w:r>
        <w:t xml:space="preserve">Primary analyses were performed using Gabriella Miller Kids First pipelines and are listed in the methods section.</w:t>
      </w:r>
      <w:r>
        <w:t xml:space="preserve"> </w:t>
      </w:r>
      <w:r>
        <w:t xml:space="preserve">Analysis modules were developed within</w:t>
      </w:r>
      <w:r>
        <w:t xml:space="preserve"> </w:t>
      </w:r>
      <w:hyperlink r:id="rId337">
        <w:r>
          <w:rPr>
            <w:rStyle w:val="Hyperlink"/>
          </w:rPr>
          <w:t xml:space="preserve">https://github.com/AlexsLemonade/OpenPBTA-analysis</w:t>
        </w:r>
      </w:hyperlink>
      <w:r>
        <w:t xml:space="preserve"> </w:t>
      </w:r>
      <w:r>
        <w:t xml:space="preserve">[</w:t>
      </w:r>
      <w:hyperlink w:anchor="ref-5VXMHJ7N">
        <w:r>
          <w:rPr>
            <w:rStyle w:val="Hyperlink"/>
          </w:rPr>
          <w:t xml:space="preserve">5</w:t>
        </w:r>
      </w:hyperlink>
      <w:r>
        <w:t xml:space="preserve">]</w:t>
      </w:r>
      <w:r>
        <w:t xml:space="preserve">, modified based on OpenPBTA, or newly created and can be found within the</w:t>
      </w:r>
      <w:r>
        <w:t xml:space="preserve"> </w:t>
      </w:r>
      <w:hyperlink r:id="rId338">
        <w:r>
          <w:rPr>
            <w:rStyle w:val="Hyperlink"/>
          </w:rPr>
          <w:t xml:space="preserve">https://github.com/d3b-center/OpenPedCan-analysis</w:t>
        </w:r>
      </w:hyperlink>
      <w:r>
        <w:t xml:space="preserve"> </w:t>
      </w:r>
      <w:r>
        <w:t xml:space="preserve">publicly available repository.</w:t>
      </w:r>
    </w:p>
    <w:p>
      <w:pPr>
        <w:pStyle w:val="BodyText"/>
      </w:pPr>
      <w:r>
        <w:t xml:space="preserve">Software versions are documented in</w:t>
      </w:r>
      <w:r>
        <w:t xml:space="preserve"> </w:t>
      </w:r>
      <w:r>
        <w:rPr>
          <w:bCs/>
          <w:b/>
        </w:rPr>
        <w:t xml:space="preserve">Table XX</w:t>
      </w:r>
      <w:r>
        <w:t xml:space="preserve">.</w:t>
      </w:r>
    </w:p>
    <w:bookmarkEnd w:id="339"/>
    <w:bookmarkStart w:id="343" w:name="data-availability"/>
    <w:p>
      <w:pPr>
        <w:pStyle w:val="Heading2"/>
      </w:pPr>
      <w:r>
        <w:t xml:space="preserve">Data Availability</w:t>
      </w:r>
    </w:p>
    <w:bookmarkStart w:id="342" w:name="datasets"/>
    <w:p>
      <w:pPr>
        <w:pStyle w:val="Heading3"/>
      </w:pPr>
      <w:r>
        <w:t xml:space="preserve">Datasets</w:t>
      </w:r>
    </w:p>
    <w:p>
      <w:pPr>
        <w:pStyle w:val="FirstParagraph"/>
      </w:pPr>
      <w:r>
        <w:t xml:space="preserve">The datasets supporting this study are available as follows:</w:t>
      </w:r>
      <w:r>
        <w:t xml:space="preserve"> </w:t>
      </w:r>
      <w:r>
        <w:t xml:space="preserve">The TARGET dataset is available in dbGAP under phs000218.v23.p8</w:t>
      </w:r>
      <w:r>
        <w:t xml:space="preserve"> </w:t>
      </w:r>
      <w:r>
        <w:t xml:space="preserve">[</w:t>
      </w:r>
      <w:hyperlink w:anchor="ref-17Erd7F9J">
        <w:r>
          <w:rPr>
            <w:rStyle w:val="Hyperlink"/>
          </w:rPr>
          <w:t xml:space="preserve">29</w:t>
        </w:r>
      </w:hyperlink>
      <w:r>
        <w:t xml:space="preserve">]</w:t>
      </w:r>
      <w:r>
        <w:t xml:space="preserve">.</w:t>
      </w:r>
      <w:r>
        <w:t xml:space="preserve"> </w:t>
      </w:r>
      <w:r>
        <w:t xml:space="preserve">The GMKF Neuroblastoma dataset is available in dbGAP under phs001436.v1.p1</w:t>
      </w:r>
      <w:r>
        <w:t xml:space="preserve">[</w:t>
      </w:r>
      <w:hyperlink w:anchor="ref-UVwAVvuW">
        <w:r>
          <w:rPr>
            <w:rStyle w:val="Hyperlink"/>
          </w:rPr>
          <w:t xml:space="preserve">30</w:t>
        </w:r>
      </w:hyperlink>
      <w:r>
        <w:t xml:space="preserve">]</w:t>
      </w:r>
      <w:r>
        <w:t xml:space="preserve">.</w:t>
      </w:r>
      <w:r>
        <w:t xml:space="preserve"> </w:t>
      </w:r>
      <w:r>
        <w:t xml:space="preserve">The Pediatric Brain Tumor Atlas data (PBTA), containing the subcohorts OpenPBTA, Kids First PBTA (X01), Chordoma Foundation, MI-ONCOSEQ Study, PNOC, and DGD is available in dbGAP under phs002517.v2.p2</w:t>
      </w:r>
      <w:r>
        <w:t xml:space="preserve"> </w:t>
      </w:r>
      <w:r>
        <w:t xml:space="preserve">[</w:t>
      </w:r>
      <w:hyperlink w:anchor="ref-16JieTeo0">
        <w:r>
          <w:rPr>
            <w:rStyle w:val="Hyperlink"/>
          </w:rPr>
          <w:t xml:space="preserve">31</w:t>
        </w:r>
      </w:hyperlink>
      <w:r>
        <w:t xml:space="preserve">]</w:t>
      </w:r>
      <w:r>
        <w:t xml:space="preserve"> </w:t>
      </w:r>
      <w:r>
        <w:t xml:space="preserve">or in the Kids First Portal (kidsfirstdrc.org).</w:t>
      </w:r>
      <w:r>
        <w:t xml:space="preserve"> </w:t>
      </w:r>
      <w:r>
        <w:t xml:space="preserve">The raw Genotype-Tissue Expression (GTEx) dataset is available in dbGAP under phs000424.v9.p2 and publicly available at https://gtexportal.org/home/.</w:t>
      </w:r>
      <w:r>
        <w:t xml:space="preserve"> </w:t>
      </w:r>
      <w:r>
        <w:t xml:space="preserve">The Cancer Genome Atlas (TCGA) dataset is available in dbGAP under phs000178.v11.p8</w:t>
      </w:r>
      <w:r>
        <w:t xml:space="preserve"> </w:t>
      </w:r>
      <w:r>
        <w:t xml:space="preserve">[</w:t>
      </w:r>
      <w:hyperlink w:anchor="ref-A9rC7i7X">
        <w:r>
          <w:rPr>
            <w:rStyle w:val="Hyperlink"/>
          </w:rPr>
          <w:t xml:space="preserve">32</w:t>
        </w:r>
      </w:hyperlink>
      <w:r>
        <w:t xml:space="preserve">]</w:t>
      </w:r>
      <w:r>
        <w:t xml:space="preserve">.</w:t>
      </w:r>
    </w:p>
    <w:p>
      <w:pPr>
        <w:pStyle w:val="BodyText"/>
      </w:pPr>
      <w:r>
        <w:t xml:space="preserve">Merged summary files for the latest release of OpenPedCan are openly accessible in</w:t>
      </w:r>
      <w:r>
        <w:t xml:space="preserve"> </w:t>
      </w:r>
      <w:hyperlink r:id="rId340">
        <w:r>
          <w:rPr>
            <w:rStyle w:val="Hyperlink"/>
          </w:rPr>
          <w:t xml:space="preserve">CAVATICA</w:t>
        </w:r>
      </w:hyperlink>
      <w:r>
        <w:t xml:space="preserve"> </w:t>
      </w:r>
      <w:r>
        <w:t xml:space="preserve">or via</w:t>
      </w:r>
      <w:r>
        <w:t xml:space="preserve"> </w:t>
      </w:r>
      <w:r>
        <w:rPr>
          <w:rStyle w:val="VerbatimChar"/>
        </w:rPr>
        <w:t xml:space="preserve">download-data.sh</w:t>
      </w:r>
      <w:r>
        <w:t xml:space="preserve"> </w:t>
      </w:r>
      <w:r>
        <w:t xml:space="preserve">script in the</w:t>
      </w:r>
      <w:r>
        <w:t xml:space="preserve"> </w:t>
      </w:r>
      <w:hyperlink r:id="rId338">
        <w:r>
          <w:rPr>
            <w:rStyle w:val="Hyperlink"/>
          </w:rPr>
          <w:t xml:space="preserve">https://github.com/d3b-center/OpenPedCan-analysis</w:t>
        </w:r>
      </w:hyperlink>
      <w:r>
        <w:t xml:space="preserve"> </w:t>
      </w:r>
      <w:r>
        <w:t xml:space="preserve">repository.</w:t>
      </w:r>
      <w:r>
        <w:t xml:space="preserve"> </w:t>
      </w:r>
      <w:r>
        <w:t xml:space="preserve">Cancer group summary data from release v11 are visible within the NCI’s pediatric</w:t>
      </w:r>
      <w:r>
        <w:t xml:space="preserve"> </w:t>
      </w:r>
      <w:hyperlink r:id="rId253">
        <w:r>
          <w:rPr>
            <w:rStyle w:val="Hyperlink"/>
          </w:rPr>
          <w:t xml:space="preserve">Molecular Targets Platform</w:t>
        </w:r>
      </w:hyperlink>
      <w:r>
        <w:t xml:space="preserve">.</w:t>
      </w:r>
      <w:r>
        <w:t xml:space="preserve"> </w:t>
      </w:r>
      <w:r>
        <w:t xml:space="preserve">Cohort, cancer group, and individual data are visible within</w:t>
      </w:r>
      <w:r>
        <w:t xml:space="preserve"> </w:t>
      </w:r>
      <w:hyperlink r:id="rId341">
        <w:r>
          <w:rPr>
            <w:rStyle w:val="Hyperlink"/>
          </w:rPr>
          <w:t xml:space="preserve">PedcBioPortal</w:t>
        </w:r>
      </w:hyperlink>
    </w:p>
    <w:bookmarkEnd w:id="342"/>
    <w:bookmarkEnd w:id="343"/>
    <w:bookmarkStart w:id="344" w:name="acknowledgments"/>
    <w:p>
      <w:pPr>
        <w:pStyle w:val="Heading2"/>
      </w:pPr>
      <w:r>
        <w:t xml:space="preserve">Acknowledgments</w:t>
      </w:r>
    </w:p>
    <w:p>
      <w:pPr>
        <w:pStyle w:val="FirstParagraph"/>
      </w:pPr>
      <w:r>
        <w:t xml:space="preserve">We are incredibly grateful to each patient and family for donating tissue and associated metadata and clinical data to their respective consortia.</w:t>
      </w:r>
      <w:r>
        <w:t xml:space="preserve"> </w:t>
      </w:r>
      <w:r>
        <w:t xml:space="preserve">We thank Rocky Breslow for GitHub actions contributions and Rust Turakulov for contributing to methylation data analysis.</w:t>
      </w:r>
    </w:p>
    <w:bookmarkEnd w:id="344"/>
    <w:bookmarkStart w:id="345" w:name="author-contributions"/>
    <w:p>
      <w:pPr>
        <w:pStyle w:val="Heading2"/>
      </w:pP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Zhuangzhuang Geng</w:t>
            </w:r>
          </w:p>
        </w:tc>
        <w:tc>
          <w:tcPr/>
          <w:p>
            <w:pPr>
              <w:pStyle w:val="Compact"/>
              <w:jc w:val="left"/>
            </w:pPr>
            <w:r>
              <w:t xml:space="preserve">Data curation, Formal analysis, Investigation, Methodology, Software, Writing – Original draft</w:t>
            </w:r>
          </w:p>
        </w:tc>
      </w:tr>
      <w:tr>
        <w:tc>
          <w:tcPr/>
          <w:p>
            <w:pPr>
              <w:pStyle w:val="Compact"/>
              <w:jc w:val="left"/>
            </w:pPr>
            <w:r>
              <w:t xml:space="preserve">Eric Wafula</w:t>
            </w:r>
          </w:p>
        </w:tc>
        <w:tc>
          <w:tcPr/>
          <w:p>
            <w:pPr>
              <w:pStyle w:val="Compact"/>
              <w:jc w:val="left"/>
            </w:pPr>
            <w:r>
              <w:t xml:space="preserve">Formal analysis, Software, Investigation, Writing – Original draft</w:t>
            </w:r>
          </w:p>
        </w:tc>
      </w:tr>
      <w:tr>
        <w:tc>
          <w:tcPr/>
          <w:p>
            <w:pPr>
              <w:pStyle w:val="Compact"/>
              <w:jc w:val="left"/>
            </w:pPr>
            <w:r>
              <w:t xml:space="preserve">Yuanchao Zhang</w:t>
            </w:r>
          </w:p>
        </w:tc>
        <w:tc>
          <w:tcPr/>
          <w:p>
            <w:pPr>
              <w:pStyle w:val="Compact"/>
              <w:jc w:val="left"/>
            </w:pPr>
            <w:r>
              <w:t xml:space="preserve">Software, Formal Analysis, Methodology, Writing – Original draft</w:t>
            </w:r>
          </w:p>
        </w:tc>
      </w:tr>
      <w:tr>
        <w:tc>
          <w:tcPr/>
          <w:p>
            <w:pPr>
              <w:pStyle w:val="Compact"/>
              <w:jc w:val="left"/>
            </w:pPr>
            <w:r>
              <w:t xml:space="preserve">Ryan J. Corbett</w:t>
            </w:r>
          </w:p>
        </w:tc>
        <w:tc>
          <w:tcPr/>
          <w:p>
            <w:pPr>
              <w:pStyle w:val="Compact"/>
              <w:jc w:val="left"/>
            </w:pPr>
            <w:r>
              <w:t xml:space="preserve">Formal analysis, Writing - original draft</w:t>
            </w:r>
          </w:p>
        </w:tc>
      </w:tr>
      <w:tr>
        <w:tc>
          <w:tcPr/>
          <w:p>
            <w:pPr>
              <w:pStyle w:val="Compact"/>
              <w:jc w:val="left"/>
            </w:pPr>
            <w:r>
              <w:t xml:space="preserve">Run Jin</w:t>
            </w:r>
          </w:p>
        </w:tc>
        <w:tc>
          <w:tcPr/>
          <w:p>
            <w:pPr>
              <w:pStyle w:val="Compact"/>
              <w:jc w:val="left"/>
            </w:pPr>
            <w:r>
              <w:t xml:space="preserve">Formal analysis</w:t>
            </w:r>
          </w:p>
        </w:tc>
      </w:tr>
      <w:tr>
        <w:tc>
          <w:tcPr/>
          <w:p>
            <w:pPr>
              <w:pStyle w:val="Compact"/>
              <w:jc w:val="left"/>
            </w:pPr>
            <w:r>
              <w:t xml:space="preserve">Krutika S. Gaonkar</w:t>
            </w:r>
          </w:p>
        </w:tc>
        <w:tc>
          <w:tcPr/>
          <w:p>
            <w:pPr>
              <w:pStyle w:val="Compact"/>
              <w:jc w:val="left"/>
            </w:pPr>
            <w:r>
              <w:t xml:space="preserve">Data curation, Formal analysis, Investigation</w:t>
            </w:r>
          </w:p>
        </w:tc>
      </w:tr>
      <w:tr>
        <w:tc>
          <w:tcPr/>
          <w:p>
            <w:pPr>
              <w:pStyle w:val="Compact"/>
              <w:jc w:val="left"/>
            </w:pPr>
            <w:r>
              <w:t xml:space="preserve">Komal S. Rathi</w:t>
            </w:r>
          </w:p>
        </w:tc>
        <w:tc>
          <w:tcPr/>
          <w:p>
            <w:pPr>
              <w:pStyle w:val="Compact"/>
              <w:jc w:val="left"/>
            </w:pPr>
            <w:r>
              <w:t xml:space="preserve">Formal analysis, Investigation, Methodology</w:t>
            </w:r>
          </w:p>
        </w:tc>
      </w:tr>
      <w:tr>
        <w:tc>
          <w:tcPr/>
          <w:p>
            <w:pPr>
              <w:pStyle w:val="Compact"/>
              <w:jc w:val="left"/>
            </w:pPr>
            <w:r>
              <w:t xml:space="preserve">Sangeeta Shukla</w:t>
            </w:r>
          </w:p>
        </w:tc>
        <w:tc>
          <w:tcPr/>
          <w:p>
            <w:pPr>
              <w:pStyle w:val="Compact"/>
              <w:jc w:val="left"/>
            </w:pPr>
            <w:r>
              <w:t xml:space="preserve">Formal analysis, Investigation, Methodology, Writing – Original draft, Writing - Review and editing</w:t>
            </w:r>
          </w:p>
        </w:tc>
      </w:tr>
      <w:tr>
        <w:tc>
          <w:tcPr/>
          <w:p>
            <w:pPr>
              <w:pStyle w:val="Compact"/>
              <w:jc w:val="left"/>
            </w:pPr>
            <w:r>
              <w:t xml:space="preserve">Dave Hill</w:t>
            </w:r>
          </w:p>
        </w:tc>
        <w:tc>
          <w:tcPr/>
          <w:p>
            <w:pPr>
              <w:pStyle w:val="Compact"/>
              <w:jc w:val="left"/>
            </w:pPr>
            <w:r>
              <w:t xml:space="preserve">Formal analysis, Writing - original draft</w:t>
            </w:r>
          </w:p>
        </w:tc>
      </w:tr>
      <w:tr>
        <w:tc>
          <w:tcPr/>
          <w:p>
            <w:pPr>
              <w:pStyle w:val="Compact"/>
              <w:jc w:val="left"/>
            </w:pPr>
            <w:r>
              <w:t xml:space="preserve">Aditya Lahiri</w:t>
            </w:r>
          </w:p>
        </w:tc>
        <w:tc>
          <w:tcPr/>
          <w:p>
            <w:pPr>
              <w:pStyle w:val="Compact"/>
              <w:jc w:val="left"/>
            </w:pPr>
            <w:r>
              <w:t xml:space="preserve">Formal analysis, Investigation, Methodology, Writing – Original draft</w:t>
            </w:r>
          </w:p>
        </w:tc>
      </w:tr>
      <w:tr>
        <w:tc>
          <w:tcPr/>
          <w:p>
            <w:pPr>
              <w:pStyle w:val="Compact"/>
              <w:jc w:val="left"/>
            </w:pPr>
            <w:r>
              <w:t xml:space="preserve">Daniel P. Miller</w:t>
            </w:r>
          </w:p>
        </w:tc>
        <w:tc>
          <w:tcPr/>
          <w:p>
            <w:pPr>
              <w:pStyle w:val="Compact"/>
              <w:jc w:val="left"/>
            </w:pPr>
            <w:r>
              <w:t xml:space="preserve">Formal analysis, Writing – Original draft</w:t>
            </w:r>
          </w:p>
        </w:tc>
      </w:tr>
      <w:tr>
        <w:tc>
          <w:tcPr/>
          <w:p>
            <w:pPr>
              <w:pStyle w:val="Compact"/>
              <w:jc w:val="left"/>
            </w:pPr>
            <w:r>
              <w:t xml:space="preserve">Alex Sickler</w:t>
            </w:r>
          </w:p>
        </w:tc>
        <w:tc>
          <w:tcPr/>
          <w:p>
            <w:pPr>
              <w:pStyle w:val="Compact"/>
              <w:jc w:val="left"/>
            </w:pPr>
            <w:r>
              <w:t xml:space="preserve">Methodology, Formal analysis</w:t>
            </w:r>
          </w:p>
        </w:tc>
      </w:tr>
      <w:tr>
        <w:tc>
          <w:tcPr/>
          <w:p>
            <w:pPr>
              <w:pStyle w:val="Compact"/>
              <w:jc w:val="left"/>
            </w:pPr>
            <w:r>
              <w:t xml:space="preserve">Kelsey Keith</w:t>
            </w:r>
          </w:p>
        </w:tc>
        <w:tc>
          <w:tcPr/>
          <w:p>
            <w:pPr>
              <w:pStyle w:val="Compact"/>
              <w:jc w:val="left"/>
            </w:pPr>
            <w:r>
              <w:t xml:space="preserve">Writing - original draft, Formal Analysis</w:t>
            </w:r>
          </w:p>
        </w:tc>
      </w:tr>
      <w:tr>
        <w:tc>
          <w:tcPr/>
          <w:p>
            <w:pPr>
              <w:pStyle w:val="Compact"/>
              <w:jc w:val="left"/>
            </w:pPr>
            <w:r>
              <w:t xml:space="preserve">Christopher Blackden</w:t>
            </w:r>
          </w:p>
        </w:tc>
        <w:tc>
          <w:tcPr/>
          <w:p>
            <w:pPr>
              <w:pStyle w:val="Compact"/>
              <w:jc w:val="left"/>
            </w:pPr>
            <w:r>
              <w:t xml:space="preserve">Software</w:t>
            </w:r>
          </w:p>
        </w:tc>
      </w:tr>
      <w:tr>
        <w:tc>
          <w:tcPr/>
          <w:p>
            <w:pPr>
              <w:pStyle w:val="Compact"/>
              <w:jc w:val="left"/>
            </w:pPr>
            <w:r>
              <w:t xml:space="preserve">Antonia Chroni</w:t>
            </w:r>
          </w:p>
        </w:tc>
        <w:tc>
          <w:tcPr/>
          <w:p>
            <w:pPr>
              <w:pStyle w:val="Compact"/>
              <w:jc w:val="left"/>
            </w:pPr>
            <w:r>
              <w:t xml:space="preserve">Validation</w:t>
            </w:r>
          </w:p>
        </w:tc>
      </w:tr>
      <w:tr>
        <w:tc>
          <w:tcPr/>
          <w:p>
            <w:pPr>
              <w:pStyle w:val="Compact"/>
              <w:jc w:val="left"/>
            </w:pPr>
            <w:r>
              <w:t xml:space="preserve">Adam A. Kraya</w:t>
            </w:r>
          </w:p>
        </w:tc>
        <w:tc>
          <w:tcPr/>
          <w:p>
            <w:pPr>
              <w:pStyle w:val="Compact"/>
              <w:jc w:val="left"/>
            </w:pPr>
            <w:r>
              <w:t xml:space="preserve">Methodology</w:t>
            </w:r>
          </w:p>
        </w:tc>
      </w:tr>
      <w:tr>
        <w:tc>
          <w:tcPr/>
          <w:p>
            <w:pPr>
              <w:pStyle w:val="Compact"/>
              <w:jc w:val="left"/>
            </w:pPr>
            <w:r>
              <w:t xml:space="preserve">Miguel A. Brown</w:t>
            </w:r>
          </w:p>
        </w:tc>
        <w:tc>
          <w:tcPr/>
          <w:p>
            <w:pPr>
              <w:pStyle w:val="Compact"/>
              <w:jc w:val="left"/>
            </w:pPr>
            <w:r>
              <w:t xml:space="preserve">Data curation, Methodology, Formal analysis, Investigation, Software, Supervision, Writing – Original draft</w:t>
            </w:r>
          </w:p>
        </w:tc>
      </w:tr>
      <w:tr>
        <w:tc>
          <w:tcPr/>
          <w:p>
            <w:pPr>
              <w:pStyle w:val="Compact"/>
              <w:jc w:val="left"/>
            </w:pPr>
            <w:r>
              <w:t xml:space="preserve">Brian M. Ennis</w:t>
            </w:r>
          </w:p>
        </w:tc>
        <w:tc>
          <w:tcPr/>
          <w:p>
            <w:pPr>
              <w:pStyle w:val="Compact"/>
              <w:jc w:val="left"/>
            </w:pPr>
            <w:r>
              <w:t xml:space="preserve">Formal analysis</w:t>
            </w:r>
          </w:p>
        </w:tc>
      </w:tr>
      <w:tr>
        <w:tc>
          <w:tcPr/>
          <w:p>
            <w:pPr>
              <w:pStyle w:val="Compact"/>
              <w:jc w:val="left"/>
            </w:pPr>
            <w:r>
              <w:t xml:space="preserve">Ammar S. Naqvi</w:t>
            </w:r>
          </w:p>
        </w:tc>
        <w:tc>
          <w:tcPr/>
          <w:p>
            <w:pPr>
              <w:pStyle w:val="Compact"/>
              <w:jc w:val="left"/>
            </w:pPr>
            <w:r>
              <w:t xml:space="preserve">Methodology, Writing – Original draft</w:t>
            </w:r>
          </w:p>
        </w:tc>
      </w:tr>
      <w:tr>
        <w:tc>
          <w:tcPr/>
          <w:p>
            <w:pPr>
              <w:pStyle w:val="Compact"/>
              <w:jc w:val="left"/>
            </w:pPr>
            <w:r>
              <w:t xml:space="preserve">Sharon J. Diskin</w:t>
            </w:r>
          </w:p>
        </w:tc>
        <w:tc>
          <w:tcPr/>
          <w:p>
            <w:pPr>
              <w:pStyle w:val="Compact"/>
              <w:jc w:val="left"/>
            </w:pPr>
            <w:r>
              <w:t xml:space="preserve">Funding acquisition</w:t>
            </w:r>
          </w:p>
        </w:tc>
      </w:tr>
      <w:tr>
        <w:tc>
          <w:tcPr/>
          <w:p>
            <w:pPr>
              <w:pStyle w:val="Compact"/>
              <w:jc w:val="left"/>
            </w:pPr>
            <w:r>
              <w:t xml:space="preserve">Bo Zhang</w:t>
            </w:r>
          </w:p>
        </w:tc>
        <w:tc>
          <w:tcPr/>
          <w:p>
            <w:pPr>
              <w:pStyle w:val="Compact"/>
              <w:jc w:val="left"/>
            </w:pPr>
            <w:r>
              <w:t xml:space="preserve">Data curation, Formal analysis</w:t>
            </w:r>
          </w:p>
        </w:tc>
      </w:tr>
      <w:tr>
        <w:tc>
          <w:tcPr/>
          <w:p>
            <w:pPr>
              <w:pStyle w:val="Compact"/>
              <w:jc w:val="left"/>
            </w:pPr>
            <w:r>
              <w:t xml:space="preserve">Joseph Dybas</w:t>
            </w:r>
          </w:p>
        </w:tc>
        <w:tc>
          <w:tcPr/>
          <w:p>
            <w:pPr>
              <w:pStyle w:val="Compact"/>
              <w:jc w:val="left"/>
            </w:pPr>
            <w:r>
              <w:t xml:space="preserve">Writing – Original draft, Methodology</w:t>
            </w:r>
          </w:p>
        </w:tc>
      </w:tr>
      <w:tr>
        <w:tc>
          <w:tcPr/>
          <w:p>
            <w:pPr>
              <w:pStyle w:val="Compact"/>
              <w:jc w:val="left"/>
            </w:pPr>
            <w:r>
              <w:t xml:space="preserve">Alvin Farrel</w:t>
            </w:r>
          </w:p>
        </w:tc>
        <w:tc>
          <w:tcPr/>
          <w:p>
            <w:pPr>
              <w:pStyle w:val="Compact"/>
              <w:jc w:val="left"/>
            </w:pPr>
            <w:r>
              <w:t xml:space="preserve">Supervision, Investigation, Methodology, Funding acquisition</w:t>
            </w:r>
          </w:p>
        </w:tc>
      </w:tr>
      <w:tr>
        <w:tc>
          <w:tcPr/>
          <w:p>
            <w:pPr>
              <w:pStyle w:val="Compact"/>
              <w:jc w:val="left"/>
            </w:pPr>
            <w:r>
              <w:t xml:space="preserve">Jennifer L. Mason</w:t>
            </w:r>
          </w:p>
        </w:tc>
        <w:tc>
          <w:tcPr/>
          <w:p>
            <w:pPr>
              <w:pStyle w:val="Compact"/>
              <w:jc w:val="left"/>
            </w:pPr>
            <w:r>
              <w:t xml:space="preserve">Supervision</w:t>
            </w:r>
          </w:p>
        </w:tc>
      </w:tr>
      <w:tr>
        <w:tc>
          <w:tcPr/>
          <w:p>
            <w:pPr>
              <w:pStyle w:val="Compact"/>
              <w:jc w:val="left"/>
            </w:pPr>
            <w:r>
              <w:t xml:space="preserve">Bailey K. Farrow</w:t>
            </w:r>
          </w:p>
        </w:tc>
        <w:tc>
          <w:tcPr/>
          <w:p>
            <w:pPr>
              <w:pStyle w:val="Compact"/>
              <w:jc w:val="left"/>
            </w:pPr>
            <w:r>
              <w:t xml:space="preserve">Data curation, Software, Project Administration, Supervision</w:t>
            </w:r>
          </w:p>
        </w:tc>
      </w:tr>
      <w:tr>
        <w:tc>
          <w:tcPr/>
          <w:p>
            <w:pPr>
              <w:pStyle w:val="Compact"/>
              <w:jc w:val="left"/>
            </w:pPr>
            <w:r>
              <w:t xml:space="preserve">Yuankun Zhu</w:t>
            </w:r>
          </w:p>
        </w:tc>
        <w:tc>
          <w:tcPr/>
          <w:p>
            <w:pPr>
              <w:pStyle w:val="Compact"/>
              <w:jc w:val="left"/>
            </w:pPr>
            <w:r>
              <w:t xml:space="preserve">Supervision</w:t>
            </w:r>
          </w:p>
        </w:tc>
      </w:tr>
      <w:tr>
        <w:tc>
          <w:tcPr/>
          <w:p>
            <w:pPr>
              <w:pStyle w:val="Compact"/>
              <w:jc w:val="left"/>
            </w:pPr>
            <w:r>
              <w:t xml:space="preserve">Matthew R. Lueder</w:t>
            </w:r>
          </w:p>
        </w:tc>
        <w:tc>
          <w:tcPr/>
          <w:p>
            <w:pPr>
              <w:pStyle w:val="Compact"/>
              <w:jc w:val="left"/>
            </w:pPr>
            <w:r>
              <w:t xml:space="preserve">Data curation</w:t>
            </w:r>
          </w:p>
        </w:tc>
      </w:tr>
      <w:tr>
        <w:tc>
          <w:tcPr/>
          <w:p>
            <w:pPr>
              <w:pStyle w:val="Compact"/>
              <w:jc w:val="left"/>
            </w:pPr>
            <w:r>
              <w:t xml:space="preserve">Nicholas Van Kuren</w:t>
            </w:r>
          </w:p>
        </w:tc>
        <w:tc>
          <w:tcPr/>
          <w:p>
            <w:pPr>
              <w:pStyle w:val="Compact"/>
              <w:jc w:val="left"/>
            </w:pPr>
            <w:r>
              <w:t xml:space="preserve">Data curation, Software</w:t>
            </w:r>
          </w:p>
        </w:tc>
      </w:tr>
      <w:tr>
        <w:tc>
          <w:tcPr/>
          <w:p>
            <w:pPr>
              <w:pStyle w:val="Compact"/>
              <w:jc w:val="left"/>
            </w:pPr>
            <w:r>
              <w:t xml:space="preserve">Chuwei Zhong</w:t>
            </w:r>
          </w:p>
        </w:tc>
        <w:tc>
          <w:tcPr/>
          <w:p>
            <w:pPr>
              <w:pStyle w:val="Compact"/>
              <w:jc w:val="left"/>
            </w:pPr>
            <w:r>
              <w:t xml:space="preserve">Formal analysis</w:t>
            </w:r>
          </w:p>
        </w:tc>
      </w:tr>
      <w:tr>
        <w:tc>
          <w:tcPr/>
          <w:p>
            <w:pPr>
              <w:pStyle w:val="Compact"/>
              <w:jc w:val="left"/>
            </w:pPr>
            <w:r>
              <w:t xml:space="preserve">Noel Coleman</w:t>
            </w:r>
          </w:p>
        </w:tc>
        <w:tc>
          <w:tcPr/>
          <w:p>
            <w:pPr>
              <w:pStyle w:val="Compact"/>
              <w:jc w:val="left"/>
            </w:pPr>
            <w:r>
              <w:t xml:space="preserve">Data curation</w:t>
            </w:r>
          </w:p>
        </w:tc>
      </w:tr>
      <w:tr>
        <w:tc>
          <w:tcPr/>
          <w:p>
            <w:pPr>
              <w:pStyle w:val="Compact"/>
              <w:jc w:val="left"/>
            </w:pPr>
            <w:r>
              <w:t xml:space="preserve">Mariarita Santi</w:t>
            </w:r>
          </w:p>
        </w:tc>
        <w:tc>
          <w:tcPr/>
          <w:p>
            <w:pPr>
              <w:pStyle w:val="Compact"/>
              <w:jc w:val="left"/>
            </w:pPr>
            <w:r>
              <w:t xml:space="preserve">Investigation, Validation</w:t>
            </w:r>
          </w:p>
        </w:tc>
      </w:tr>
      <w:tr>
        <w:tc>
          <w:tcPr/>
          <w:p>
            <w:pPr>
              <w:pStyle w:val="Compact"/>
              <w:jc w:val="left"/>
            </w:pPr>
            <w:r>
              <w:t xml:space="preserve">John M. Maris</w:t>
            </w:r>
          </w:p>
        </w:tc>
        <w:tc>
          <w:tcPr/>
          <w:p>
            <w:pPr>
              <w:pStyle w:val="Compact"/>
              <w:jc w:val="left"/>
            </w:pPr>
            <w:r>
              <w:t xml:space="preserve">Funding acquisition</w:t>
            </w:r>
          </w:p>
        </w:tc>
      </w:tr>
      <w:tr>
        <w:tc>
          <w:tcPr/>
          <w:p>
            <w:pPr>
              <w:pStyle w:val="Compact"/>
              <w:jc w:val="left"/>
            </w:pPr>
            <w:r>
              <w:t xml:space="preserve">Saksham Phul</w:t>
            </w:r>
          </w:p>
        </w:tc>
        <w:tc>
          <w:tcPr/>
          <w:p>
            <w:pPr>
              <w:pStyle w:val="Compact"/>
              <w:jc w:val="left"/>
            </w:pPr>
            <w:r>
              <w:t xml:space="preserve">Formal analysis</w:t>
            </w:r>
          </w:p>
        </w:tc>
      </w:tr>
      <w:tr>
        <w:tc>
          <w:tcPr/>
          <w:p>
            <w:pPr>
              <w:pStyle w:val="Compact"/>
              <w:jc w:val="left"/>
            </w:pPr>
            <w:r>
              <w:t xml:space="preserve">Xiaoyan Huang</w:t>
            </w:r>
          </w:p>
        </w:tc>
        <w:tc>
          <w:tcPr/>
          <w:p>
            <w:pPr>
              <w:pStyle w:val="Compact"/>
              <w:jc w:val="left"/>
            </w:pPr>
            <w:r>
              <w:t xml:space="preserve">Formal analysis, Software</w:t>
            </w:r>
          </w:p>
        </w:tc>
      </w:tr>
      <w:tr>
        <w:tc>
          <w:tcPr/>
          <w:p>
            <w:pPr>
              <w:pStyle w:val="Compact"/>
              <w:jc w:val="left"/>
            </w:pPr>
            <w:r>
              <w:t xml:space="preserve">Stephanie Stefankiewicz</w:t>
            </w:r>
          </w:p>
        </w:tc>
        <w:tc>
          <w:tcPr/>
          <w:p>
            <w:pPr>
              <w:pStyle w:val="Compact"/>
              <w:jc w:val="left"/>
            </w:pPr>
            <w:r>
              <w:t xml:space="preserve">Project Administration</w:t>
            </w:r>
          </w:p>
        </w:tc>
      </w:tr>
      <w:tr>
        <w:tc>
          <w:tcPr/>
          <w:p>
            <w:pPr>
              <w:pStyle w:val="Compact"/>
              <w:jc w:val="left"/>
            </w:pPr>
            <w:r>
              <w:t xml:space="preserve">Asif T Chinwalla</w:t>
            </w:r>
          </w:p>
        </w:tc>
        <w:tc>
          <w:tcPr/>
          <w:p>
            <w:pPr>
              <w:pStyle w:val="Compact"/>
              <w:jc w:val="left"/>
            </w:pPr>
            <w:r>
              <w:t xml:space="preserve">Project Administration, Supervision, Methodology, Investigation, Validation</w:t>
            </w:r>
          </w:p>
        </w:tc>
      </w:tr>
      <w:tr>
        <w:tc>
          <w:tcPr/>
          <w:p>
            <w:pPr>
              <w:pStyle w:val="Compact"/>
              <w:jc w:val="left"/>
            </w:pPr>
            <w:r>
              <w:t xml:space="preserve">Adam C. Resnick</w:t>
            </w:r>
          </w:p>
        </w:tc>
        <w:tc>
          <w:tcPr/>
          <w:p>
            <w:pPr>
              <w:pStyle w:val="Compact"/>
              <w:jc w:val="left"/>
            </w:pPr>
            <w:r>
              <w:t xml:space="preserve">Funding acquisition, Resources</w:t>
            </w:r>
          </w:p>
        </w:tc>
      </w:tr>
      <w:tr>
        <w:tc>
          <w:tcPr/>
          <w:p>
            <w:pPr>
              <w:pStyle w:val="Compact"/>
              <w:jc w:val="left"/>
            </w:pPr>
            <w:r>
              <w:t xml:space="preserve">Sarah Tasian</w:t>
            </w:r>
          </w:p>
        </w:tc>
        <w:tc>
          <w:tcPr/>
          <w:p>
            <w:pPr>
              <w:pStyle w:val="Compact"/>
              <w:jc w:val="left"/>
            </w:pPr>
            <w:r>
              <w:t xml:space="preserve">Funding acquisition</w:t>
            </w:r>
          </w:p>
        </w:tc>
      </w:tr>
      <w:tr>
        <w:tc>
          <w:tcPr/>
          <w:p>
            <w:pPr>
              <w:pStyle w:val="Compact"/>
              <w:jc w:val="left"/>
            </w:pPr>
            <w:r>
              <w:t xml:space="preserve">Brian R. Rood</w:t>
            </w:r>
          </w:p>
        </w:tc>
        <w:tc>
          <w:tcPr/>
          <w:p>
            <w:pPr>
              <w:pStyle w:val="Compact"/>
              <w:jc w:val="left"/>
            </w:pPr>
            <w:r>
              <w:t xml:space="preserve">Data Curation</w:t>
            </w:r>
          </w:p>
        </w:tc>
      </w:tr>
      <w:tr>
        <w:tc>
          <w:tcPr/>
          <w:p>
            <w:pPr>
              <w:pStyle w:val="Compact"/>
              <w:jc w:val="left"/>
            </w:pPr>
            <w:r>
              <w:t xml:space="preserve">Carl J. Koschmann</w:t>
            </w:r>
          </w:p>
        </w:tc>
        <w:tc>
          <w:tcPr/>
          <w:p>
            <w:pPr>
              <w:pStyle w:val="Compact"/>
              <w:jc w:val="left"/>
            </w:pPr>
            <w:r>
              <w:t xml:space="preserve">Data Curation</w:t>
            </w:r>
          </w:p>
        </w:tc>
      </w:tr>
      <w:tr>
        <w:tc>
          <w:tcPr/>
          <w:p>
            <w:pPr>
              <w:pStyle w:val="Compact"/>
              <w:jc w:val="left"/>
            </w:pPr>
            <w:r>
              <w:t xml:space="preserve">Kenneth Aldape</w:t>
            </w:r>
          </w:p>
        </w:tc>
        <w:tc>
          <w:tcPr/>
          <w:p>
            <w:pPr>
              <w:pStyle w:val="Compact"/>
              <w:jc w:val="left"/>
            </w:pPr>
            <w:r>
              <w:t xml:space="preserve">Formal Analysis, Investigation, Data curation</w:t>
            </w:r>
          </w:p>
        </w:tc>
      </w:tr>
      <w:tr>
        <w:tc>
          <w:tcPr/>
          <w:p>
            <w:pPr>
              <w:pStyle w:val="Compact"/>
              <w:jc w:val="left"/>
            </w:pPr>
            <w:r>
              <w:t xml:space="preserve">Weiping Ma</w:t>
            </w:r>
          </w:p>
        </w:tc>
        <w:tc>
          <w:tcPr/>
          <w:p>
            <w:pPr>
              <w:pStyle w:val="Compact"/>
              <w:jc w:val="left"/>
            </w:pPr>
            <w:r>
              <w:t xml:space="preserve">Formal Analysis, Investigation, Data curation</w:t>
            </w:r>
          </w:p>
        </w:tc>
      </w:tr>
      <w:tr>
        <w:tc>
          <w:tcPr/>
          <w:p>
            <w:pPr>
              <w:pStyle w:val="Compact"/>
              <w:jc w:val="left"/>
            </w:pPr>
            <w:r>
              <w:t xml:space="preserve">Pei Wang</w:t>
            </w:r>
          </w:p>
        </w:tc>
        <w:tc>
          <w:tcPr/>
          <w:p>
            <w:pPr>
              <w:pStyle w:val="Compact"/>
              <w:jc w:val="left"/>
            </w:pPr>
            <w:r>
              <w:t xml:space="preserve">Formal Analysis, Supervision</w:t>
            </w:r>
          </w:p>
        </w:tc>
      </w:tr>
      <w:tr>
        <w:tc>
          <w:tcPr/>
          <w:p>
            <w:pPr>
              <w:pStyle w:val="Compact"/>
              <w:jc w:val="left"/>
            </w:pPr>
            <w:r>
              <w:t xml:space="preserve">Zied Abdullaev</w:t>
            </w:r>
          </w:p>
        </w:tc>
        <w:tc>
          <w:tcPr/>
          <w:p>
            <w:pPr>
              <w:pStyle w:val="Compact"/>
              <w:jc w:val="left"/>
            </w:pPr>
            <w:r>
              <w:t xml:space="preserve">Formal Analysis, Investigation, Data curation</w:t>
            </w:r>
          </w:p>
        </w:tc>
      </w:tr>
      <w:tr>
        <w:tc>
          <w:tcPr/>
          <w:p>
            <w:pPr>
              <w:pStyle w:val="Compact"/>
              <w:jc w:val="left"/>
            </w:pPr>
            <w:r>
              <w:t xml:space="preserve">Deanne Taylor</w:t>
            </w:r>
          </w:p>
        </w:tc>
        <w:tc>
          <w:tcPr/>
          <w:p>
            <w:pPr>
              <w:pStyle w:val="Compact"/>
              <w:jc w:val="left"/>
            </w:pPr>
            <w:r>
              <w:t xml:space="preserve">Conceptualization, Data curation, Funding acquisition, Investigation, Methodology, Supervision, Project Administration</w:t>
            </w:r>
          </w:p>
        </w:tc>
      </w:tr>
      <w:tr>
        <w:tc>
          <w:tcPr/>
          <w:p>
            <w:pPr>
              <w:pStyle w:val="Compact"/>
              <w:jc w:val="left"/>
            </w:pPr>
            <w:r>
              <w:t xml:space="preserve">Jo Lynne Rokita</w:t>
            </w:r>
          </w:p>
        </w:tc>
        <w:tc>
          <w:tcPr/>
          <w:p>
            <w:pPr>
              <w:pStyle w:val="Compact"/>
              <w:jc w:val="left"/>
            </w:pPr>
            <w:r>
              <w:t xml:space="preserve">Conceptualization, Data curation, Formal analysis, Funding acquisition, Project Administration, Investigation, Methodology, Software, Supervision, Writing – Original draft, Writing - Review and editing</w:t>
            </w:r>
          </w:p>
        </w:tc>
      </w:tr>
    </w:tbl>
    <w:bookmarkEnd w:id="345"/>
    <w:bookmarkStart w:id="346" w:name="declarations-of-interest"/>
    <w:p>
      <w:pPr>
        <w:pStyle w:val="Heading2"/>
      </w:pPr>
      <w:r>
        <w:t xml:space="preserve">Declarations of Interest</w:t>
      </w:r>
    </w:p>
    <w:p>
      <w:pPr>
        <w:pStyle w:val="FirstParagraph"/>
      </w:pPr>
      <w:r>
        <w:t xml:space="preserve">The authors declare no conflicts.</w:t>
      </w:r>
    </w:p>
    <w:bookmarkEnd w:id="346"/>
    <w:bookmarkStart w:id="347" w:name="figure-titles-and-legends"/>
    <w:p>
      <w:pPr>
        <w:pStyle w:val="Heading2"/>
      </w:pPr>
      <w:r>
        <w:t xml:space="preserve">Figure Titles and Legends</w:t>
      </w:r>
    </w:p>
    <w:bookmarkEnd w:id="347"/>
    <w:bookmarkStart w:id="348" w:name="table-titles-and-legends"/>
    <w:p>
      <w:pPr>
        <w:pStyle w:val="Heading2"/>
      </w:pPr>
      <w:r>
        <w:t xml:space="preserve">Table Titles and Legends</w:t>
      </w:r>
    </w:p>
    <w:bookmarkEnd w:id="348"/>
    <w:bookmarkStart w:id="349" w:name="list-of-abbreviations"/>
    <w:p>
      <w:pPr>
        <w:pStyle w:val="Heading2"/>
      </w:pPr>
      <w:r>
        <w:t xml:space="preserve">List of Abbreviations</w:t>
      </w:r>
    </w:p>
    <w:bookmarkEnd w:id="349"/>
    <w:bookmarkStart w:id="350" w:name="X1cddf5a4622206ffc5dcb1185d7c97aa1d32bb6"/>
    <w:p>
      <w:pPr>
        <w:pStyle w:val="Heading2"/>
      </w:pPr>
      <w:r>
        <w:t xml:space="preserve">Supplemental Information Titles and Legends</w:t>
      </w:r>
    </w:p>
    <w:bookmarkEnd w:id="350"/>
    <w:bookmarkStart w:id="486" w:name="references"/>
    <w:p>
      <w:pPr>
        <w:pStyle w:val="Heading2"/>
      </w:pPr>
      <w:r>
        <w:t xml:space="preserve">References</w:t>
      </w:r>
    </w:p>
    <w:bookmarkStart w:id="485" w:name="refs"/>
    <w:bookmarkStart w:id="355" w:name="ref-SDwYl8uA"/>
    <w:p>
      <w:pPr>
        <w:pStyle w:val="Bibliography"/>
      </w:pPr>
      <w:r>
        <w:t xml:space="preserve">1.</w:t>
      </w:r>
      <w:r>
        <w:t xml:space="preserve"> </w:t>
      </w:r>
      <w:r>
        <w:t xml:space="preserve">	</w:t>
      </w:r>
      <w:r>
        <w:rPr>
          <w:bCs/>
          <w:b/>
        </w:rPr>
        <w:t xml:space="preserve">Genomic Profiling of Childhood Tumor Patient-Derived Xenograft Models to Enable Rational Clinical Trial Design</w:t>
      </w:r>
      <w:r>
        <w:t xml:space="preserve"> </w:t>
      </w:r>
      <w:r>
        <w:t xml:space="preserve">Jo Lynne Rokita, Komal S Rathi, Maria F Cardenas, Kristen A Upton, Joy Jayaseelan, Katherine L Cross, Jacob Pfeil, Laura E Egolf, Gregory P Way, Alvin Farrel, … John M Maris</w:t>
      </w:r>
      <w:r>
        <w:t xml:space="preserve"> </w:t>
      </w:r>
      <w:r>
        <w:rPr>
          <w:iCs/>
          <w:i/>
        </w:rPr>
        <w:t xml:space="preserve">Cell Reports</w:t>
      </w:r>
      <w:r>
        <w:t xml:space="preserve"> </w:t>
      </w:r>
      <w:r>
        <w:t xml:space="preserve">(2019-11)</w:t>
      </w:r>
      <w:r>
        <w:t xml:space="preserve"> </w:t>
      </w:r>
      <w:hyperlink r:id="rId351">
        <w:r>
          <w:rPr>
            <w:rStyle w:val="Hyperlink"/>
          </w:rPr>
          <w:t xml:space="preserve">https://doi.org/gg596n</w:t>
        </w:r>
      </w:hyperlink>
      <w:r>
        <w:t xml:space="preserve"> </w:t>
      </w:r>
      <w:r>
        <w:t xml:space="preserve">DOI:</w:t>
      </w:r>
      <w:r>
        <w:t xml:space="preserve"> </w:t>
      </w:r>
      <w:hyperlink r:id="rId352">
        <w:r>
          <w:rPr>
            <w:rStyle w:val="Hyperlink"/>
          </w:rPr>
          <w:t xml:space="preserve">10.1016/j.celrep.2019.09.071</w:t>
        </w:r>
      </w:hyperlink>
      <w:r>
        <w:t xml:space="preserve"> </w:t>
      </w:r>
      <w:r>
        <w:t xml:space="preserve">· PMID:</w:t>
      </w:r>
      <w:r>
        <w:t xml:space="preserve"> </w:t>
      </w:r>
      <w:hyperlink r:id="rId353">
        <w:r>
          <w:rPr>
            <w:rStyle w:val="Hyperlink"/>
          </w:rPr>
          <w:t xml:space="preserve">31693904</w:t>
        </w:r>
      </w:hyperlink>
      <w:r>
        <w:t xml:space="preserve"> </w:t>
      </w:r>
      <w:r>
        <w:t xml:space="preserve">· PMCID:</w:t>
      </w:r>
      <w:r>
        <w:t xml:space="preserve"> </w:t>
      </w:r>
      <w:hyperlink r:id="rId354">
        <w:r>
          <w:rPr>
            <w:rStyle w:val="Hyperlink"/>
          </w:rPr>
          <w:t xml:space="preserve">PMC6880934</w:t>
        </w:r>
      </w:hyperlink>
    </w:p>
    <w:bookmarkEnd w:id="355"/>
    <w:bookmarkStart w:id="357" w:name="ref-ygVj7a6q"/>
    <w:p>
      <w:pPr>
        <w:pStyle w:val="Bibliography"/>
      </w:pPr>
      <w:r>
        <w:t xml:space="preserve">2.</w:t>
      </w:r>
      <w:r>
        <w:t xml:space="preserve"> </w:t>
      </w:r>
      <w:r>
        <w:t xml:space="preserve">	</w:t>
      </w:r>
      <w:r>
        <w:rPr>
          <w:bCs/>
          <w:b/>
        </w:rPr>
        <w:t xml:space="preserve">Michigan Center for Translational Pathology</w:t>
      </w:r>
      <w:r>
        <w:t xml:space="preserve"> </w:t>
      </w:r>
      <w:hyperlink r:id="rId356">
        <w:r>
          <w:rPr>
            <w:rStyle w:val="Hyperlink"/>
          </w:rPr>
          <w:t xml:space="preserve">https://mctp.med.umich.edu</w:t>
        </w:r>
      </w:hyperlink>
    </w:p>
    <w:bookmarkEnd w:id="357"/>
    <w:bookmarkStart w:id="362" w:name="ref-meH98mKZ"/>
    <w:p>
      <w:pPr>
        <w:pStyle w:val="Bibliography"/>
      </w:pPr>
      <w:r>
        <w:t xml:space="preserve">3.</w:t>
      </w:r>
      <w:r>
        <w:t xml:space="preserve"> </w:t>
      </w:r>
      <w:r>
        <w:t xml:space="preserve">	</w:t>
      </w:r>
      <w:r>
        <w:rPr>
          <w:bCs/>
          <w:b/>
        </w:rPr>
        <w:t xml:space="preserve">Integrated Proteogenomic Characterization across Major Histological Types of Pediatric Brain Cancer</w:t>
      </w:r>
      <w:r>
        <w:t xml:space="preserve"> </w:t>
      </w:r>
      <w:r>
        <w:t xml:space="preserve">Francesca Petralia, Nicole Tignor, Boris Reva, Mateusz Koptyra, Shrabanti Chowdhury, Dmitry Rykunov, Azra Krek, Weiping Ma, Yuankun Zhu, Jiayi Ji, … William E Bocik</w:t>
      </w:r>
      <w:r>
        <w:t xml:space="preserve"> </w:t>
      </w:r>
      <w:r>
        <w:rPr>
          <w:iCs/>
          <w:i/>
        </w:rPr>
        <w:t xml:space="preserve">Cell</w:t>
      </w:r>
      <w:r>
        <w:t xml:space="preserve"> </w:t>
      </w:r>
      <w:r>
        <w:t xml:space="preserve">(2020-12)</w:t>
      </w:r>
      <w:r>
        <w:t xml:space="preserve"> </w:t>
      </w:r>
      <w:hyperlink r:id="rId358">
        <w:r>
          <w:rPr>
            <w:rStyle w:val="Hyperlink"/>
          </w:rPr>
          <w:t xml:space="preserve">https://doi.org/ghqjkz</w:t>
        </w:r>
      </w:hyperlink>
      <w:r>
        <w:t xml:space="preserve"> </w:t>
      </w:r>
      <w:r>
        <w:t xml:space="preserve">DOI:</w:t>
      </w:r>
      <w:r>
        <w:t xml:space="preserve"> </w:t>
      </w:r>
      <w:hyperlink r:id="rId359">
        <w:r>
          <w:rPr>
            <w:rStyle w:val="Hyperlink"/>
          </w:rPr>
          <w:t xml:space="preserve">10.1016/j.cell.2020.10.044</w:t>
        </w:r>
      </w:hyperlink>
      <w:r>
        <w:t xml:space="preserve"> </w:t>
      </w:r>
      <w:r>
        <w:t xml:space="preserve">· PMID:</w:t>
      </w:r>
      <w:r>
        <w:t xml:space="preserve"> </w:t>
      </w:r>
      <w:hyperlink r:id="rId360">
        <w:r>
          <w:rPr>
            <w:rStyle w:val="Hyperlink"/>
          </w:rPr>
          <w:t xml:space="preserve">33242424</w:t>
        </w:r>
      </w:hyperlink>
      <w:r>
        <w:t xml:space="preserve"> </w:t>
      </w:r>
      <w:r>
        <w:t xml:space="preserve">· PMCID:</w:t>
      </w:r>
      <w:r>
        <w:t xml:space="preserve"> </w:t>
      </w:r>
      <w:hyperlink r:id="rId361">
        <w:r>
          <w:rPr>
            <w:rStyle w:val="Hyperlink"/>
          </w:rPr>
          <w:t xml:space="preserve">PMC8143193</w:t>
        </w:r>
      </w:hyperlink>
    </w:p>
    <w:bookmarkEnd w:id="362"/>
    <w:bookmarkStart w:id="367" w:name="ref-XOVss5Jf"/>
    <w:p>
      <w:pPr>
        <w:pStyle w:val="Bibliography"/>
      </w:pPr>
      <w:r>
        <w:t xml:space="preserve">4.</w:t>
      </w:r>
      <w:r>
        <w:t xml:space="preserve"> </w:t>
      </w:r>
      <w:r>
        <w:t xml:space="preserve">	</w:t>
      </w:r>
      <w:r>
        <w:rPr>
          <w:bCs/>
          <w:b/>
        </w:rPr>
        <w:t xml:space="preserve">Proteogenomic and metabolomic characterization of human glioblastoma</w:t>
      </w:r>
      <w:r>
        <w:t xml:space="preserve"> </w:t>
      </w:r>
      <w:r>
        <w:t xml:space="preserve">Liang-Bo Wang, Alla Karpova, Marina A Gritsenko, Jennifer E Kyle, Song Cao, Yize Li, Dmitry Rykunov, Antonio Colaprico, Joseph H Rothstein, Runyu Hong, … Jun Zhu</w:t>
      </w:r>
      <w:r>
        <w:t xml:space="preserve"> </w:t>
      </w:r>
      <w:r>
        <w:rPr>
          <w:iCs/>
          <w:i/>
        </w:rPr>
        <w:t xml:space="preserve">Cancer Cell</w:t>
      </w:r>
      <w:r>
        <w:t xml:space="preserve"> </w:t>
      </w:r>
      <w:r>
        <w:t xml:space="preserve">(2021-04)</w:t>
      </w:r>
      <w:r>
        <w:t xml:space="preserve"> </w:t>
      </w:r>
      <w:hyperlink r:id="rId363">
        <w:r>
          <w:rPr>
            <w:rStyle w:val="Hyperlink"/>
          </w:rPr>
          <w:t xml:space="preserve">https://doi.org/gh7whf</w:t>
        </w:r>
      </w:hyperlink>
      <w:r>
        <w:t xml:space="preserve"> </w:t>
      </w:r>
      <w:r>
        <w:t xml:space="preserve">DOI:</w:t>
      </w:r>
      <w:r>
        <w:t xml:space="preserve"> </w:t>
      </w:r>
      <w:hyperlink r:id="rId364">
        <w:r>
          <w:rPr>
            <w:rStyle w:val="Hyperlink"/>
          </w:rPr>
          <w:t xml:space="preserve">10.1016/j.ccell.2021.01.006</w:t>
        </w:r>
      </w:hyperlink>
      <w:r>
        <w:t xml:space="preserve"> </w:t>
      </w:r>
      <w:r>
        <w:t xml:space="preserve">· PMID:</w:t>
      </w:r>
      <w:r>
        <w:t xml:space="preserve"> </w:t>
      </w:r>
      <w:hyperlink r:id="rId365">
        <w:r>
          <w:rPr>
            <w:rStyle w:val="Hyperlink"/>
          </w:rPr>
          <w:t xml:space="preserve">33577785</w:t>
        </w:r>
      </w:hyperlink>
      <w:r>
        <w:t xml:space="preserve"> </w:t>
      </w:r>
      <w:r>
        <w:t xml:space="preserve">· PMCID:</w:t>
      </w:r>
      <w:r>
        <w:t xml:space="preserve"> </w:t>
      </w:r>
      <w:hyperlink r:id="rId366">
        <w:r>
          <w:rPr>
            <w:rStyle w:val="Hyperlink"/>
          </w:rPr>
          <w:t xml:space="preserve">PMC8044053</w:t>
        </w:r>
      </w:hyperlink>
    </w:p>
    <w:bookmarkEnd w:id="367"/>
    <w:bookmarkStart w:id="372" w:name="ref-5VXMHJ7N"/>
    <w:p>
      <w:pPr>
        <w:pStyle w:val="Bibliography"/>
      </w:pPr>
      <w:r>
        <w:t xml:space="preserve">5.</w:t>
      </w:r>
      <w:r>
        <w:t xml:space="preserve"> </w:t>
      </w:r>
      <w:r>
        <w:t xml:space="preserve">	</w:t>
      </w:r>
      <w:r>
        <w:rPr>
          <w:bCs/>
          <w:b/>
        </w:rPr>
        <w:t xml:space="preserve">OpenPBTA: The Open Pediatric Brain Tumor Atlas</w:t>
      </w:r>
      <w:r>
        <w:t xml:space="preserve"> </w:t>
      </w:r>
      <w:r>
        <w:t xml:space="preserve">Joshua A Shapiro, Krutika S Gaonkar, Stephanie J Spielman, Candace L Savonen, Chante J Bethell, Run Jin, Komal S Rathi, Yuankun Zhu, Laura E Egolf, Bailey K Farrow, … Jaclyn N Taroni</w:t>
      </w:r>
      <w:r>
        <w:t xml:space="preserve"> </w:t>
      </w:r>
      <w:r>
        <w:rPr>
          <w:iCs/>
          <w:i/>
        </w:rPr>
        <w:t xml:space="preserve">Cell Genomics</w:t>
      </w:r>
      <w:r>
        <w:t xml:space="preserve"> </w:t>
      </w:r>
      <w:r>
        <w:t xml:space="preserve">(2023-07)</w:t>
      </w:r>
      <w:r>
        <w:t xml:space="preserve"> </w:t>
      </w:r>
      <w:hyperlink r:id="rId368">
        <w:r>
          <w:rPr>
            <w:rStyle w:val="Hyperlink"/>
          </w:rPr>
          <w:t xml:space="preserve">https://doi.org/gr92p6</w:t>
        </w:r>
      </w:hyperlink>
      <w:r>
        <w:t xml:space="preserve"> </w:t>
      </w:r>
      <w:r>
        <w:t xml:space="preserve">DOI:</w:t>
      </w:r>
      <w:r>
        <w:t xml:space="preserve"> </w:t>
      </w:r>
      <w:hyperlink r:id="rId369">
        <w:r>
          <w:rPr>
            <w:rStyle w:val="Hyperlink"/>
          </w:rPr>
          <w:t xml:space="preserve">10.1016/j.xgen.2023.100340</w:t>
        </w:r>
      </w:hyperlink>
      <w:r>
        <w:t xml:space="preserve"> </w:t>
      </w:r>
      <w:r>
        <w:t xml:space="preserve">· PMID:</w:t>
      </w:r>
      <w:r>
        <w:t xml:space="preserve"> </w:t>
      </w:r>
      <w:hyperlink r:id="rId370">
        <w:r>
          <w:rPr>
            <w:rStyle w:val="Hyperlink"/>
          </w:rPr>
          <w:t xml:space="preserve">37492101</w:t>
        </w:r>
      </w:hyperlink>
      <w:r>
        <w:t xml:space="preserve"> </w:t>
      </w:r>
      <w:r>
        <w:t xml:space="preserve">· PMCID:</w:t>
      </w:r>
      <w:r>
        <w:t xml:space="preserve"> </w:t>
      </w:r>
      <w:hyperlink r:id="rId371">
        <w:r>
          <w:rPr>
            <w:rStyle w:val="Hyperlink"/>
          </w:rPr>
          <w:t xml:space="preserve">PMC10363844</w:t>
        </w:r>
      </w:hyperlink>
    </w:p>
    <w:bookmarkEnd w:id="372"/>
    <w:bookmarkStart w:id="377" w:name="ref-eoDdE9oT"/>
    <w:p>
      <w:pPr>
        <w:pStyle w:val="Bibliography"/>
      </w:pPr>
      <w:r>
        <w:t xml:space="preserve">6.</w:t>
      </w:r>
      <w:r>
        <w:t xml:space="preserve"> </w:t>
      </w:r>
      <w:r>
        <w:t xml:space="preserve">	</w:t>
      </w:r>
      <w:r>
        <w:rPr>
          <w:bCs/>
          <w:b/>
        </w:rPr>
        <w:t xml:space="preserve">Somalier: rapid relatedness estimation for cancer and germline studies using efficient genome sketches</w:t>
      </w:r>
      <w:r>
        <w:t xml:space="preserve"> </w:t>
      </w:r>
      <w:r>
        <w:t xml:space="preserve">Brent S Pedersen, Preetida J Bhetariya, Joe Brown, Stephanie N Kravitz, Gabor Marth, Randy L Jensen, Mary P Bronner, Hunter R Underhill, Aaron R Quinlan</w:t>
      </w:r>
      <w:r>
        <w:t xml:space="preserve"> </w:t>
      </w:r>
      <w:r>
        <w:rPr>
          <w:iCs/>
          <w:i/>
        </w:rPr>
        <w:t xml:space="preserve">Genome Medicine</w:t>
      </w:r>
      <w:r>
        <w:t xml:space="preserve"> </w:t>
      </w:r>
      <w:r>
        <w:t xml:space="preserve">(2020-07-14)</w:t>
      </w:r>
      <w:r>
        <w:t xml:space="preserve"> </w:t>
      </w:r>
      <w:hyperlink r:id="rId373">
        <w:r>
          <w:rPr>
            <w:rStyle w:val="Hyperlink"/>
          </w:rPr>
          <w:t xml:space="preserve">https://doi.org/gtsm62</w:t>
        </w:r>
      </w:hyperlink>
      <w:r>
        <w:t xml:space="preserve"> </w:t>
      </w:r>
      <w:r>
        <w:t xml:space="preserve">DOI:</w:t>
      </w:r>
      <w:r>
        <w:t xml:space="preserve"> </w:t>
      </w:r>
      <w:hyperlink r:id="rId374">
        <w:r>
          <w:rPr>
            <w:rStyle w:val="Hyperlink"/>
          </w:rPr>
          <w:t xml:space="preserve">10.1186/s13073-020-00761-2</w:t>
        </w:r>
      </w:hyperlink>
      <w:r>
        <w:t xml:space="preserve"> </w:t>
      </w:r>
      <w:r>
        <w:t xml:space="preserve">· PMID:</w:t>
      </w:r>
      <w:r>
        <w:t xml:space="preserve"> </w:t>
      </w:r>
      <w:hyperlink r:id="rId375">
        <w:r>
          <w:rPr>
            <w:rStyle w:val="Hyperlink"/>
          </w:rPr>
          <w:t xml:space="preserve">32664994</w:t>
        </w:r>
      </w:hyperlink>
      <w:r>
        <w:t xml:space="preserve"> </w:t>
      </w:r>
      <w:r>
        <w:t xml:space="preserve">· PMCID:</w:t>
      </w:r>
      <w:r>
        <w:t xml:space="preserve"> </w:t>
      </w:r>
      <w:hyperlink r:id="rId376">
        <w:r>
          <w:rPr>
            <w:rStyle w:val="Hyperlink"/>
          </w:rPr>
          <w:t xml:space="preserve">PMC7362544</w:t>
        </w:r>
      </w:hyperlink>
    </w:p>
    <w:bookmarkEnd w:id="377"/>
    <w:bookmarkStart w:id="382" w:name="ref-p1f5DxRQ"/>
    <w:p>
      <w:pPr>
        <w:pStyle w:val="Bibliography"/>
      </w:pPr>
      <w:r>
        <w:t xml:space="preserve">7.</w:t>
      </w:r>
      <w:r>
        <w:t xml:space="preserve"> </w:t>
      </w:r>
      <w:r>
        <w:t xml:space="preserve">	</w:t>
      </w:r>
      <w:r>
        <w:rPr>
          <w:bCs/>
          <w:b/>
        </w:rPr>
        <w:t xml:space="preserve">The Ensembl Variant Effect Predictor</w:t>
      </w:r>
      <w:r>
        <w:t xml:space="preserve"> </w:t>
      </w:r>
      <w:r>
        <w:t xml:space="preserve">William McLaren, Laurent Gil, Sarah E Hunt, Harpreet Singh Riat, Graham RS Ritchie, Anja Thormann, Paul Flicek, Fiona Cunningham</w:t>
      </w:r>
      <w:r>
        <w:t xml:space="preserve"> </w:t>
      </w:r>
      <w:r>
        <w:rPr>
          <w:iCs/>
          <w:i/>
        </w:rPr>
        <w:t xml:space="preserve">Genome Biology</w:t>
      </w:r>
      <w:r>
        <w:t xml:space="preserve"> </w:t>
      </w:r>
      <w:r>
        <w:t xml:space="preserve">(2016-06-06)</w:t>
      </w:r>
      <w:r>
        <w:t xml:space="preserve"> </w:t>
      </w:r>
      <w:hyperlink r:id="rId378">
        <w:r>
          <w:rPr>
            <w:rStyle w:val="Hyperlink"/>
          </w:rPr>
          <w:t xml:space="preserve">https://doi.org/gdz75c</w:t>
        </w:r>
      </w:hyperlink>
      <w:r>
        <w:t xml:space="preserve"> </w:t>
      </w:r>
      <w:r>
        <w:t xml:space="preserve">DOI:</w:t>
      </w:r>
      <w:r>
        <w:t xml:space="preserve"> </w:t>
      </w:r>
      <w:hyperlink r:id="rId379">
        <w:r>
          <w:rPr>
            <w:rStyle w:val="Hyperlink"/>
          </w:rPr>
          <w:t xml:space="preserve">10.1186/s13059-016-0974-4</w:t>
        </w:r>
      </w:hyperlink>
      <w:r>
        <w:t xml:space="preserve"> </w:t>
      </w:r>
      <w:r>
        <w:t xml:space="preserve">· PMID:</w:t>
      </w:r>
      <w:r>
        <w:t xml:space="preserve"> </w:t>
      </w:r>
      <w:hyperlink r:id="rId380">
        <w:r>
          <w:rPr>
            <w:rStyle w:val="Hyperlink"/>
          </w:rPr>
          <w:t xml:space="preserve">27268795</w:t>
        </w:r>
      </w:hyperlink>
      <w:r>
        <w:t xml:space="preserve"> </w:t>
      </w:r>
      <w:r>
        <w:t xml:space="preserve">· PMCID:</w:t>
      </w:r>
      <w:r>
        <w:t xml:space="preserve"> </w:t>
      </w:r>
      <w:hyperlink r:id="rId381">
        <w:r>
          <w:rPr>
            <w:rStyle w:val="Hyperlink"/>
          </w:rPr>
          <w:t xml:space="preserve">PMC4893825</w:t>
        </w:r>
      </w:hyperlink>
    </w:p>
    <w:bookmarkEnd w:id="382"/>
    <w:bookmarkStart w:id="386" w:name="ref-REfkDUtE"/>
    <w:p>
      <w:pPr>
        <w:pStyle w:val="Bibliography"/>
      </w:pPr>
      <w:r>
        <w:t xml:space="preserve">8.</w:t>
      </w:r>
      <w:r>
        <w:t xml:space="preserve"> </w:t>
      </w:r>
      <w:r>
        <w:t xml:space="preserve">	</w:t>
      </w:r>
      <w:r>
        <w:rPr>
          <w:bCs/>
          <w:b/>
        </w:rPr>
        <w:t xml:space="preserve">Strelka2: fast and accurate calling of germline and somatic variants</w:t>
      </w:r>
      <w:r>
        <w:t xml:space="preserve"> </w:t>
      </w:r>
      <w:r>
        <w:t xml:space="preserve">Sangtae Kim, Konrad Scheffler, Aaron L Halpern, Mitchell A Bekritsky, Eunho Noh, Morten Källberg, Xiaoyu Chen, Yeonbin Kim, Doruk Beyter, Peter Krusche, Christopher T Saunders</w:t>
      </w:r>
      <w:r>
        <w:t xml:space="preserve"> </w:t>
      </w:r>
      <w:r>
        <w:rPr>
          <w:iCs/>
          <w:i/>
        </w:rPr>
        <w:t xml:space="preserve">Nature Methods</w:t>
      </w:r>
      <w:r>
        <w:t xml:space="preserve"> </w:t>
      </w:r>
      <w:r>
        <w:t xml:space="preserve">(2018-07-16)</w:t>
      </w:r>
      <w:r>
        <w:t xml:space="preserve"> </w:t>
      </w:r>
      <w:hyperlink r:id="rId383">
        <w:r>
          <w:rPr>
            <w:rStyle w:val="Hyperlink"/>
          </w:rPr>
          <w:t xml:space="preserve">https://doi.org/gdwrp4</w:t>
        </w:r>
      </w:hyperlink>
      <w:r>
        <w:t xml:space="preserve"> </w:t>
      </w:r>
      <w:r>
        <w:t xml:space="preserve">DOI:</w:t>
      </w:r>
      <w:r>
        <w:t xml:space="preserve"> </w:t>
      </w:r>
      <w:hyperlink r:id="rId384">
        <w:r>
          <w:rPr>
            <w:rStyle w:val="Hyperlink"/>
          </w:rPr>
          <w:t xml:space="preserve">10.1038/s41592-018-0051-x</w:t>
        </w:r>
      </w:hyperlink>
      <w:r>
        <w:t xml:space="preserve"> </w:t>
      </w:r>
      <w:r>
        <w:t xml:space="preserve">· PMID:</w:t>
      </w:r>
      <w:r>
        <w:t xml:space="preserve"> </w:t>
      </w:r>
      <w:hyperlink r:id="rId385">
        <w:r>
          <w:rPr>
            <w:rStyle w:val="Hyperlink"/>
          </w:rPr>
          <w:t xml:space="preserve">30013048</w:t>
        </w:r>
      </w:hyperlink>
    </w:p>
    <w:bookmarkEnd w:id="386"/>
    <w:bookmarkStart w:id="389" w:name="ref-149BEKISi"/>
    <w:p>
      <w:pPr>
        <w:pStyle w:val="Bibliography"/>
      </w:pPr>
      <w:r>
        <w:t xml:space="preserve">9.</w:t>
      </w:r>
      <w:r>
        <w:t xml:space="preserve"> </w:t>
      </w:r>
      <w:r>
        <w:t xml:space="preserve">	</w:t>
      </w:r>
      <w:r>
        <w:rPr>
          <w:bCs/>
          <w:b/>
        </w:rPr>
        <w:t xml:space="preserve">Calling Somatic SNVs and Indels with Mutect2</w:t>
      </w:r>
      <w:r>
        <w:t xml:space="preserve"> </w:t>
      </w:r>
      <w:r>
        <w:t xml:space="preserve">David Benjamin, Takuto Sato, Kristian Cibulskis, Gad Getz, Chip Stewart, Lee Lichtenstein</w:t>
      </w:r>
      <w:r>
        <w:t xml:space="preserve"> </w:t>
      </w:r>
      <w:r>
        <w:rPr>
          <w:iCs/>
          <w:i/>
        </w:rPr>
        <w:t xml:space="preserve">Cold Spring Harbor Laboratory</w:t>
      </w:r>
      <w:r>
        <w:t xml:space="preserve"> </w:t>
      </w:r>
      <w:r>
        <w:t xml:space="preserve">(2019-12-02)</w:t>
      </w:r>
      <w:r>
        <w:t xml:space="preserve"> </w:t>
      </w:r>
      <w:hyperlink r:id="rId387">
        <w:r>
          <w:rPr>
            <w:rStyle w:val="Hyperlink"/>
          </w:rPr>
          <w:t xml:space="preserve">https://doi.org/ggntwv</w:t>
        </w:r>
      </w:hyperlink>
      <w:r>
        <w:t xml:space="preserve"> </w:t>
      </w:r>
      <w:r>
        <w:t xml:space="preserve">DOI:</w:t>
      </w:r>
      <w:r>
        <w:t xml:space="preserve"> </w:t>
      </w:r>
      <w:hyperlink r:id="rId388">
        <w:r>
          <w:rPr>
            <w:rStyle w:val="Hyperlink"/>
          </w:rPr>
          <w:t xml:space="preserve">10.1101/861054</w:t>
        </w:r>
      </w:hyperlink>
    </w:p>
    <w:bookmarkEnd w:id="389"/>
    <w:bookmarkStart w:id="394" w:name="ref-V6KdWVYi"/>
    <w:p>
      <w:pPr>
        <w:pStyle w:val="Bibliography"/>
      </w:pPr>
      <w:r>
        <w:t xml:space="preserve">10.</w:t>
      </w:r>
      <w:r>
        <w:t xml:space="preserve"> </w:t>
      </w:r>
      <w:r>
        <w:t xml:space="preserve">	</w:t>
      </w:r>
      <w:r>
        <w:rPr>
          <w:bCs/>
          <w:b/>
        </w:rPr>
        <w:t xml:space="preserve">Genome-wide somatic variant calling using localized colored de Bruijn graphs</w:t>
      </w:r>
      <w:r>
        <w:t xml:space="preserve"> </w:t>
      </w:r>
      <w:r>
        <w:t xml:space="preserve">Giuseppe Narzisi, André Corvelo, Kanika Arora, Ewa A Bergmann, Minita Shah, Rajeeva Musunuri, Anne-Katrin Emde, Nicolas Robine, Vladimir Vacic, Michael C Zody</w:t>
      </w:r>
      <w:r>
        <w:t xml:space="preserve"> </w:t>
      </w:r>
      <w:r>
        <w:rPr>
          <w:iCs/>
          <w:i/>
        </w:rPr>
        <w:t xml:space="preserve">Communications Biology</w:t>
      </w:r>
      <w:r>
        <w:t xml:space="preserve"> </w:t>
      </w:r>
      <w:r>
        <w:t xml:space="preserve">(2018-03-22)</w:t>
      </w:r>
      <w:r>
        <w:t xml:space="preserve"> </w:t>
      </w:r>
      <w:hyperlink r:id="rId390">
        <w:r>
          <w:rPr>
            <w:rStyle w:val="Hyperlink"/>
          </w:rPr>
          <w:t xml:space="preserve">https://doi.org/gfcfr8</w:t>
        </w:r>
      </w:hyperlink>
      <w:r>
        <w:t xml:space="preserve"> </w:t>
      </w:r>
      <w:r>
        <w:t xml:space="preserve">DOI:</w:t>
      </w:r>
      <w:r>
        <w:t xml:space="preserve"> </w:t>
      </w:r>
      <w:hyperlink r:id="rId391">
        <w:r>
          <w:rPr>
            <w:rStyle w:val="Hyperlink"/>
          </w:rPr>
          <w:t xml:space="preserve">10.1038/s42003-018-0023-9</w:t>
        </w:r>
      </w:hyperlink>
      <w:r>
        <w:t xml:space="preserve"> </w:t>
      </w:r>
      <w:r>
        <w:t xml:space="preserve">· PMID:</w:t>
      </w:r>
      <w:r>
        <w:t xml:space="preserve"> </w:t>
      </w:r>
      <w:hyperlink r:id="rId392">
        <w:r>
          <w:rPr>
            <w:rStyle w:val="Hyperlink"/>
          </w:rPr>
          <w:t xml:space="preserve">30271907</w:t>
        </w:r>
      </w:hyperlink>
      <w:r>
        <w:t xml:space="preserve"> </w:t>
      </w:r>
      <w:r>
        <w:t xml:space="preserve">· PMCID:</w:t>
      </w:r>
      <w:r>
        <w:t xml:space="preserve"> </w:t>
      </w:r>
      <w:hyperlink r:id="rId393">
        <w:r>
          <w:rPr>
            <w:rStyle w:val="Hyperlink"/>
          </w:rPr>
          <w:t xml:space="preserve">PMC6123722</w:t>
        </w:r>
      </w:hyperlink>
    </w:p>
    <w:bookmarkEnd w:id="394"/>
    <w:bookmarkStart w:id="399" w:name="ref-ZQ0L3o1q"/>
    <w:p>
      <w:pPr>
        <w:pStyle w:val="Bibliography"/>
      </w:pPr>
      <w:r>
        <w:t xml:space="preserve">11.</w:t>
      </w:r>
      <w:r>
        <w:t xml:space="preserve"> </w:t>
      </w:r>
      <w:r>
        <w:t xml:space="preserve">	</w:t>
      </w:r>
      <w:r>
        <w:rPr>
          <w:bCs/>
          <w:b/>
        </w:rPr>
        <w:t xml:space="preserve">Control-FREEC: a tool for assessing copy number and allelic content using next-generation sequencing data</w:t>
      </w:r>
      <w:r>
        <w:t xml:space="preserve"> </w:t>
      </w:r>
      <w:r>
        <w:t xml:space="preserve">Valentina Boeva, Tatiana Popova, Kevin Bleakley, Pierre Chiche, Julie Cappo, Gudrun Schleiermacher, Isabelle Janoueix-Lerosey, Olivier Delattre, Emmanuel Barillot</w:t>
      </w:r>
      <w:r>
        <w:t xml:space="preserve"> </w:t>
      </w:r>
      <w:r>
        <w:rPr>
          <w:iCs/>
          <w:i/>
        </w:rPr>
        <w:t xml:space="preserve">Bioinformatics</w:t>
      </w:r>
      <w:r>
        <w:t xml:space="preserve"> </w:t>
      </w:r>
      <w:r>
        <w:t xml:space="preserve">(2011-12-06)</w:t>
      </w:r>
      <w:r>
        <w:t xml:space="preserve"> </w:t>
      </w:r>
      <w:hyperlink r:id="rId395">
        <w:r>
          <w:rPr>
            <w:rStyle w:val="Hyperlink"/>
          </w:rPr>
          <w:t xml:space="preserve">https://doi.org/ckt4vz</w:t>
        </w:r>
      </w:hyperlink>
      <w:r>
        <w:t xml:space="preserve"> </w:t>
      </w:r>
      <w:r>
        <w:t xml:space="preserve">DOI:</w:t>
      </w:r>
      <w:r>
        <w:t xml:space="preserve"> </w:t>
      </w:r>
      <w:hyperlink r:id="rId396">
        <w:r>
          <w:rPr>
            <w:rStyle w:val="Hyperlink"/>
          </w:rPr>
          <w:t xml:space="preserve">10.1093/bioinformatics/btr670</w:t>
        </w:r>
      </w:hyperlink>
      <w:r>
        <w:t xml:space="preserve"> </w:t>
      </w:r>
      <w:r>
        <w:t xml:space="preserve">· PMID:</w:t>
      </w:r>
      <w:r>
        <w:t xml:space="preserve"> </w:t>
      </w:r>
      <w:hyperlink r:id="rId397">
        <w:r>
          <w:rPr>
            <w:rStyle w:val="Hyperlink"/>
          </w:rPr>
          <w:t xml:space="preserve">22155870</w:t>
        </w:r>
      </w:hyperlink>
      <w:r>
        <w:t xml:space="preserve"> </w:t>
      </w:r>
      <w:r>
        <w:t xml:space="preserve">· PMCID:</w:t>
      </w:r>
      <w:r>
        <w:t xml:space="preserve"> </w:t>
      </w:r>
      <w:hyperlink r:id="rId398">
        <w:r>
          <w:rPr>
            <w:rStyle w:val="Hyperlink"/>
          </w:rPr>
          <w:t xml:space="preserve">PMC3268243</w:t>
        </w:r>
      </w:hyperlink>
    </w:p>
    <w:bookmarkEnd w:id="399"/>
    <w:bookmarkStart w:id="404" w:name="ref-1F3i4BvCt"/>
    <w:p>
      <w:pPr>
        <w:pStyle w:val="Bibliography"/>
      </w:pPr>
      <w:r>
        <w:t xml:space="preserve">12.</w:t>
      </w:r>
      <w:r>
        <w:t xml:space="preserve"> </w:t>
      </w:r>
      <w:r>
        <w:t xml:space="preserve">	</w:t>
      </w:r>
      <w:r>
        <w:rPr>
          <w:bCs/>
          <w:b/>
        </w:rPr>
        <w:t xml:space="preserve">Control-free calling of copy number alterations in deep-sequencing data using GC-content normalization</w:t>
      </w:r>
      <w:r>
        <w:t xml:space="preserve"> </w:t>
      </w:r>
      <w:r>
        <w:t xml:space="preserve">Valentina Boeva, Andrei Zinovyev, Kevin Bleakley, Jean-Philippe Vert, Isabelle Janoueix-Lerosey, Olivier Delattre, Emmanuel Barillot</w:t>
      </w:r>
      <w:r>
        <w:t xml:space="preserve"> </w:t>
      </w:r>
      <w:r>
        <w:rPr>
          <w:iCs/>
          <w:i/>
        </w:rPr>
        <w:t xml:space="preserve">Bioinformatics</w:t>
      </w:r>
      <w:r>
        <w:t xml:space="preserve"> </w:t>
      </w:r>
      <w:r>
        <w:t xml:space="preserve">(2010-11-15)</w:t>
      </w:r>
      <w:r>
        <w:t xml:space="preserve"> </w:t>
      </w:r>
      <w:hyperlink r:id="rId400">
        <w:r>
          <w:rPr>
            <w:rStyle w:val="Hyperlink"/>
          </w:rPr>
          <w:t xml:space="preserve">https://doi.org/c6bcps</w:t>
        </w:r>
      </w:hyperlink>
      <w:r>
        <w:t xml:space="preserve"> </w:t>
      </w:r>
      <w:r>
        <w:t xml:space="preserve">DOI:</w:t>
      </w:r>
      <w:r>
        <w:t xml:space="preserve"> </w:t>
      </w:r>
      <w:hyperlink r:id="rId401">
        <w:r>
          <w:rPr>
            <w:rStyle w:val="Hyperlink"/>
          </w:rPr>
          <w:t xml:space="preserve">10.1093/bioinformatics/btq635</w:t>
        </w:r>
      </w:hyperlink>
      <w:r>
        <w:t xml:space="preserve"> </w:t>
      </w:r>
      <w:r>
        <w:t xml:space="preserve">· PMID:</w:t>
      </w:r>
      <w:r>
        <w:t xml:space="preserve"> </w:t>
      </w:r>
      <w:hyperlink r:id="rId402">
        <w:r>
          <w:rPr>
            <w:rStyle w:val="Hyperlink"/>
          </w:rPr>
          <w:t xml:space="preserve">21081509</w:t>
        </w:r>
      </w:hyperlink>
      <w:r>
        <w:t xml:space="preserve"> </w:t>
      </w:r>
      <w:r>
        <w:t xml:space="preserve">· PMCID:</w:t>
      </w:r>
      <w:r>
        <w:t xml:space="preserve"> </w:t>
      </w:r>
      <w:hyperlink r:id="rId403">
        <w:r>
          <w:rPr>
            <w:rStyle w:val="Hyperlink"/>
          </w:rPr>
          <w:t xml:space="preserve">PMC3018818</w:t>
        </w:r>
      </w:hyperlink>
    </w:p>
    <w:bookmarkEnd w:id="404"/>
    <w:bookmarkStart w:id="409" w:name="ref-UTxRcYIQ"/>
    <w:p>
      <w:pPr>
        <w:pStyle w:val="Bibliography"/>
      </w:pPr>
      <w:r>
        <w:t xml:space="preserve">13.</w:t>
      </w:r>
      <w:r>
        <w:t xml:space="preserve"> </w:t>
      </w:r>
      <w:r>
        <w:t xml:space="preserve">	</w:t>
      </w:r>
      <w:r>
        <w:rPr>
          <w:bCs/>
          <w:b/>
        </w:rPr>
        <w:t xml:space="preserve">CNVkit: Genome-Wide Copy Number Detection and Visualization from Targeted DNA Sequencing</w:t>
      </w:r>
      <w:r>
        <w:t xml:space="preserve"> </w:t>
      </w:r>
      <w:r>
        <w:t xml:space="preserve">Eric Talevich, AHunter Shain, Thomas Botton, Boris C Bastian</w:t>
      </w:r>
      <w:r>
        <w:t xml:space="preserve"> </w:t>
      </w:r>
      <w:r>
        <w:rPr>
          <w:iCs/>
          <w:i/>
        </w:rPr>
        <w:t xml:space="preserve">PLOS Computational Biology</w:t>
      </w:r>
      <w:r>
        <w:t xml:space="preserve"> </w:t>
      </w:r>
      <w:r>
        <w:t xml:space="preserve">(2016-04-21)</w:t>
      </w:r>
      <w:r>
        <w:t xml:space="preserve"> </w:t>
      </w:r>
      <w:hyperlink r:id="rId405">
        <w:r>
          <w:rPr>
            <w:rStyle w:val="Hyperlink"/>
          </w:rPr>
          <w:t xml:space="preserve">https://doi.org/c9pd</w:t>
        </w:r>
      </w:hyperlink>
      <w:r>
        <w:t xml:space="preserve"> </w:t>
      </w:r>
      <w:r>
        <w:t xml:space="preserve">DOI:</w:t>
      </w:r>
      <w:r>
        <w:t xml:space="preserve"> </w:t>
      </w:r>
      <w:hyperlink r:id="rId406">
        <w:r>
          <w:rPr>
            <w:rStyle w:val="Hyperlink"/>
          </w:rPr>
          <w:t xml:space="preserve">10.1371/journal.pcbi.1004873</w:t>
        </w:r>
      </w:hyperlink>
      <w:r>
        <w:t xml:space="preserve"> </w:t>
      </w:r>
      <w:r>
        <w:t xml:space="preserve">· PMID:</w:t>
      </w:r>
      <w:r>
        <w:t xml:space="preserve"> </w:t>
      </w:r>
      <w:hyperlink r:id="rId407">
        <w:r>
          <w:rPr>
            <w:rStyle w:val="Hyperlink"/>
          </w:rPr>
          <w:t xml:space="preserve">27100738</w:t>
        </w:r>
      </w:hyperlink>
      <w:r>
        <w:t xml:space="preserve"> </w:t>
      </w:r>
      <w:r>
        <w:t xml:space="preserve">· PMCID:</w:t>
      </w:r>
      <w:r>
        <w:t xml:space="preserve"> </w:t>
      </w:r>
      <w:hyperlink r:id="rId408">
        <w:r>
          <w:rPr>
            <w:rStyle w:val="Hyperlink"/>
          </w:rPr>
          <w:t xml:space="preserve">PMC4839673</w:t>
        </w:r>
      </w:hyperlink>
    </w:p>
    <w:bookmarkEnd w:id="409"/>
    <w:bookmarkStart w:id="414" w:name="ref-14nSa8zB9"/>
    <w:p>
      <w:pPr>
        <w:pStyle w:val="Bibliography"/>
      </w:pPr>
      <w:r>
        <w:t xml:space="preserve">14.</w:t>
      </w:r>
      <w:r>
        <w:t xml:space="preserve"> </w:t>
      </w:r>
      <w:r>
        <w:t xml:space="preserve">	</w:t>
      </w:r>
      <w:r>
        <w:rPr>
          <w:bCs/>
          <w:b/>
        </w:rPr>
        <w:t xml:space="preserve">The Genome Analysis Toolkit: A MapReduce framework for analyzing next-generation DNA sequencing data</w:t>
      </w:r>
      <w:r>
        <w:t xml:space="preserve"> </w:t>
      </w:r>
      <w:r>
        <w:t xml:space="preserve">Aaron McKenna, Matthew Hanna, Eric Banks, Andrey Sivachenko, Kristian Cibulskis, Andrew Kernytsky, Kiran Garimella, David Altshuler, Stacey Gabriel, Mark Daly, Mark A DePristo</w:t>
      </w:r>
      <w:r>
        <w:t xml:space="preserve"> </w:t>
      </w:r>
      <w:r>
        <w:rPr>
          <w:iCs/>
          <w:i/>
        </w:rPr>
        <w:t xml:space="preserve">Genome Research</w:t>
      </w:r>
      <w:r>
        <w:t xml:space="preserve"> </w:t>
      </w:r>
      <w:r>
        <w:t xml:space="preserve">(2010-07-19)</w:t>
      </w:r>
      <w:r>
        <w:t xml:space="preserve"> </w:t>
      </w:r>
      <w:hyperlink r:id="rId410">
        <w:r>
          <w:rPr>
            <w:rStyle w:val="Hyperlink"/>
          </w:rPr>
          <w:t xml:space="preserve">https://doi.org/bnzbn6</w:t>
        </w:r>
      </w:hyperlink>
      <w:r>
        <w:t xml:space="preserve"> </w:t>
      </w:r>
      <w:r>
        <w:t xml:space="preserve">DOI:</w:t>
      </w:r>
      <w:r>
        <w:t xml:space="preserve"> </w:t>
      </w:r>
      <w:hyperlink r:id="rId411">
        <w:r>
          <w:rPr>
            <w:rStyle w:val="Hyperlink"/>
          </w:rPr>
          <w:t xml:space="preserve">10.1101/gr.107524.110</w:t>
        </w:r>
      </w:hyperlink>
      <w:r>
        <w:t xml:space="preserve"> </w:t>
      </w:r>
      <w:r>
        <w:t xml:space="preserve">· PMID:</w:t>
      </w:r>
      <w:r>
        <w:t xml:space="preserve"> </w:t>
      </w:r>
      <w:hyperlink r:id="rId412">
        <w:r>
          <w:rPr>
            <w:rStyle w:val="Hyperlink"/>
          </w:rPr>
          <w:t xml:space="preserve">20644199</w:t>
        </w:r>
      </w:hyperlink>
      <w:r>
        <w:t xml:space="preserve"> </w:t>
      </w:r>
      <w:r>
        <w:t xml:space="preserve">· PMCID:</w:t>
      </w:r>
      <w:r>
        <w:t xml:space="preserve"> </w:t>
      </w:r>
      <w:hyperlink r:id="rId413">
        <w:r>
          <w:rPr>
            <w:rStyle w:val="Hyperlink"/>
          </w:rPr>
          <w:t xml:space="preserve">PMC2928508</w:t>
        </w:r>
      </w:hyperlink>
    </w:p>
    <w:bookmarkEnd w:id="414"/>
    <w:bookmarkStart w:id="416" w:name="ref-Z38xUgBW"/>
    <w:p>
      <w:pPr>
        <w:pStyle w:val="Bibliography"/>
      </w:pPr>
      <w:r>
        <w:t xml:space="preserve">15.</w:t>
      </w:r>
      <w:r>
        <w:t xml:space="preserve"> </w:t>
      </w:r>
      <w:r>
        <w:t xml:space="preserve">	</w:t>
      </w:r>
      <w:r>
        <w:rPr>
          <w:bCs/>
          <w:b/>
        </w:rPr>
        <w:t xml:space="preserve">GISTIC2.0 facilitates sensitive and confident localization of the targets of focal somatic copy-number alteration in human cancers</w:t>
      </w:r>
      <w:r>
        <w:t xml:space="preserve"> </w:t>
      </w:r>
      <w:r>
        <w:t xml:space="preserve">Craig H Mermel, Steven E Schumacher, Barbara Hill, Matthew L Meyerson, Rameen Beroukhim, Gad Getz</w:t>
      </w:r>
      <w:r>
        <w:t xml:space="preserve"> </w:t>
      </w:r>
      <w:r>
        <w:rPr>
          <w:iCs/>
          <w:i/>
        </w:rPr>
        <w:t xml:space="preserve">Genome Biology</w:t>
      </w:r>
      <w:r>
        <w:t xml:space="preserve"> </w:t>
      </w:r>
      <w:r>
        <w:t xml:space="preserve">(2011-04-28)</w:t>
      </w:r>
      <w:r>
        <w:t xml:space="preserve"> </w:t>
      </w:r>
      <w:hyperlink r:id="rId415">
        <w:r>
          <w:rPr>
            <w:rStyle w:val="Hyperlink"/>
          </w:rPr>
          <w:t xml:space="preserve">https://doi.org/10.1186/gb-2011-12-4-r41</w:t>
        </w:r>
      </w:hyperlink>
      <w:r>
        <w:t xml:space="preserve"> </w:t>
      </w:r>
      <w:r>
        <w:t xml:space="preserve">DOI:</w:t>
      </w:r>
      <w:r>
        <w:t xml:space="preserve"> </w:t>
      </w:r>
      <w:hyperlink r:id="rId415">
        <w:r>
          <w:rPr>
            <w:rStyle w:val="Hyperlink"/>
          </w:rPr>
          <w:t xml:space="preserve">10.1186/gb-2011-12-4-r41</w:t>
        </w:r>
      </w:hyperlink>
    </w:p>
    <w:bookmarkEnd w:id="416"/>
    <w:bookmarkStart w:id="421" w:name="ref-dxeON3tz"/>
    <w:p>
      <w:pPr>
        <w:pStyle w:val="Bibliography"/>
      </w:pPr>
      <w:r>
        <w:t xml:space="preserve">16.</w:t>
      </w:r>
      <w:r>
        <w:t xml:space="preserve"> </w:t>
      </w:r>
      <w:r>
        <w:t xml:space="preserve">	</w:t>
      </w:r>
      <w:r>
        <w:rPr>
          <w:bCs/>
          <w:b/>
        </w:rPr>
        <w:t xml:space="preserve">Preprocessing, normalization and integration of the Illumina HumanMethylationEPIC array with minfi</w:t>
      </w:r>
      <w:r>
        <w:t xml:space="preserve"> </w:t>
      </w:r>
      <w:r>
        <w:t xml:space="preserve">Jean-Philippe Fortin, Timothy J Triche Jr, Kasper D Hansen</w:t>
      </w:r>
      <w:r>
        <w:t xml:space="preserve"> </w:t>
      </w:r>
      <w:r>
        <w:rPr>
          <w:iCs/>
          <w:i/>
        </w:rPr>
        <w:t xml:space="preserve">Bioinformatics</w:t>
      </w:r>
      <w:r>
        <w:t xml:space="preserve"> </w:t>
      </w:r>
      <w:r>
        <w:t xml:space="preserve">(2016-11-29)</w:t>
      </w:r>
      <w:r>
        <w:t xml:space="preserve"> </w:t>
      </w:r>
      <w:hyperlink r:id="rId417">
        <w:r>
          <w:rPr>
            <w:rStyle w:val="Hyperlink"/>
          </w:rPr>
          <w:t xml:space="preserve">https://doi.org/f9x7kd</w:t>
        </w:r>
      </w:hyperlink>
      <w:r>
        <w:t xml:space="preserve"> </w:t>
      </w:r>
      <w:r>
        <w:t xml:space="preserve">DOI:</w:t>
      </w:r>
      <w:r>
        <w:t xml:space="preserve"> </w:t>
      </w:r>
      <w:hyperlink r:id="rId418">
        <w:r>
          <w:rPr>
            <w:rStyle w:val="Hyperlink"/>
          </w:rPr>
          <w:t xml:space="preserve">10.1093/bioinformatics/btw691</w:t>
        </w:r>
      </w:hyperlink>
      <w:r>
        <w:t xml:space="preserve"> </w:t>
      </w:r>
      <w:r>
        <w:t xml:space="preserve">· PMID:</w:t>
      </w:r>
      <w:r>
        <w:t xml:space="preserve"> </w:t>
      </w:r>
      <w:hyperlink r:id="rId419">
        <w:r>
          <w:rPr>
            <w:rStyle w:val="Hyperlink"/>
          </w:rPr>
          <w:t xml:space="preserve">28035024</w:t>
        </w:r>
      </w:hyperlink>
      <w:r>
        <w:t xml:space="preserve"> </w:t>
      </w:r>
      <w:r>
        <w:t xml:space="preserve">· PMCID:</w:t>
      </w:r>
      <w:r>
        <w:t xml:space="preserve"> </w:t>
      </w:r>
      <w:hyperlink r:id="rId420">
        <w:r>
          <w:rPr>
            <w:rStyle w:val="Hyperlink"/>
          </w:rPr>
          <w:t xml:space="preserve">PMC5408810</w:t>
        </w:r>
      </w:hyperlink>
    </w:p>
    <w:bookmarkEnd w:id="421"/>
    <w:bookmarkStart w:id="426" w:name="ref-15Yz3j9AA"/>
    <w:p>
      <w:pPr>
        <w:pStyle w:val="Bibliography"/>
      </w:pPr>
      <w:r>
        <w:t xml:space="preserve">17.</w:t>
      </w:r>
      <w:r>
        <w:t xml:space="preserve"> </w:t>
      </w:r>
      <w:r>
        <w:t xml:space="preserve">	</w:t>
      </w:r>
      <w:r>
        <w:rPr>
          <w:bCs/>
          <w:b/>
        </w:rPr>
        <w:t xml:space="preserve">Review of processing and analysis methods for DNA methylation array data</w:t>
      </w:r>
      <w:r>
        <w:t xml:space="preserve"> </w:t>
      </w:r>
      <w:r>
        <w:t xml:space="preserve">CS Wilhelm-Benartzi, DC Koestler, MR Karagas, JM Flanagan, BC Christensen, KT Kelsey, CJ Marsit, EA Houseman, R Brown</w:t>
      </w:r>
      <w:r>
        <w:t xml:space="preserve"> </w:t>
      </w:r>
      <w:r>
        <w:rPr>
          <w:iCs/>
          <w:i/>
        </w:rPr>
        <w:t xml:space="preserve">British Journal of Cancer</w:t>
      </w:r>
      <w:r>
        <w:t xml:space="preserve"> </w:t>
      </w:r>
      <w:r>
        <w:t xml:space="preserve">(2013-08-27)</w:t>
      </w:r>
      <w:r>
        <w:t xml:space="preserve"> </w:t>
      </w:r>
      <w:hyperlink r:id="rId422">
        <w:r>
          <w:rPr>
            <w:rStyle w:val="Hyperlink"/>
          </w:rPr>
          <w:t xml:space="preserve">https://doi.org/gb9qvv</w:t>
        </w:r>
      </w:hyperlink>
      <w:r>
        <w:t xml:space="preserve"> </w:t>
      </w:r>
      <w:r>
        <w:t xml:space="preserve">DOI:</w:t>
      </w:r>
      <w:r>
        <w:t xml:space="preserve"> </w:t>
      </w:r>
      <w:hyperlink r:id="rId423">
        <w:r>
          <w:rPr>
            <w:rStyle w:val="Hyperlink"/>
          </w:rPr>
          <w:t xml:space="preserve">10.1038/bjc.2013.496</w:t>
        </w:r>
      </w:hyperlink>
      <w:r>
        <w:t xml:space="preserve"> </w:t>
      </w:r>
      <w:r>
        <w:t xml:space="preserve">· PMID:</w:t>
      </w:r>
      <w:r>
        <w:t xml:space="preserve"> </w:t>
      </w:r>
      <w:hyperlink r:id="rId424">
        <w:r>
          <w:rPr>
            <w:rStyle w:val="Hyperlink"/>
          </w:rPr>
          <w:t xml:space="preserve">23982603</w:t>
        </w:r>
      </w:hyperlink>
      <w:r>
        <w:t xml:space="preserve"> </w:t>
      </w:r>
      <w:r>
        <w:t xml:space="preserve">· PMCID:</w:t>
      </w:r>
      <w:r>
        <w:t xml:space="preserve"> </w:t>
      </w:r>
      <w:hyperlink r:id="rId425">
        <w:r>
          <w:rPr>
            <w:rStyle w:val="Hyperlink"/>
          </w:rPr>
          <w:t xml:space="preserve">PMC3777004</w:t>
        </w:r>
      </w:hyperlink>
    </w:p>
    <w:bookmarkEnd w:id="426"/>
    <w:bookmarkStart w:id="431" w:name="ref-HOfcb651"/>
    <w:p>
      <w:pPr>
        <w:pStyle w:val="Bibliography"/>
      </w:pPr>
      <w:r>
        <w:t xml:space="preserve">18.</w:t>
      </w:r>
      <w:r>
        <w:t xml:space="preserve"> </w:t>
      </w:r>
      <w:r>
        <w:t xml:space="preserve">	</w:t>
      </w:r>
      <w:r>
        <w:rPr>
          <w:bCs/>
          <w:b/>
        </w:rPr>
        <w:t xml:space="preserve">Impact of SNPs on methylation readouts by Illumina Infinium HumanMethylation450 BeadChip Array: implications for comparative population studies</w:t>
      </w:r>
      <w:r>
        <w:t xml:space="preserve"> </w:t>
      </w:r>
      <w:r>
        <w:t xml:space="preserve">Patrycja Daca-Roszak, Aleksandra Pfeifer, Jadwiga Żebracka-Gala, Dagmara Rusinek, Aleksandra Szybińska, Barbara Jarząb, Michał Witt, Ewa Ziętkiewicz</w:t>
      </w:r>
      <w:r>
        <w:t xml:space="preserve"> </w:t>
      </w:r>
      <w:r>
        <w:rPr>
          <w:iCs/>
          <w:i/>
        </w:rPr>
        <w:t xml:space="preserve">BMC Genomics</w:t>
      </w:r>
      <w:r>
        <w:t xml:space="preserve"> </w:t>
      </w:r>
      <w:r>
        <w:t xml:space="preserve">(2015-11-25)</w:t>
      </w:r>
      <w:r>
        <w:t xml:space="preserve"> </w:t>
      </w:r>
      <w:hyperlink r:id="rId427">
        <w:r>
          <w:rPr>
            <w:rStyle w:val="Hyperlink"/>
          </w:rPr>
          <w:t xml:space="preserve">https://doi.org/gb3h5r</w:t>
        </w:r>
      </w:hyperlink>
      <w:r>
        <w:t xml:space="preserve"> </w:t>
      </w:r>
      <w:r>
        <w:t xml:space="preserve">DOI:</w:t>
      </w:r>
      <w:r>
        <w:t xml:space="preserve"> </w:t>
      </w:r>
      <w:hyperlink r:id="rId428">
        <w:r>
          <w:rPr>
            <w:rStyle w:val="Hyperlink"/>
          </w:rPr>
          <w:t xml:space="preserve">10.1186/s12864-015-2202-0</w:t>
        </w:r>
      </w:hyperlink>
      <w:r>
        <w:t xml:space="preserve"> </w:t>
      </w:r>
      <w:r>
        <w:t xml:space="preserve">· PMID:</w:t>
      </w:r>
      <w:r>
        <w:t xml:space="preserve"> </w:t>
      </w:r>
      <w:hyperlink r:id="rId429">
        <w:r>
          <w:rPr>
            <w:rStyle w:val="Hyperlink"/>
          </w:rPr>
          <w:t xml:space="preserve">26607064</w:t>
        </w:r>
      </w:hyperlink>
      <w:r>
        <w:t xml:space="preserve"> </w:t>
      </w:r>
      <w:r>
        <w:t xml:space="preserve">· PMCID:</w:t>
      </w:r>
      <w:r>
        <w:t xml:space="preserve"> </w:t>
      </w:r>
      <w:hyperlink r:id="rId430">
        <w:r>
          <w:rPr>
            <w:rStyle w:val="Hyperlink"/>
          </w:rPr>
          <w:t xml:space="preserve">PMC4659175</w:t>
        </w:r>
      </w:hyperlink>
    </w:p>
    <w:bookmarkEnd w:id="431"/>
    <w:bookmarkStart w:id="436" w:name="ref-19a3Xf4h3"/>
    <w:p>
      <w:pPr>
        <w:pStyle w:val="Bibliography"/>
      </w:pPr>
      <w:r>
        <w:t xml:space="preserve">19.</w:t>
      </w:r>
      <w:r>
        <w:t xml:space="preserve"> </w:t>
      </w:r>
      <w:r>
        <w:t xml:space="preserve">	</w:t>
      </w:r>
      <w:r>
        <w:rPr>
          <w:bCs/>
          <w:b/>
        </w:rPr>
        <w:t xml:space="preserve">DNA methylation-based classification of central nervous system tumours</w:t>
      </w:r>
      <w:r>
        <w:t xml:space="preserve"> </w:t>
      </w:r>
      <w:r>
        <w:t xml:space="preserve">David Capper, David TW Jones, Martin Sill, Volker Hovestadt, Daniel Schrimpf, Dominik Sturm, Christian Koelsche, Felix Sahm, Lukas Chavez, David E Reuss, … Stefan M Pfister</w:t>
      </w:r>
      <w:r>
        <w:t xml:space="preserve"> </w:t>
      </w:r>
      <w:r>
        <w:rPr>
          <w:iCs/>
          <w:i/>
        </w:rPr>
        <w:t xml:space="preserve">Nature</w:t>
      </w:r>
      <w:r>
        <w:t xml:space="preserve"> </w:t>
      </w:r>
      <w:r>
        <w:t xml:space="preserve">(2018-03-14)</w:t>
      </w:r>
      <w:r>
        <w:t xml:space="preserve"> </w:t>
      </w:r>
      <w:hyperlink r:id="rId432">
        <w:r>
          <w:rPr>
            <w:rStyle w:val="Hyperlink"/>
          </w:rPr>
          <w:t xml:space="preserve">https://doi.org/gc5t36</w:t>
        </w:r>
      </w:hyperlink>
      <w:r>
        <w:t xml:space="preserve"> </w:t>
      </w:r>
      <w:r>
        <w:t xml:space="preserve">DOI:</w:t>
      </w:r>
      <w:r>
        <w:t xml:space="preserve"> </w:t>
      </w:r>
      <w:hyperlink r:id="rId433">
        <w:r>
          <w:rPr>
            <w:rStyle w:val="Hyperlink"/>
          </w:rPr>
          <w:t xml:space="preserve">10.1038/nature26000</w:t>
        </w:r>
      </w:hyperlink>
      <w:r>
        <w:t xml:space="preserve"> </w:t>
      </w:r>
      <w:r>
        <w:t xml:space="preserve">· PMID:</w:t>
      </w:r>
      <w:r>
        <w:t xml:space="preserve"> </w:t>
      </w:r>
      <w:hyperlink r:id="rId434">
        <w:r>
          <w:rPr>
            <w:rStyle w:val="Hyperlink"/>
          </w:rPr>
          <w:t xml:space="preserve">29539639</w:t>
        </w:r>
      </w:hyperlink>
      <w:r>
        <w:t xml:space="preserve"> </w:t>
      </w:r>
      <w:r>
        <w:t xml:space="preserve">· PMCID:</w:t>
      </w:r>
      <w:r>
        <w:t xml:space="preserve"> </w:t>
      </w:r>
      <w:hyperlink r:id="rId435">
        <w:r>
          <w:rPr>
            <w:rStyle w:val="Hyperlink"/>
          </w:rPr>
          <w:t xml:space="preserve">PMC6093218</w:t>
        </w:r>
      </w:hyperlink>
    </w:p>
    <w:bookmarkEnd w:id="436"/>
    <w:bookmarkStart w:id="441" w:name="ref-bKpYR6PB"/>
    <w:p>
      <w:pPr>
        <w:pStyle w:val="Bibliography"/>
      </w:pPr>
      <w:r>
        <w:t xml:space="preserve">20.</w:t>
      </w:r>
      <w:r>
        <w:t xml:space="preserve"> </w:t>
      </w:r>
      <w:r>
        <w:t xml:space="preserve">	</w:t>
      </w:r>
      <w:r>
        <w:rPr>
          <w:bCs/>
          <w:b/>
        </w:rPr>
        <w:t xml:space="preserve">MSFragger: ultrafast and comprehensive peptide identification in mass spectrometry–based proteomics</w:t>
      </w:r>
      <w:r>
        <w:t xml:space="preserve"> </w:t>
      </w:r>
      <w:r>
        <w:t xml:space="preserve">Andy T Kong, Felipe V Leprevost, Dmitry M Avtonomov, Dattatreya Mellacheruvu, Alexey I Nesvizhskii</w:t>
      </w:r>
      <w:r>
        <w:t xml:space="preserve"> </w:t>
      </w:r>
      <w:r>
        <w:rPr>
          <w:iCs/>
          <w:i/>
        </w:rPr>
        <w:t xml:space="preserve">Nature Methods</w:t>
      </w:r>
      <w:r>
        <w:t xml:space="preserve"> </w:t>
      </w:r>
      <w:r>
        <w:t xml:space="preserve">(2017-04-10)</w:t>
      </w:r>
      <w:r>
        <w:t xml:space="preserve"> </w:t>
      </w:r>
      <w:hyperlink r:id="rId437">
        <w:r>
          <w:rPr>
            <w:rStyle w:val="Hyperlink"/>
          </w:rPr>
          <w:t xml:space="preserve">https://doi.org/f9z6p7</w:t>
        </w:r>
      </w:hyperlink>
      <w:r>
        <w:t xml:space="preserve"> </w:t>
      </w:r>
      <w:r>
        <w:t xml:space="preserve">DOI:</w:t>
      </w:r>
      <w:r>
        <w:t xml:space="preserve"> </w:t>
      </w:r>
      <w:hyperlink r:id="rId438">
        <w:r>
          <w:rPr>
            <w:rStyle w:val="Hyperlink"/>
          </w:rPr>
          <w:t xml:space="preserve">10.1038/nmeth.4256</w:t>
        </w:r>
      </w:hyperlink>
      <w:r>
        <w:t xml:space="preserve"> </w:t>
      </w:r>
      <w:r>
        <w:t xml:space="preserve">· PMID:</w:t>
      </w:r>
      <w:r>
        <w:t xml:space="preserve"> </w:t>
      </w:r>
      <w:hyperlink r:id="rId439">
        <w:r>
          <w:rPr>
            <w:rStyle w:val="Hyperlink"/>
          </w:rPr>
          <w:t xml:space="preserve">28394336</w:t>
        </w:r>
      </w:hyperlink>
      <w:r>
        <w:t xml:space="preserve"> </w:t>
      </w:r>
      <w:r>
        <w:t xml:space="preserve">· PMCID:</w:t>
      </w:r>
      <w:r>
        <w:t xml:space="preserve"> </w:t>
      </w:r>
      <w:hyperlink r:id="rId440">
        <w:r>
          <w:rPr>
            <w:rStyle w:val="Hyperlink"/>
          </w:rPr>
          <w:t xml:space="preserve">PMC5409104</w:t>
        </w:r>
      </w:hyperlink>
    </w:p>
    <w:bookmarkEnd w:id="441"/>
    <w:bookmarkStart w:id="446" w:name="ref-2rzcFP4J"/>
    <w:p>
      <w:pPr>
        <w:pStyle w:val="Bibliography"/>
      </w:pPr>
      <w:r>
        <w:t xml:space="preserve">21.</w:t>
      </w:r>
      <w:r>
        <w:t xml:space="preserve"> </w:t>
      </w:r>
      <w:r>
        <w:t xml:space="preserve">	</w:t>
      </w:r>
      <w:r>
        <w:rPr>
          <w:bCs/>
          <w:b/>
        </w:rPr>
        <w:t xml:space="preserve">Correcting systematic bias and instrument measurement drift with mzRefinery</w:t>
      </w:r>
      <w:r>
        <w:t xml:space="preserve"> </w:t>
      </w:r>
      <w:r>
        <w:t xml:space="preserve">Bryson C Gibbons, Matthew C Chambers, Matthew E Monroe, David L Tabb, Samuel H Payne</w:t>
      </w:r>
      <w:r>
        <w:t xml:space="preserve"> </w:t>
      </w:r>
      <w:r>
        <w:rPr>
          <w:iCs/>
          <w:i/>
        </w:rPr>
        <w:t xml:space="preserve">Bioinformatics</w:t>
      </w:r>
      <w:r>
        <w:t xml:space="preserve"> </w:t>
      </w:r>
      <w:r>
        <w:t xml:space="preserve">(2015-08-04)</w:t>
      </w:r>
      <w:r>
        <w:t xml:space="preserve"> </w:t>
      </w:r>
      <w:hyperlink r:id="rId442">
        <w:r>
          <w:rPr>
            <w:rStyle w:val="Hyperlink"/>
          </w:rPr>
          <w:t xml:space="preserve">https://doi.org/gb5g57</w:t>
        </w:r>
      </w:hyperlink>
      <w:r>
        <w:t xml:space="preserve"> </w:t>
      </w:r>
      <w:r>
        <w:t xml:space="preserve">DOI:</w:t>
      </w:r>
      <w:r>
        <w:t xml:space="preserve"> </w:t>
      </w:r>
      <w:hyperlink r:id="rId443">
        <w:r>
          <w:rPr>
            <w:rStyle w:val="Hyperlink"/>
          </w:rPr>
          <w:t xml:space="preserve">10.1093/bioinformatics/btv437</w:t>
        </w:r>
      </w:hyperlink>
      <w:r>
        <w:t xml:space="preserve"> </w:t>
      </w:r>
      <w:r>
        <w:t xml:space="preserve">· PMID:</w:t>
      </w:r>
      <w:r>
        <w:t xml:space="preserve"> </w:t>
      </w:r>
      <w:hyperlink r:id="rId444">
        <w:r>
          <w:rPr>
            <w:rStyle w:val="Hyperlink"/>
          </w:rPr>
          <w:t xml:space="preserve">26243018</w:t>
        </w:r>
      </w:hyperlink>
      <w:r>
        <w:t xml:space="preserve"> </w:t>
      </w:r>
      <w:r>
        <w:t xml:space="preserve">· PMCID:</w:t>
      </w:r>
      <w:r>
        <w:t xml:space="preserve"> </w:t>
      </w:r>
      <w:hyperlink r:id="rId445">
        <w:r>
          <w:rPr>
            <w:rStyle w:val="Hyperlink"/>
          </w:rPr>
          <w:t xml:space="preserve">PMC4653383</w:t>
        </w:r>
      </w:hyperlink>
    </w:p>
    <w:bookmarkEnd w:id="446"/>
    <w:bookmarkStart w:id="451" w:name="ref-1B2RVFOKK"/>
    <w:p>
      <w:pPr>
        <w:pStyle w:val="Bibliography"/>
      </w:pPr>
      <w:r>
        <w:t xml:space="preserve">22.</w:t>
      </w:r>
      <w:r>
        <w:t xml:space="preserve"> </w:t>
      </w:r>
      <w:r>
        <w:t xml:space="preserve">	</w:t>
      </w:r>
      <w:r>
        <w:rPr>
          <w:bCs/>
          <w:b/>
        </w:rPr>
        <w:t xml:space="preserve">MS-GF+ makes progress towards a universal database search tool for proteomics</w:t>
      </w:r>
      <w:r>
        <w:t xml:space="preserve"> </w:t>
      </w:r>
      <w:r>
        <w:t xml:space="preserve">Sangtae Kim, Pavel A Pevzner</w:t>
      </w:r>
      <w:r>
        <w:t xml:space="preserve"> </w:t>
      </w:r>
      <w:r>
        <w:rPr>
          <w:iCs/>
          <w:i/>
        </w:rPr>
        <w:t xml:space="preserve">Nature Communications</w:t>
      </w:r>
      <w:r>
        <w:t xml:space="preserve"> </w:t>
      </w:r>
      <w:r>
        <w:t xml:space="preserve">(2014-10-31)</w:t>
      </w:r>
      <w:r>
        <w:t xml:space="preserve"> </w:t>
      </w:r>
      <w:hyperlink r:id="rId447">
        <w:r>
          <w:rPr>
            <w:rStyle w:val="Hyperlink"/>
          </w:rPr>
          <w:t xml:space="preserve">https://doi.org/ggkdq8</w:t>
        </w:r>
      </w:hyperlink>
      <w:r>
        <w:t xml:space="preserve"> </w:t>
      </w:r>
      <w:r>
        <w:t xml:space="preserve">DOI:</w:t>
      </w:r>
      <w:r>
        <w:t xml:space="preserve"> </w:t>
      </w:r>
      <w:hyperlink r:id="rId448">
        <w:r>
          <w:rPr>
            <w:rStyle w:val="Hyperlink"/>
          </w:rPr>
          <w:t xml:space="preserve">10.1038/ncomms6277</w:t>
        </w:r>
      </w:hyperlink>
      <w:r>
        <w:t xml:space="preserve"> </w:t>
      </w:r>
      <w:r>
        <w:t xml:space="preserve">· PMID:</w:t>
      </w:r>
      <w:r>
        <w:t xml:space="preserve"> </w:t>
      </w:r>
      <w:hyperlink r:id="rId449">
        <w:r>
          <w:rPr>
            <w:rStyle w:val="Hyperlink"/>
          </w:rPr>
          <w:t xml:space="preserve">25358478</w:t>
        </w:r>
      </w:hyperlink>
      <w:r>
        <w:t xml:space="preserve"> </w:t>
      </w:r>
      <w:r>
        <w:t xml:space="preserve">· PMCID:</w:t>
      </w:r>
      <w:r>
        <w:t xml:space="preserve"> </w:t>
      </w:r>
      <w:hyperlink r:id="rId450">
        <w:r>
          <w:rPr>
            <w:rStyle w:val="Hyperlink"/>
          </w:rPr>
          <w:t xml:space="preserve">PMC5036525</w:t>
        </w:r>
      </w:hyperlink>
    </w:p>
    <w:bookmarkEnd w:id="451"/>
    <w:bookmarkStart w:id="456" w:name="ref-G4kbj7VC"/>
    <w:p>
      <w:pPr>
        <w:pStyle w:val="Bibliography"/>
      </w:pPr>
      <w:r>
        <w:t xml:space="preserve">23.</w:t>
      </w:r>
      <w:r>
        <w:t xml:space="preserve"> </w:t>
      </w:r>
      <w:r>
        <w:t xml:space="preserve">	</w:t>
      </w:r>
      <w:r>
        <w:rPr>
          <w:bCs/>
          <w:b/>
        </w:rPr>
        <w:t xml:space="preserve">Spectral probabilities of top-down tandem mass spectra</w:t>
      </w:r>
      <w:r>
        <w:t xml:space="preserve"> </w:t>
      </w:r>
      <w:r>
        <w:t xml:space="preserve">Xiaowen Liu, Matthew W Segar, Shuai Cheng Li, Sangtae Kim</w:t>
      </w:r>
      <w:r>
        <w:t xml:space="preserve"> </w:t>
      </w:r>
      <w:r>
        <w:rPr>
          <w:iCs/>
          <w:i/>
        </w:rPr>
        <w:t xml:space="preserve">BMC Genomics</w:t>
      </w:r>
      <w:r>
        <w:t xml:space="preserve"> </w:t>
      </w:r>
      <w:r>
        <w:t xml:space="preserve">(2014-01)</w:t>
      </w:r>
      <w:r>
        <w:t xml:space="preserve"> </w:t>
      </w:r>
      <w:hyperlink r:id="rId452">
        <w:r>
          <w:rPr>
            <w:rStyle w:val="Hyperlink"/>
          </w:rPr>
          <w:t xml:space="preserve">https://doi.org/gb3gzt</w:t>
        </w:r>
      </w:hyperlink>
      <w:r>
        <w:t xml:space="preserve"> </w:t>
      </w:r>
      <w:r>
        <w:t xml:space="preserve">DOI:</w:t>
      </w:r>
      <w:r>
        <w:t xml:space="preserve"> </w:t>
      </w:r>
      <w:hyperlink r:id="rId453">
        <w:r>
          <w:rPr>
            <w:rStyle w:val="Hyperlink"/>
          </w:rPr>
          <w:t xml:space="preserve">10.1186/1471-2164-15-s1-s9</w:t>
        </w:r>
      </w:hyperlink>
      <w:r>
        <w:t xml:space="preserve"> </w:t>
      </w:r>
      <w:r>
        <w:t xml:space="preserve">· PMID:</w:t>
      </w:r>
      <w:r>
        <w:t xml:space="preserve"> </w:t>
      </w:r>
      <w:hyperlink r:id="rId454">
        <w:r>
          <w:rPr>
            <w:rStyle w:val="Hyperlink"/>
          </w:rPr>
          <w:t xml:space="preserve">24564718</w:t>
        </w:r>
      </w:hyperlink>
      <w:r>
        <w:t xml:space="preserve"> </w:t>
      </w:r>
      <w:r>
        <w:t xml:space="preserve">· PMCID:</w:t>
      </w:r>
      <w:r>
        <w:t xml:space="preserve"> </w:t>
      </w:r>
      <w:hyperlink r:id="rId455">
        <w:r>
          <w:rPr>
            <w:rStyle w:val="Hyperlink"/>
          </w:rPr>
          <w:t xml:space="preserve">PMC4046700</w:t>
        </w:r>
      </w:hyperlink>
    </w:p>
    <w:bookmarkEnd w:id="456"/>
    <w:bookmarkStart w:id="460" w:name="ref-VLwxfMaF"/>
    <w:p>
      <w:pPr>
        <w:pStyle w:val="Bibliography"/>
      </w:pPr>
      <w:r>
        <w:t xml:space="preserve">24.</w:t>
      </w:r>
      <w:r>
        <w:t xml:space="preserve"> </w:t>
      </w:r>
      <w:r>
        <w:t xml:space="preserve">	</w:t>
      </w:r>
      <w:r>
        <w:rPr>
          <w:bCs/>
          <w:b/>
        </w:rPr>
        <w:t xml:space="preserve">A probability-based approach for high-throughput protein phosphorylation analysis and site localization</w:t>
      </w:r>
      <w:r>
        <w:t xml:space="preserve"> </w:t>
      </w:r>
      <w:r>
        <w:t xml:space="preserve">Sean A Beausoleil, Judit Villén, Scott A Gerber, John Rush, Steven P Gygi</w:t>
      </w:r>
      <w:r>
        <w:t xml:space="preserve"> </w:t>
      </w:r>
      <w:r>
        <w:rPr>
          <w:iCs/>
          <w:i/>
        </w:rPr>
        <w:t xml:space="preserve">Nature Biotechnology</w:t>
      </w:r>
      <w:r>
        <w:t xml:space="preserve"> </w:t>
      </w:r>
      <w:r>
        <w:t xml:space="preserve">(2006-09-10)</w:t>
      </w:r>
      <w:r>
        <w:t xml:space="preserve"> </w:t>
      </w:r>
      <w:hyperlink r:id="rId457">
        <w:r>
          <w:rPr>
            <w:rStyle w:val="Hyperlink"/>
          </w:rPr>
          <w:t xml:space="preserve">https://doi.org/dbwqf4</w:t>
        </w:r>
      </w:hyperlink>
      <w:r>
        <w:t xml:space="preserve"> </w:t>
      </w:r>
      <w:r>
        <w:t xml:space="preserve">DOI:</w:t>
      </w:r>
      <w:r>
        <w:t xml:space="preserve"> </w:t>
      </w:r>
      <w:hyperlink r:id="rId458">
        <w:r>
          <w:rPr>
            <w:rStyle w:val="Hyperlink"/>
          </w:rPr>
          <w:t xml:space="preserve">10.1038/nbt1240</w:t>
        </w:r>
      </w:hyperlink>
      <w:r>
        <w:t xml:space="preserve"> </w:t>
      </w:r>
      <w:r>
        <w:t xml:space="preserve">· PMID:</w:t>
      </w:r>
      <w:r>
        <w:t xml:space="preserve"> </w:t>
      </w:r>
      <w:hyperlink r:id="rId459">
        <w:r>
          <w:rPr>
            <w:rStyle w:val="Hyperlink"/>
          </w:rPr>
          <w:t xml:space="preserve">16964243</w:t>
        </w:r>
      </w:hyperlink>
    </w:p>
    <w:bookmarkEnd w:id="460"/>
    <w:bookmarkStart w:id="465" w:name="ref-KhxTOfIb"/>
    <w:p>
      <w:pPr>
        <w:pStyle w:val="Bibliography"/>
      </w:pPr>
      <w:r>
        <w:t xml:space="preserve">25.</w:t>
      </w:r>
      <w:r>
        <w:t xml:space="preserve"> </w:t>
      </w:r>
      <w:r>
        <w:t xml:space="preserve">	</w:t>
      </w:r>
      <w:r>
        <w:rPr>
          <w:bCs/>
          <w:b/>
        </w:rPr>
        <w:t xml:space="preserve">deconstructSigs: delineating mutational processes in single tumors distinguishes DNA repair deficiencies and patterns of carcinoma evolution</w:t>
      </w:r>
      <w:r>
        <w:t xml:space="preserve"> </w:t>
      </w:r>
      <w:r>
        <w:t xml:space="preserve">Rachel Rosenthal, Nicholas McGranahan, Javier Herrero, Barry S Taylor, Charles Swanton</w:t>
      </w:r>
      <w:r>
        <w:t xml:space="preserve"> </w:t>
      </w:r>
      <w:r>
        <w:rPr>
          <w:iCs/>
          <w:i/>
        </w:rPr>
        <w:t xml:space="preserve">Genome Biology</w:t>
      </w:r>
      <w:r>
        <w:t xml:space="preserve"> </w:t>
      </w:r>
      <w:r>
        <w:t xml:space="preserve">(2016-02-22)</w:t>
      </w:r>
      <w:r>
        <w:t xml:space="preserve"> </w:t>
      </w:r>
      <w:hyperlink r:id="rId461">
        <w:r>
          <w:rPr>
            <w:rStyle w:val="Hyperlink"/>
          </w:rPr>
          <w:t xml:space="preserve">https://doi.org/f8bdsq</w:t>
        </w:r>
      </w:hyperlink>
      <w:r>
        <w:t xml:space="preserve"> </w:t>
      </w:r>
      <w:r>
        <w:t xml:space="preserve">DOI:</w:t>
      </w:r>
      <w:r>
        <w:t xml:space="preserve"> </w:t>
      </w:r>
      <w:hyperlink r:id="rId462">
        <w:r>
          <w:rPr>
            <w:rStyle w:val="Hyperlink"/>
          </w:rPr>
          <w:t xml:space="preserve">10.1186/s13059-016-0893-4</w:t>
        </w:r>
      </w:hyperlink>
      <w:r>
        <w:t xml:space="preserve"> </w:t>
      </w:r>
      <w:r>
        <w:t xml:space="preserve">· PMID:</w:t>
      </w:r>
      <w:r>
        <w:t xml:space="preserve"> </w:t>
      </w:r>
      <w:hyperlink r:id="rId463">
        <w:r>
          <w:rPr>
            <w:rStyle w:val="Hyperlink"/>
          </w:rPr>
          <w:t xml:space="preserve">26899170</w:t>
        </w:r>
      </w:hyperlink>
      <w:r>
        <w:t xml:space="preserve"> </w:t>
      </w:r>
      <w:r>
        <w:t xml:space="preserve">· PMCID:</w:t>
      </w:r>
      <w:r>
        <w:t xml:space="preserve"> </w:t>
      </w:r>
      <w:hyperlink r:id="rId464">
        <w:r>
          <w:rPr>
            <w:rStyle w:val="Hyperlink"/>
          </w:rPr>
          <w:t xml:space="preserve">PMC4762164</w:t>
        </w:r>
      </w:hyperlink>
    </w:p>
    <w:bookmarkEnd w:id="465"/>
    <w:bookmarkStart w:id="470" w:name="ref-kG8qNLrs"/>
    <w:p>
      <w:pPr>
        <w:pStyle w:val="Bibliography"/>
      </w:pPr>
      <w:r>
        <w:t xml:space="preserve">26.</w:t>
      </w:r>
      <w:r>
        <w:t xml:space="preserve"> </w:t>
      </w:r>
      <w:r>
        <w:t xml:space="preserve">	</w:t>
      </w:r>
      <w:r>
        <w:rPr>
          <w:bCs/>
          <w:b/>
        </w:rPr>
        <w:t xml:space="preserve">Signatures of mutational processes in human cancer</w:t>
      </w:r>
      <w:r>
        <w:t xml:space="preserve"> </w:t>
      </w:r>
      <w:r>
        <w:t xml:space="preserve">Ludmil B Alexandrov, Serena Nik-Zainal, David C Wedge, Samuel AJR Aparicio, Sam Behjati, Andrew V Biankin, Graham R Bignell, Niccolò Bolli, Ake Borg, …</w:t>
      </w:r>
      <w:r>
        <w:t xml:space="preserve"> </w:t>
      </w:r>
      <w:r>
        <w:t xml:space="preserve"> </w:t>
      </w:r>
      <w:r>
        <w:rPr>
          <w:iCs/>
          <w:i/>
        </w:rPr>
        <w:t xml:space="preserve">Nature</w:t>
      </w:r>
      <w:r>
        <w:t xml:space="preserve"> </w:t>
      </w:r>
      <w:r>
        <w:t xml:space="preserve">(2013-08-14)</w:t>
      </w:r>
      <w:r>
        <w:t xml:space="preserve"> </w:t>
      </w:r>
      <w:hyperlink r:id="rId466">
        <w:r>
          <w:rPr>
            <w:rStyle w:val="Hyperlink"/>
          </w:rPr>
          <w:t xml:space="preserve">https://doi.org/f22m2q</w:t>
        </w:r>
      </w:hyperlink>
      <w:r>
        <w:t xml:space="preserve"> </w:t>
      </w:r>
      <w:r>
        <w:t xml:space="preserve">DOI:</w:t>
      </w:r>
      <w:r>
        <w:t xml:space="preserve"> </w:t>
      </w:r>
      <w:hyperlink r:id="rId467">
        <w:r>
          <w:rPr>
            <w:rStyle w:val="Hyperlink"/>
          </w:rPr>
          <w:t xml:space="preserve">10.1038/nature12477</w:t>
        </w:r>
      </w:hyperlink>
      <w:r>
        <w:t xml:space="preserve"> </w:t>
      </w:r>
      <w:r>
        <w:t xml:space="preserve">· PMID:</w:t>
      </w:r>
      <w:r>
        <w:t xml:space="preserve"> </w:t>
      </w:r>
      <w:hyperlink r:id="rId468">
        <w:r>
          <w:rPr>
            <w:rStyle w:val="Hyperlink"/>
          </w:rPr>
          <w:t xml:space="preserve">23945592</w:t>
        </w:r>
      </w:hyperlink>
      <w:r>
        <w:t xml:space="preserve"> </w:t>
      </w:r>
      <w:r>
        <w:t xml:space="preserve">· PMCID:</w:t>
      </w:r>
      <w:r>
        <w:t xml:space="preserve"> </w:t>
      </w:r>
      <w:hyperlink r:id="rId469">
        <w:r>
          <w:rPr>
            <w:rStyle w:val="Hyperlink"/>
          </w:rPr>
          <w:t xml:space="preserve">PMC3776390</w:t>
        </w:r>
      </w:hyperlink>
    </w:p>
    <w:bookmarkEnd w:id="470"/>
    <w:bookmarkStart w:id="475" w:name="ref-5NHLHVO3"/>
    <w:p>
      <w:pPr>
        <w:pStyle w:val="Bibliography"/>
      </w:pPr>
      <w:r>
        <w:t xml:space="preserve">27.</w:t>
      </w:r>
      <w:r>
        <w:t xml:space="preserve"> </w:t>
      </w:r>
      <w:r>
        <w:t xml:space="preserve">	</w:t>
      </w:r>
      <w:r>
        <w:rPr>
          <w:bCs/>
          <w:b/>
        </w:rPr>
        <w:t xml:space="preserve">Molecular subgrouping of atypical teratoid/rhabdoid tumors—a reinvestigation and current consensus</w:t>
      </w:r>
      <w:r>
        <w:t xml:space="preserve"> </w:t>
      </w:r>
      <w:r>
        <w:t xml:space="preserve">Ben Ho, Pascal D Johann, Yura Grabovska, Mamy Jean De Dieu Andrianteranagna, Fupan Yao, Michael Frühwald, Martin Hasselblatt, Franck Bourdeaut, Daniel Williamson, Annie Huang, Marcel Kool</w:t>
      </w:r>
      <w:r>
        <w:t xml:space="preserve"> </w:t>
      </w:r>
      <w:r>
        <w:rPr>
          <w:iCs/>
          <w:i/>
        </w:rPr>
        <w:t xml:space="preserve">Neuro-Oncology</w:t>
      </w:r>
      <w:r>
        <w:t xml:space="preserve"> </w:t>
      </w:r>
      <w:r>
        <w:t xml:space="preserve">(2019-12-31)</w:t>
      </w:r>
      <w:r>
        <w:t xml:space="preserve"> </w:t>
      </w:r>
      <w:hyperlink r:id="rId471">
        <w:r>
          <w:rPr>
            <w:rStyle w:val="Hyperlink"/>
          </w:rPr>
          <w:t xml:space="preserve">https://doi.org/gn3kcm</w:t>
        </w:r>
      </w:hyperlink>
      <w:r>
        <w:t xml:space="preserve"> </w:t>
      </w:r>
      <w:r>
        <w:t xml:space="preserve">DOI:</w:t>
      </w:r>
      <w:r>
        <w:t xml:space="preserve"> </w:t>
      </w:r>
      <w:hyperlink r:id="rId472">
        <w:r>
          <w:rPr>
            <w:rStyle w:val="Hyperlink"/>
          </w:rPr>
          <w:t xml:space="preserve">10.1093/neuonc/noz235</w:t>
        </w:r>
      </w:hyperlink>
      <w:r>
        <w:t xml:space="preserve"> </w:t>
      </w:r>
      <w:r>
        <w:t xml:space="preserve">· PMID:</w:t>
      </w:r>
      <w:r>
        <w:t xml:space="preserve"> </w:t>
      </w:r>
      <w:hyperlink r:id="rId473">
        <w:r>
          <w:rPr>
            <w:rStyle w:val="Hyperlink"/>
          </w:rPr>
          <w:t xml:space="preserve">31889194</w:t>
        </w:r>
      </w:hyperlink>
      <w:r>
        <w:t xml:space="preserve"> </w:t>
      </w:r>
      <w:r>
        <w:t xml:space="preserve">· PMCID:</w:t>
      </w:r>
      <w:r>
        <w:t xml:space="preserve"> </w:t>
      </w:r>
      <w:hyperlink r:id="rId474">
        <w:r>
          <w:rPr>
            <w:rStyle w:val="Hyperlink"/>
          </w:rPr>
          <w:t xml:space="preserve">PMC7229260</w:t>
        </w:r>
      </w:hyperlink>
    </w:p>
    <w:bookmarkEnd w:id="475"/>
    <w:bookmarkStart w:id="480" w:name="ref-12DKhuCiy"/>
    <w:p>
      <w:pPr>
        <w:pStyle w:val="Bibliography"/>
      </w:pPr>
      <w:r>
        <w:t xml:space="preserve">28.</w:t>
      </w:r>
      <w:r>
        <w:t xml:space="preserve"> </w:t>
      </w:r>
      <w:r>
        <w:t xml:space="preserve">	</w:t>
      </w:r>
      <w:r>
        <w:rPr>
          <w:bCs/>
          <w:b/>
        </w:rPr>
        <w:t xml:space="preserve">A transcriptome-based classifier to determine molecular subtypes in medulloblastoma</w:t>
      </w:r>
      <w:r>
        <w:t xml:space="preserve"> </w:t>
      </w:r>
      <w:r>
        <w:t xml:space="preserve">Komal S Rathi, Sherjeel Arif, Mateusz Koptyra, Ammar S Naqvi, Deanne M Taylor, Phillip B Storm, Adam C Resnick, Jo Lynne Rokita, Pichai Raman</w:t>
      </w:r>
      <w:r>
        <w:t xml:space="preserve"> </w:t>
      </w:r>
      <w:r>
        <w:rPr>
          <w:iCs/>
          <w:i/>
        </w:rPr>
        <w:t xml:space="preserve">PLOS Computational Biology</w:t>
      </w:r>
      <w:r>
        <w:t xml:space="preserve"> </w:t>
      </w:r>
      <w:r>
        <w:t xml:space="preserve">(2020-10-29)</w:t>
      </w:r>
      <w:r>
        <w:t xml:space="preserve"> </w:t>
      </w:r>
      <w:hyperlink r:id="rId476">
        <w:r>
          <w:rPr>
            <w:rStyle w:val="Hyperlink"/>
          </w:rPr>
          <w:t xml:space="preserve">https://doi.org/gm84kq</w:t>
        </w:r>
      </w:hyperlink>
      <w:r>
        <w:t xml:space="preserve"> </w:t>
      </w:r>
      <w:r>
        <w:t xml:space="preserve">DOI:</w:t>
      </w:r>
      <w:r>
        <w:t xml:space="preserve"> </w:t>
      </w:r>
      <w:hyperlink r:id="rId477">
        <w:r>
          <w:rPr>
            <w:rStyle w:val="Hyperlink"/>
          </w:rPr>
          <w:t xml:space="preserve">10.1371/journal.pcbi.1008263</w:t>
        </w:r>
      </w:hyperlink>
      <w:r>
        <w:t xml:space="preserve"> </w:t>
      </w:r>
      <w:r>
        <w:t xml:space="preserve">· PMID:</w:t>
      </w:r>
      <w:r>
        <w:t xml:space="preserve"> </w:t>
      </w:r>
      <w:hyperlink r:id="rId478">
        <w:r>
          <w:rPr>
            <w:rStyle w:val="Hyperlink"/>
          </w:rPr>
          <w:t xml:space="preserve">33119584</w:t>
        </w:r>
      </w:hyperlink>
      <w:r>
        <w:t xml:space="preserve"> </w:t>
      </w:r>
      <w:r>
        <w:t xml:space="preserve">· PMCID:</w:t>
      </w:r>
      <w:r>
        <w:t xml:space="preserve"> </w:t>
      </w:r>
      <w:hyperlink r:id="rId479">
        <w:r>
          <w:rPr>
            <w:rStyle w:val="Hyperlink"/>
          </w:rPr>
          <w:t xml:space="preserve">PMC7654754</w:t>
        </w:r>
      </w:hyperlink>
    </w:p>
    <w:bookmarkEnd w:id="480"/>
    <w:bookmarkStart w:id="481" w:name="ref-17Erd7F9J"/>
    <w:p>
      <w:pPr>
        <w:pStyle w:val="Bibliography"/>
      </w:pPr>
      <w:r>
        <w:t xml:space="preserve">29.</w:t>
      </w:r>
      <w:r>
        <w:t xml:space="preserve"> </w:t>
      </w:r>
      <w:r>
        <w:t xml:space="preserve">	</w:t>
      </w:r>
      <w:r>
        <w:rPr>
          <w:bCs/>
          <w:b/>
        </w:rPr>
        <w:t xml:space="preserve">dbGaP Study</w:t>
      </w:r>
      <w:r>
        <w:t xml:space="preserve"> </w:t>
      </w:r>
      <w:hyperlink r:id="rId260">
        <w:r>
          <w:rPr>
            <w:rStyle w:val="Hyperlink"/>
          </w:rPr>
          <w:t xml:space="preserve">https://www.ncbi.nlm.nih.gov/projects/gap/cgi-bin/study.cgi?study_id=phs000218.v23.p8</w:t>
        </w:r>
      </w:hyperlink>
    </w:p>
    <w:bookmarkEnd w:id="481"/>
    <w:bookmarkStart w:id="482" w:name="ref-UVwAVvuW"/>
    <w:p>
      <w:pPr>
        <w:pStyle w:val="Bibliography"/>
      </w:pPr>
      <w:r>
        <w:t xml:space="preserve">30.</w:t>
      </w:r>
      <w:r>
        <w:t xml:space="preserve"> </w:t>
      </w:r>
      <w:r>
        <w:t xml:space="preserve">	</w:t>
      </w:r>
      <w:r>
        <w:rPr>
          <w:bCs/>
          <w:b/>
        </w:rPr>
        <w:t xml:space="preserve">dbGaP Study</w:t>
      </w:r>
      <w:r>
        <w:t xml:space="preserve"> </w:t>
      </w:r>
      <w:hyperlink r:id="rId261">
        <w:r>
          <w:rPr>
            <w:rStyle w:val="Hyperlink"/>
          </w:rPr>
          <w:t xml:space="preserve">https://www.ncbi.nlm.nih.gov/projects/gap/cgi-bin/study.cgi?study_id=phs001436.v1.p1</w:t>
        </w:r>
      </w:hyperlink>
    </w:p>
    <w:bookmarkEnd w:id="482"/>
    <w:bookmarkStart w:id="483" w:name="ref-16JieTeo0"/>
    <w:p>
      <w:pPr>
        <w:pStyle w:val="Bibliography"/>
      </w:pPr>
      <w:r>
        <w:t xml:space="preserve">31.</w:t>
      </w:r>
      <w:r>
        <w:t xml:space="preserve"> </w:t>
      </w:r>
      <w:r>
        <w:t xml:space="preserve">	</w:t>
      </w:r>
      <w:r>
        <w:rPr>
          <w:bCs/>
          <w:b/>
        </w:rPr>
        <w:t xml:space="preserve">dbGaP Study</w:t>
      </w:r>
      <w:r>
        <w:t xml:space="preserve"> </w:t>
      </w:r>
      <w:hyperlink r:id="rId262">
        <w:r>
          <w:rPr>
            <w:rStyle w:val="Hyperlink"/>
          </w:rPr>
          <w:t xml:space="preserve">https://www.ncbi.nlm.nih.gov/projects/gap/cgi-bin/study.cgi?study_id=phs002517.v2.p2</w:t>
        </w:r>
      </w:hyperlink>
    </w:p>
    <w:bookmarkEnd w:id="483"/>
    <w:bookmarkStart w:id="484" w:name="ref-A9rC7i7X"/>
    <w:p>
      <w:pPr>
        <w:pStyle w:val="Bibliography"/>
      </w:pPr>
      <w:r>
        <w:t xml:space="preserve">32.</w:t>
      </w:r>
      <w:r>
        <w:t xml:space="preserve"> </w:t>
      </w:r>
      <w:r>
        <w:t xml:space="preserve">	</w:t>
      </w:r>
      <w:r>
        <w:rPr>
          <w:bCs/>
          <w:b/>
        </w:rPr>
        <w:t xml:space="preserve">dbGaP Study</w:t>
      </w:r>
      <w:r>
        <w:t xml:space="preserve"> </w:t>
      </w:r>
      <w:hyperlink r:id="rId269">
        <w:r>
          <w:rPr>
            <w:rStyle w:val="Hyperlink"/>
          </w:rPr>
          <w:t xml:space="preserve">https://www.ncbi.nlm.nih.gov/projects/gap/cgi-bin/study.cgi?study_id=phs000178.v11.p8</w:t>
        </w:r>
      </w:hyperlink>
    </w:p>
    <w:bookmarkEnd w:id="484"/>
    <w:bookmarkEnd w:id="485"/>
    <w:bookmarkEnd w:id="486"/>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48" Target="media/rId48.png" /><Relationship Type="http://schemas.openxmlformats.org/officeDocument/2006/relationships/hyperlink" Id="rId259" Target="10.1016/j.xgen.2023.100340" TargetMode="External" /><Relationship Type="http://schemas.openxmlformats.org/officeDocument/2006/relationships/hyperlink" Id="rId264" Target="@https://ctep.cancer.gov/MajorInitiatives/Pediatric_PIVOT_Program.htm%5D" TargetMode="External" /><Relationship Type="http://schemas.openxmlformats.org/officeDocument/2006/relationships/hyperlink" Id="rId263" Target="@https://www.chordomafoundation.org" TargetMode="External" /><Relationship Type="http://schemas.openxmlformats.org/officeDocument/2006/relationships/hyperlink" Id="rId257" Target="http://www.pnoc.us/" TargetMode="External" /><Relationship Type="http://schemas.openxmlformats.org/officeDocument/2006/relationships/hyperlink" Id="rId340" Target="https://cavatica.sbgenomics.com/u/cavatica/opentarget" TargetMode="External" /><Relationship Type="http://schemas.openxmlformats.org/officeDocument/2006/relationships/hyperlink" Id="rId300" Target="https://cavatica.sbgenomics.com/u/cavatica/opentarget/files/#q?path=v12" TargetMode="External" /><Relationship Type="http://schemas.openxmlformats.org/officeDocument/2006/relationships/hyperlink" Id="rId286" Target="https://cavatica.sbgenomics.com/u/kfdrc-harmonization/kf-references" TargetMode="External" /><Relationship Type="http://schemas.openxmlformats.org/officeDocument/2006/relationships/hyperlink" Id="rId254" Target="https://cbtn.org/" TargetMode="External" /><Relationship Type="http://schemas.openxmlformats.org/officeDocument/2006/relationships/hyperlink" Id="rId255" Target="https://cbtn.org/pediatric-brain-tumor-atlas/" TargetMode="External" /><Relationship Type="http://schemas.openxmlformats.org/officeDocument/2006/relationships/hyperlink" Id="rId20" Target="https://d3b-center.github.io/OpenPedCan-manuscript/v/6755f2cd5d8c00df24cbf74965aabc34d3e6ebc1/" TargetMode="External" /><Relationship Type="http://schemas.openxmlformats.org/officeDocument/2006/relationships/hyperlink" Id="rId271" Target="https://d3b.center/" TargetMode="External" /><Relationship Type="http://schemas.openxmlformats.org/officeDocument/2006/relationships/hyperlink" Id="rId364" Target="https://doi.org/10.1016/j.ccell.2021.01.006" TargetMode="External" /><Relationship Type="http://schemas.openxmlformats.org/officeDocument/2006/relationships/hyperlink" Id="rId359" Target="https://doi.org/10.1016/j.cell.2020.10.044" TargetMode="External" /><Relationship Type="http://schemas.openxmlformats.org/officeDocument/2006/relationships/hyperlink" Id="rId352" Target="https://doi.org/10.1016/j.celrep.2019.09.071" TargetMode="External" /><Relationship Type="http://schemas.openxmlformats.org/officeDocument/2006/relationships/hyperlink" Id="rId369" Target="https://doi.org/10.1016/j.xgen.2023.100340" TargetMode="External" /><Relationship Type="http://schemas.openxmlformats.org/officeDocument/2006/relationships/hyperlink" Id="rId423" Target="https://doi.org/10.1038/bjc.2013.496" TargetMode="External" /><Relationship Type="http://schemas.openxmlformats.org/officeDocument/2006/relationships/hyperlink" Id="rId467" Target="https://doi.org/10.1038/nature12477" TargetMode="External" /><Relationship Type="http://schemas.openxmlformats.org/officeDocument/2006/relationships/hyperlink" Id="rId433" Target="https://doi.org/10.1038/nature26000" TargetMode="External" /><Relationship Type="http://schemas.openxmlformats.org/officeDocument/2006/relationships/hyperlink" Id="rId458" Target="https://doi.org/10.1038/nbt1240" TargetMode="External" /><Relationship Type="http://schemas.openxmlformats.org/officeDocument/2006/relationships/hyperlink" Id="rId448" Target="https://doi.org/10.1038/ncomms6277" TargetMode="External" /><Relationship Type="http://schemas.openxmlformats.org/officeDocument/2006/relationships/hyperlink" Id="rId438" Target="https://doi.org/10.1038/nmeth.4256" TargetMode="External" /><Relationship Type="http://schemas.openxmlformats.org/officeDocument/2006/relationships/hyperlink" Id="rId384" Target="https://doi.org/10.1038/s41592-018-0051-x" TargetMode="External" /><Relationship Type="http://schemas.openxmlformats.org/officeDocument/2006/relationships/hyperlink" Id="rId391" Target="https://doi.org/10.1038/s42003-018-0023-9" TargetMode="External" /><Relationship Type="http://schemas.openxmlformats.org/officeDocument/2006/relationships/hyperlink" Id="rId401" Target="https://doi.org/10.1093/bioinformatics/btq635" TargetMode="External" /><Relationship Type="http://schemas.openxmlformats.org/officeDocument/2006/relationships/hyperlink" Id="rId396" Target="https://doi.org/10.1093/bioinformatics/btr670" TargetMode="External" /><Relationship Type="http://schemas.openxmlformats.org/officeDocument/2006/relationships/hyperlink" Id="rId443" Target="https://doi.org/10.1093/bioinformatics/btv437" TargetMode="External" /><Relationship Type="http://schemas.openxmlformats.org/officeDocument/2006/relationships/hyperlink" Id="rId418" Target="https://doi.org/10.1093/bioinformatics/btw691" TargetMode="External" /><Relationship Type="http://schemas.openxmlformats.org/officeDocument/2006/relationships/hyperlink" Id="rId472" Target="https://doi.org/10.1093/neuonc/noz235" TargetMode="External" /><Relationship Type="http://schemas.openxmlformats.org/officeDocument/2006/relationships/hyperlink" Id="rId388" Target="https://doi.org/10.1101/861054" TargetMode="External" /><Relationship Type="http://schemas.openxmlformats.org/officeDocument/2006/relationships/hyperlink" Id="rId411" Target="https://doi.org/10.1101/gr.107524.110" TargetMode="External" /><Relationship Type="http://schemas.openxmlformats.org/officeDocument/2006/relationships/hyperlink" Id="rId453" Target="https://doi.org/10.1186/1471-2164-15-s1-s9" TargetMode="External" /><Relationship Type="http://schemas.openxmlformats.org/officeDocument/2006/relationships/hyperlink" Id="rId415" Target="https://doi.org/10.1186/gb-2011-12-4-r41" TargetMode="External" /><Relationship Type="http://schemas.openxmlformats.org/officeDocument/2006/relationships/hyperlink" Id="rId428" Target="https://doi.org/10.1186/s12864-015-2202-0" TargetMode="External" /><Relationship Type="http://schemas.openxmlformats.org/officeDocument/2006/relationships/hyperlink" Id="rId462" Target="https://doi.org/10.1186/s13059-016-0893-4" TargetMode="External" /><Relationship Type="http://schemas.openxmlformats.org/officeDocument/2006/relationships/hyperlink" Id="rId379" Target="https://doi.org/10.1186/s13059-016-0974-4" TargetMode="External" /><Relationship Type="http://schemas.openxmlformats.org/officeDocument/2006/relationships/hyperlink" Id="rId374" Target="https://doi.org/10.1186/s13073-020-00761-2" TargetMode="External" /><Relationship Type="http://schemas.openxmlformats.org/officeDocument/2006/relationships/hyperlink" Id="rId406" Target="https://doi.org/10.1371/journal.pcbi.1004873" TargetMode="External" /><Relationship Type="http://schemas.openxmlformats.org/officeDocument/2006/relationships/hyperlink" Id="rId477" Target="https://doi.org/10.1371/journal.pcbi.1008263" TargetMode="External" /><Relationship Type="http://schemas.openxmlformats.org/officeDocument/2006/relationships/hyperlink" Id="rId410" Target="https://doi.org/bnzbn6" TargetMode="External" /><Relationship Type="http://schemas.openxmlformats.org/officeDocument/2006/relationships/hyperlink" Id="rId400" Target="https://doi.org/c6bcps" TargetMode="External" /><Relationship Type="http://schemas.openxmlformats.org/officeDocument/2006/relationships/hyperlink" Id="rId405" Target="https://doi.org/c9pd" TargetMode="External" /><Relationship Type="http://schemas.openxmlformats.org/officeDocument/2006/relationships/hyperlink" Id="rId395" Target="https://doi.org/ckt4vz" TargetMode="External" /><Relationship Type="http://schemas.openxmlformats.org/officeDocument/2006/relationships/hyperlink" Id="rId457" Target="https://doi.org/dbwqf4" TargetMode="External" /><Relationship Type="http://schemas.openxmlformats.org/officeDocument/2006/relationships/hyperlink" Id="rId466" Target="https://doi.org/f22m2q" TargetMode="External" /><Relationship Type="http://schemas.openxmlformats.org/officeDocument/2006/relationships/hyperlink" Id="rId461" Target="https://doi.org/f8bdsq" TargetMode="External" /><Relationship Type="http://schemas.openxmlformats.org/officeDocument/2006/relationships/hyperlink" Id="rId417" Target="https://doi.org/f9x7kd" TargetMode="External" /><Relationship Type="http://schemas.openxmlformats.org/officeDocument/2006/relationships/hyperlink" Id="rId437" Target="https://doi.org/f9z6p7" TargetMode="External" /><Relationship Type="http://schemas.openxmlformats.org/officeDocument/2006/relationships/hyperlink" Id="rId452" Target="https://doi.org/gb3gzt" TargetMode="External" /><Relationship Type="http://schemas.openxmlformats.org/officeDocument/2006/relationships/hyperlink" Id="rId427" Target="https://doi.org/gb3h5r" TargetMode="External" /><Relationship Type="http://schemas.openxmlformats.org/officeDocument/2006/relationships/hyperlink" Id="rId442" Target="https://doi.org/gb5g57" TargetMode="External" /><Relationship Type="http://schemas.openxmlformats.org/officeDocument/2006/relationships/hyperlink" Id="rId422" Target="https://doi.org/gb9qvv" TargetMode="External" /><Relationship Type="http://schemas.openxmlformats.org/officeDocument/2006/relationships/hyperlink" Id="rId432" Target="https://doi.org/gc5t36" TargetMode="External" /><Relationship Type="http://schemas.openxmlformats.org/officeDocument/2006/relationships/hyperlink" Id="rId383" Target="https://doi.org/gdwrp4" TargetMode="External" /><Relationship Type="http://schemas.openxmlformats.org/officeDocument/2006/relationships/hyperlink" Id="rId378" Target="https://doi.org/gdz75c" TargetMode="External" /><Relationship Type="http://schemas.openxmlformats.org/officeDocument/2006/relationships/hyperlink" Id="rId390" Target="https://doi.org/gfcfr8" TargetMode="External" /><Relationship Type="http://schemas.openxmlformats.org/officeDocument/2006/relationships/hyperlink" Id="rId351" Target="https://doi.org/gg596n" TargetMode="External" /><Relationship Type="http://schemas.openxmlformats.org/officeDocument/2006/relationships/hyperlink" Id="rId447" Target="https://doi.org/ggkdq8" TargetMode="External" /><Relationship Type="http://schemas.openxmlformats.org/officeDocument/2006/relationships/hyperlink" Id="rId387" Target="https://doi.org/ggntwv" TargetMode="External" /><Relationship Type="http://schemas.openxmlformats.org/officeDocument/2006/relationships/hyperlink" Id="rId363" Target="https://doi.org/gh7whf" TargetMode="External" /><Relationship Type="http://schemas.openxmlformats.org/officeDocument/2006/relationships/hyperlink" Id="rId358" Target="https://doi.org/ghqjkz" TargetMode="External" /><Relationship Type="http://schemas.openxmlformats.org/officeDocument/2006/relationships/hyperlink" Id="rId476" Target="https://doi.org/gm84kq" TargetMode="External" /><Relationship Type="http://schemas.openxmlformats.org/officeDocument/2006/relationships/hyperlink" Id="rId471" Target="https://doi.org/gn3kcm" TargetMode="External" /><Relationship Type="http://schemas.openxmlformats.org/officeDocument/2006/relationships/hyperlink" Id="rId368" Target="https://doi.org/gr92p6" TargetMode="External" /><Relationship Type="http://schemas.openxmlformats.org/officeDocument/2006/relationships/hyperlink" Id="rId373" Target="https://doi.org/gtsm62" TargetMode="External" /><Relationship Type="http://schemas.openxmlformats.org/officeDocument/2006/relationships/hyperlink" Id="rId327" Target="https://friendsofcancerresearch.org/tmb/" TargetMode="External" /><Relationship Type="http://schemas.openxmlformats.org/officeDocument/2006/relationships/hyperlink" Id="rId299" Target="https://genomebiology.biomedcentral.com/articles/10.1186/s13059-014-0550-8" TargetMode="External" /><Relationship Type="http://schemas.openxmlformats.org/officeDocument/2006/relationships/hyperlink" Id="rId337" Target="https://github.com/AlexsLemonade/OpenPBTA-analysis" TargetMode="External" /><Relationship Type="http://schemas.openxmlformats.org/officeDocument/2006/relationships/hyperlink" Id="rId325" Target="https://github.com/AlexsLemonade/OpenPBTA-analysis/tree/master/analyses/snv-callers" TargetMode="External" /><Relationship Type="http://schemas.openxmlformats.org/officeDocument/2006/relationships/hyperlink" Id="rId258" Target="https://github.com/AlexsLemonade/OpenPBTA-manuscript/" TargetMode="External" /><Relationship Type="http://schemas.openxmlformats.org/officeDocument/2006/relationships/hyperlink" Id="rId108" Target="https://github.com/AntoniaChroni" TargetMode="External" /><Relationship Type="http://schemas.openxmlformats.org/officeDocument/2006/relationships/hyperlink" Id="rId211" Target="https://github.com/HuangXiaoyan0106" TargetMode="External" /><Relationship Type="http://schemas.openxmlformats.org/officeDocument/2006/relationships/hyperlink" Id="rId150" Target="https://github.com/JosephDybas" TargetMode="External" /><Relationship Type="http://schemas.openxmlformats.org/officeDocument/2006/relationships/hyperlink" Id="rId333" Target="https://github.com/PediatricOpenTargets/OpenPedCan-analysis/tree/d397339d567ddeff17e7a8cdca892f6a9dd2a0ba/analyses/independent-samples" TargetMode="External" /><Relationship Type="http://schemas.openxmlformats.org/officeDocument/2006/relationships/hyperlink" Id="rId303" Target="https://github.com/PediatricOpenTargets/OpenPedCan-analysis/tree/dev/analyses/collapse-rnaseq" TargetMode="External" /><Relationship Type="http://schemas.openxmlformats.org/officeDocument/2006/relationships/hyperlink" Id="rId315" Target="https://github.com/PediatricOpenTargets/OpenPedCan-analysis/tree/dev/analyses/focal-cn-file-preparation" TargetMode="External" /><Relationship Type="http://schemas.openxmlformats.org/officeDocument/2006/relationships/hyperlink" Id="rId318" Target="https://github.com/PediatricOpenTargets/OpenPedCan-analysis/tree/dev/analyses/fusion_filtering" TargetMode="External" /><Relationship Type="http://schemas.openxmlformats.org/officeDocument/2006/relationships/hyperlink" Id="rId291" Target="https://github.com/PediatricOpenTargets/OpenPedCan-analysis/tree/dev/analyses/methylation-preprocessing" TargetMode="External" /><Relationship Type="http://schemas.openxmlformats.org/officeDocument/2006/relationships/hyperlink" Id="rId293" Target="https://github.com/PediatricOpenTargets/OpenPedCan-analysis/tree/dev/analyses/methylation-summary" TargetMode="External" /><Relationship Type="http://schemas.openxmlformats.org/officeDocument/2006/relationships/hyperlink" Id="rId305" Target="https://github.com/PediatricOpenTargets/OpenPedCan-analysis/tree/dev/analyses/rna-seq-expression-summary-stats" TargetMode="External" /><Relationship Type="http://schemas.openxmlformats.org/officeDocument/2006/relationships/hyperlink" Id="rId324" Target="https://github.com/PediatricOpenTargets/OpenPedCan-analysis/tree/dev/analyses/tmb-calculation" TargetMode="External" /><Relationship Type="http://schemas.openxmlformats.org/officeDocument/2006/relationships/hyperlink" Id="rId298" Target="https://github.com/PediatricOpenTargets/OpenPedCan-analysis/tree/dev/analyses/tumor-normal-differential-expression" TargetMode="External" /><Relationship Type="http://schemas.openxmlformats.org/officeDocument/2006/relationships/hyperlink" Id="rId114" Target="https://github.com/aadamk" TargetMode="External" /><Relationship Type="http://schemas.openxmlformats.org/officeDocument/2006/relationships/hyperlink" Id="rId223" Target="https://github.com/adamcresnick" TargetMode="External" /><Relationship Type="http://schemas.openxmlformats.org/officeDocument/2006/relationships/hyperlink" Id="rId84" Target="https://github.com/adilahiri" TargetMode="External" /><Relationship Type="http://schemas.openxmlformats.org/officeDocument/2006/relationships/hyperlink" Id="rId156" Target="https://github.com/afarrel" TargetMode="External" /><Relationship Type="http://schemas.openxmlformats.org/officeDocument/2006/relationships/hyperlink" Id="rId78" Target="https://github.com/atlas4213" TargetMode="External" /><Relationship Type="http://schemas.openxmlformats.org/officeDocument/2006/relationships/hyperlink" Id="rId164" Target="https://github.com/baileyckelly" TargetMode="External" /><Relationship Type="http://schemas.openxmlformats.org/officeDocument/2006/relationships/hyperlink" Id="rId129" Target="https://github.com/bmennis" TargetMode="External" /><Relationship Type="http://schemas.openxmlformats.org/officeDocument/2006/relationships/hyperlink" Id="rId217" Target="https://github.com/chinwallaa" TargetMode="External" /><Relationship Type="http://schemas.openxmlformats.org/officeDocument/2006/relationships/hyperlink" Id="rId301" Target="https://github.com/d3b-center/D3b-DGD-Collaboration/blob/main/scripts/update_gene_symbols.py" TargetMode="External" /><Relationship Type="http://schemas.openxmlformats.org/officeDocument/2006/relationships/hyperlink" Id="rId338" Target="https://github.com/d3b-center/OpenPedCan-analysis" TargetMode="External" /><Relationship Type="http://schemas.openxmlformats.org/officeDocument/2006/relationships/hyperlink" Id="rId270" Target="https://github.com/d3b-center/OpenPedCan-analysis/blob/dev/analyses/molecular-subtyping-integrate/results/tcga_cancer_groups.tsv" TargetMode="External" /><Relationship Type="http://schemas.openxmlformats.org/officeDocument/2006/relationships/hyperlink" Id="rId21" Target="https://github.com/d3b-center/OpenPedCan-manuscript/tree/6755f2cd5d8c00df24cbf74965aabc34d3e6ebc1" TargetMode="External" /><Relationship Type="http://schemas.openxmlformats.org/officeDocument/2006/relationships/hyperlink" Id="rId105" Target="https://github.com/devbyaccident" TargetMode="External" /><Relationship Type="http://schemas.openxmlformats.org/officeDocument/2006/relationships/hyperlink" Id="rId90" Target="https://github.com/dmiller15" TargetMode="External" /><Relationship Type="http://schemas.openxmlformats.org/officeDocument/2006/relationships/hyperlink" Id="rId35" Target="https://github.com/ewafula" TargetMode="External" /><Relationship Type="http://schemas.openxmlformats.org/officeDocument/2006/relationships/hyperlink" Id="rId241" Target="https://github.com/jharenza" TargetMode="External" /><Relationship Type="http://schemas.openxmlformats.org/officeDocument/2006/relationships/hyperlink" Id="rId102" Target="https://github.com/kelseykeith" TargetMode="External" /><Relationship Type="http://schemas.openxmlformats.org/officeDocument/2006/relationships/hyperlink" Id="rId320" Target="https://github.com/kids-first/kf-rnaseq-workflow/blob/master/workflow/rmats_wf.cwl" TargetMode="External" /><Relationship Type="http://schemas.openxmlformats.org/officeDocument/2006/relationships/hyperlink" Id="rId326" Target="https://github.com/kids-first/kf-somatic-workflow/blob/master/docs/kfdrc-consensus-calling.md" TargetMode="External" /><Relationship Type="http://schemas.openxmlformats.org/officeDocument/2006/relationships/hyperlink" Id="rId287" Target="https://github.com/kids-first/kf-tumor-workflow/blob/v0.3.0-beta/workflows/kfdrc_controlfreec_tumor_only_wf.cwl" TargetMode="External" /><Relationship Type="http://schemas.openxmlformats.org/officeDocument/2006/relationships/hyperlink" Id="rId280" Target="https://github.com/kids-first/kf-tumor-workflow/tree/v0.3.0-beta" TargetMode="External" /><Relationship Type="http://schemas.openxmlformats.org/officeDocument/2006/relationships/hyperlink" Id="rId63" Target="https://github.com/komalsrathi" TargetMode="External" /><Relationship Type="http://schemas.openxmlformats.org/officeDocument/2006/relationships/hyperlink" Id="rId179" Target="https://github.com/luederm" TargetMode="External" /><Relationship Type="http://schemas.openxmlformats.org/officeDocument/2006/relationships/hyperlink" Id="rId120" Target="https://github.com/migbro" TargetMode="External" /><Relationship Type="http://schemas.openxmlformats.org/officeDocument/2006/relationships/hyperlink" Id="rId132" Target="https://github.com/naqvia" TargetMode="External" /><Relationship Type="http://schemas.openxmlformats.org/officeDocument/2006/relationships/hyperlink" Id="rId185" Target="https://github.com/nicholasvk" TargetMode="External" /><Relationship Type="http://schemas.openxmlformats.org/officeDocument/2006/relationships/hyperlink" Id="rId41" Target="https://github.com/rjcorb" TargetMode="External" /><Relationship Type="http://schemas.openxmlformats.org/officeDocument/2006/relationships/hyperlink" Id="rId47" Target="https://github.com/runjin326" TargetMode="External" /><Relationship Type="http://schemas.openxmlformats.org/officeDocument/2006/relationships/hyperlink" Id="rId203" Target="https://github.com/sakshamphul" TargetMode="External" /><Relationship Type="http://schemas.openxmlformats.org/officeDocument/2006/relationships/hyperlink" Id="rId72" Target="https://github.com/sangeetashukla" TargetMode="External" /><Relationship Type="http://schemas.openxmlformats.org/officeDocument/2006/relationships/hyperlink" Id="rId96" Target="https://github.com/sickler-alex" TargetMode="External" /><Relationship Type="http://schemas.openxmlformats.org/officeDocument/2006/relationships/hyperlink" Id="rId235" Target="https://github.com/taylordm" TargetMode="External" /><Relationship Type="http://schemas.openxmlformats.org/officeDocument/2006/relationships/hyperlink" Id="rId170" Target="https://github.com/yuankunzhu" TargetMode="External" /><Relationship Type="http://schemas.openxmlformats.org/officeDocument/2006/relationships/hyperlink" Id="rId147" Target="https://github.com/zhangb1" TargetMode="External" /><Relationship Type="http://schemas.openxmlformats.org/officeDocument/2006/relationships/hyperlink" Id="rId191" Target="https://github.com/zoomzoom1011" TargetMode="External" /><Relationship Type="http://schemas.openxmlformats.org/officeDocument/2006/relationships/hyperlink" Id="rId29" Target="https://github.com/zzgeng" TargetMode="External" /><Relationship Type="http://schemas.openxmlformats.org/officeDocument/2006/relationships/hyperlink" Id="rId268" Target="https://gtexportal.org/home/" TargetMode="External" /><Relationship Type="http://schemas.openxmlformats.org/officeDocument/2006/relationships/hyperlink" Id="rId302" Target="https://https://ftp.ebi.ac.uk/pub/databases/genenames/hgnc/archive/monthly/tsv/hgnc_complete_set_2021-06-01.txt" TargetMode="External" /><Relationship Type="http://schemas.openxmlformats.org/officeDocument/2006/relationships/hyperlink" Id="rId256" Target="https://kidsfirstdrc.org/" TargetMode="External" /><Relationship Type="http://schemas.openxmlformats.org/officeDocument/2006/relationships/hyperlink" Id="rId356" Target="https://mctp.med.umich.edu" TargetMode="External" /><Relationship Type="http://schemas.openxmlformats.org/officeDocument/2006/relationships/hyperlink" Id="rId253" Target="https://moleculartargets.ccdi.cancer.gov/" TargetMode="External" /><Relationship Type="http://schemas.openxmlformats.org/officeDocument/2006/relationships/hyperlink" Id="rId60" Target="https://orcid.org/0000-0001-5534-6904" TargetMode="External" /><Relationship Type="http://schemas.openxmlformats.org/officeDocument/2006/relationships/hyperlink" Id="rId194" Target="https://orcid.org/0000-0001-6454-1285" TargetMode="External" /><Relationship Type="http://schemas.openxmlformats.org/officeDocument/2006/relationships/hyperlink" Id="rId161" Target="https://orcid.org/0000-0001-6727-6333" TargetMode="External" /><Relationship Type="http://schemas.openxmlformats.org/officeDocument/2006/relationships/hyperlink" Id="rId117" Target="https://orcid.org/0000-0001-6782-1442" TargetMode="External" /><Relationship Type="http://schemas.openxmlformats.org/officeDocument/2006/relationships/hyperlink" Id="rId208" Target="https://orcid.org/0000-0001-7267-4512" TargetMode="External" /><Relationship Type="http://schemas.openxmlformats.org/officeDocument/2006/relationships/hyperlink" Id="rId93" Target="https://orcid.org/0000-0001-7830-7537" TargetMode="External" /><Relationship Type="http://schemas.openxmlformats.org/officeDocument/2006/relationships/hyperlink" Id="rId214" Target="https://orcid.org/0000-0001-7831-3996" TargetMode="External" /><Relationship Type="http://schemas.openxmlformats.org/officeDocument/2006/relationships/hyperlink" Id="rId32" Target="https://orcid.org/0000-0001-8073-3797" TargetMode="External" /><Relationship Type="http://schemas.openxmlformats.org/officeDocument/2006/relationships/hyperlink" Id="rId81" Target="https://orcid.org/0000-0001-9352-1312" TargetMode="External" /><Relationship Type="http://schemas.openxmlformats.org/officeDocument/2006/relationships/hyperlink" Id="rId144" Target="https://orcid.org/0000-0002-0743-5379" TargetMode="External" /><Relationship Type="http://schemas.openxmlformats.org/officeDocument/2006/relationships/hyperlink" Id="rId229" Target="https://orcid.org/0000-0002-0825-7615" TargetMode="External" /><Relationship Type="http://schemas.openxmlformats.org/officeDocument/2006/relationships/hyperlink" Id="rId75" Target="https://orcid.org/0000-0002-1337-1789" TargetMode="External" /><Relationship Type="http://schemas.openxmlformats.org/officeDocument/2006/relationships/hyperlink" Id="rId87" Target="https://orcid.org/0000-0002-2032-4358" TargetMode="External" /><Relationship Type="http://schemas.openxmlformats.org/officeDocument/2006/relationships/hyperlink" Id="rId167" Target="https://orcid.org/0000-0002-2455-9525" TargetMode="External" /><Relationship Type="http://schemas.openxmlformats.org/officeDocument/2006/relationships/hyperlink" Id="rId126" Target="https://orcid.org/0000-0002-2653-5009" TargetMode="External" /><Relationship Type="http://schemas.openxmlformats.org/officeDocument/2006/relationships/hyperlink" Id="rId200" Target="https://orcid.org/0000-0002-2771-2572" TargetMode="External" /><Relationship Type="http://schemas.openxmlformats.org/officeDocument/2006/relationships/hyperlink" Id="rId232" Target="https://orcid.org/0000-0002-3302-4610" TargetMode="External" /><Relationship Type="http://schemas.openxmlformats.org/officeDocument/2006/relationships/hyperlink" Id="rId38" Target="https://orcid.org/0000-0002-3478-0784" TargetMode="External" /><Relationship Type="http://schemas.openxmlformats.org/officeDocument/2006/relationships/hyperlink" Id="rId69" Target="https://orcid.org/0000-0002-3727-9602" TargetMode="External" /><Relationship Type="http://schemas.openxmlformats.org/officeDocument/2006/relationships/hyperlink" Id="rId197" Target="https://orcid.org/0000-0002-6728-3450" TargetMode="External" /><Relationship Type="http://schemas.openxmlformats.org/officeDocument/2006/relationships/hyperlink" Id="rId138" Target="https://orcid.org/0000-0002-7200-8939" TargetMode="External" /><Relationship Type="http://schemas.openxmlformats.org/officeDocument/2006/relationships/hyperlink" Id="rId182" Target="https://orcid.org/0000-0002-7414-9516" TargetMode="External" /><Relationship Type="http://schemas.openxmlformats.org/officeDocument/2006/relationships/hyperlink" Id="rId99" Target="https://orcid.org/0000-0002-7451-5117" TargetMode="External" /><Relationship Type="http://schemas.openxmlformats.org/officeDocument/2006/relationships/hyperlink" Id="rId111" Target="https://orcid.org/0000-0002-8526-5694" TargetMode="External" /><Relationship Type="http://schemas.openxmlformats.org/officeDocument/2006/relationships/hyperlink" Id="rId44" Target="https://orcid.org/0000-0002-8958-9266" TargetMode="External" /><Relationship Type="http://schemas.openxmlformats.org/officeDocument/2006/relationships/hyperlink" Id="rId220" Target="https://orcid.org/0000-0003-0436-4189" TargetMode="External" /><Relationship Type="http://schemas.openxmlformats.org/officeDocument/2006/relationships/hyperlink" Id="rId54" Target="https://orcid.org/0000-0003-0838-2405" TargetMode="External" /><Relationship Type="http://schemas.openxmlformats.org/officeDocument/2006/relationships/hyperlink" Id="rId153" Target="https://orcid.org/0000-0003-1087-9840" TargetMode="External" /><Relationship Type="http://schemas.openxmlformats.org/officeDocument/2006/relationships/hyperlink" Id="rId238" Target="https://orcid.org/0000-0003-2171-3627" TargetMode="External" /><Relationship Type="http://schemas.openxmlformats.org/officeDocument/2006/relationships/hyperlink" Id="rId188" Target="https://orcid.org/0000-0003-2406-2735" TargetMode="External" /><Relationship Type="http://schemas.openxmlformats.org/officeDocument/2006/relationships/hyperlink" Id="rId176" Target="https://orcid.org/0009-0002-7370-102X" TargetMode="External" /><Relationship Type="http://schemas.openxmlformats.org/officeDocument/2006/relationships/hyperlink" Id="rId25" Target="https://orcid.org/0009-0007-6883-0691" TargetMode="External" /><Relationship Type="http://schemas.openxmlformats.org/officeDocument/2006/relationships/hyperlink" Id="rId341" Target="https://pedcbioportal.kidsfirstdrc.org/study/summary?id=openpedcan_v15" TargetMode="External" /><Relationship Type="http://schemas.openxmlformats.org/officeDocument/2006/relationships/hyperlink" Id="rId265" Target="https://preclinicalpivot.org/about-pivot/" TargetMode="External" /><Relationship Type="http://schemas.openxmlformats.org/officeDocument/2006/relationships/hyperlink" Id="rId226" Target="https://twitter.com/adamcresnick" TargetMode="External" /><Relationship Type="http://schemas.openxmlformats.org/officeDocument/2006/relationships/hyperlink" Id="rId57" Target="https://twitter.com/aggokittu" TargetMode="External" /><Relationship Type="http://schemas.openxmlformats.org/officeDocument/2006/relationships/hyperlink" Id="rId135" Target="https://twitter.com/jenn0307" TargetMode="External" /><Relationship Type="http://schemas.openxmlformats.org/officeDocument/2006/relationships/hyperlink" Id="rId244" Target="https://twitter.com/jolynnerokita" TargetMode="External" /><Relationship Type="http://schemas.openxmlformats.org/officeDocument/2006/relationships/hyperlink" Id="rId66" Target="https://twitter.com/komalsrathi" TargetMode="External" /><Relationship Type="http://schemas.openxmlformats.org/officeDocument/2006/relationships/hyperlink" Id="rId123" Target="https://twitter.com/migbro" TargetMode="External" /><Relationship Type="http://schemas.openxmlformats.org/officeDocument/2006/relationships/hyperlink" Id="rId51" Target="https://twitter.com/runjin" TargetMode="External" /><Relationship Type="http://schemas.openxmlformats.org/officeDocument/2006/relationships/hyperlink" Id="rId141" Target="https://twitter.com/sjdiskin" TargetMode="External" /><Relationship Type="http://schemas.openxmlformats.org/officeDocument/2006/relationships/hyperlink" Id="rId173" Target="https://twitter.com/zhuyuankun" TargetMode="External" /><Relationship Type="http://schemas.openxmlformats.org/officeDocument/2006/relationships/hyperlink" Id="rId266" Target="https://www.chop.edu/cancer-panels" TargetMode="External" /><Relationship Type="http://schemas.openxmlformats.org/officeDocument/2006/relationships/hyperlink" Id="rId267" Target="https://www.chop.edu/centers-programs/division-genomic-diagnostics" TargetMode="External" /><Relationship Type="http://schemas.openxmlformats.org/officeDocument/2006/relationships/hyperlink" Id="rId295" Target="https://www.molecularneuropathology.org/mnp/classifiers/11" TargetMode="External" /><Relationship Type="http://schemas.openxmlformats.org/officeDocument/2006/relationships/hyperlink" Id="rId371" Target="https://www.ncbi.nlm.nih.gov/pmc/articles/PMC10363844" TargetMode="External" /><Relationship Type="http://schemas.openxmlformats.org/officeDocument/2006/relationships/hyperlink" Id="rId413" Target="https://www.ncbi.nlm.nih.gov/pmc/articles/PMC2928508" TargetMode="External" /><Relationship Type="http://schemas.openxmlformats.org/officeDocument/2006/relationships/hyperlink" Id="rId403" Target="https://www.ncbi.nlm.nih.gov/pmc/articles/PMC3018818" TargetMode="External" /><Relationship Type="http://schemas.openxmlformats.org/officeDocument/2006/relationships/hyperlink" Id="rId398" Target="https://www.ncbi.nlm.nih.gov/pmc/articles/PMC3268243" TargetMode="External" /><Relationship Type="http://schemas.openxmlformats.org/officeDocument/2006/relationships/hyperlink" Id="rId469" Target="https://www.ncbi.nlm.nih.gov/pmc/articles/PMC3776390" TargetMode="External" /><Relationship Type="http://schemas.openxmlformats.org/officeDocument/2006/relationships/hyperlink" Id="rId425" Target="https://www.ncbi.nlm.nih.gov/pmc/articles/PMC3777004" TargetMode="External" /><Relationship Type="http://schemas.openxmlformats.org/officeDocument/2006/relationships/hyperlink" Id="rId455" Target="https://www.ncbi.nlm.nih.gov/pmc/articles/PMC4046700" TargetMode="External" /><Relationship Type="http://schemas.openxmlformats.org/officeDocument/2006/relationships/hyperlink" Id="rId445" Target="https://www.ncbi.nlm.nih.gov/pmc/articles/PMC4653383" TargetMode="External" /><Relationship Type="http://schemas.openxmlformats.org/officeDocument/2006/relationships/hyperlink" Id="rId430" Target="https://www.ncbi.nlm.nih.gov/pmc/articles/PMC4659175" TargetMode="External" /><Relationship Type="http://schemas.openxmlformats.org/officeDocument/2006/relationships/hyperlink" Id="rId464" Target="https://www.ncbi.nlm.nih.gov/pmc/articles/PMC4762164" TargetMode="External" /><Relationship Type="http://schemas.openxmlformats.org/officeDocument/2006/relationships/hyperlink" Id="rId408" Target="https://www.ncbi.nlm.nih.gov/pmc/articles/PMC4839673" TargetMode="External" /><Relationship Type="http://schemas.openxmlformats.org/officeDocument/2006/relationships/hyperlink" Id="rId381" Target="https://www.ncbi.nlm.nih.gov/pmc/articles/PMC4893825" TargetMode="External" /><Relationship Type="http://schemas.openxmlformats.org/officeDocument/2006/relationships/hyperlink" Id="rId450" Target="https://www.ncbi.nlm.nih.gov/pmc/articles/PMC5036525" TargetMode="External" /><Relationship Type="http://schemas.openxmlformats.org/officeDocument/2006/relationships/hyperlink" Id="rId420" Target="https://www.ncbi.nlm.nih.gov/pmc/articles/PMC5408810" TargetMode="External" /><Relationship Type="http://schemas.openxmlformats.org/officeDocument/2006/relationships/hyperlink" Id="rId440" Target="https://www.ncbi.nlm.nih.gov/pmc/articles/PMC5409104" TargetMode="External" /><Relationship Type="http://schemas.openxmlformats.org/officeDocument/2006/relationships/hyperlink" Id="rId435" Target="https://www.ncbi.nlm.nih.gov/pmc/articles/PMC6093218" TargetMode="External" /><Relationship Type="http://schemas.openxmlformats.org/officeDocument/2006/relationships/hyperlink" Id="rId393" Target="https://www.ncbi.nlm.nih.gov/pmc/articles/PMC6123722" TargetMode="External" /><Relationship Type="http://schemas.openxmlformats.org/officeDocument/2006/relationships/hyperlink" Id="rId354" Target="https://www.ncbi.nlm.nih.gov/pmc/articles/PMC6880934" TargetMode="External" /><Relationship Type="http://schemas.openxmlformats.org/officeDocument/2006/relationships/hyperlink" Id="rId474" Target="https://www.ncbi.nlm.nih.gov/pmc/articles/PMC7229260" TargetMode="External" /><Relationship Type="http://schemas.openxmlformats.org/officeDocument/2006/relationships/hyperlink" Id="rId376" Target="https://www.ncbi.nlm.nih.gov/pmc/articles/PMC7362544" TargetMode="External" /><Relationship Type="http://schemas.openxmlformats.org/officeDocument/2006/relationships/hyperlink" Id="rId479" Target="https://www.ncbi.nlm.nih.gov/pmc/articles/PMC7654754" TargetMode="External" /><Relationship Type="http://schemas.openxmlformats.org/officeDocument/2006/relationships/hyperlink" Id="rId366" Target="https://www.ncbi.nlm.nih.gov/pmc/articles/PMC8044053" TargetMode="External" /><Relationship Type="http://schemas.openxmlformats.org/officeDocument/2006/relationships/hyperlink" Id="rId361" Target="https://www.ncbi.nlm.nih.gov/pmc/articles/PMC8143193" TargetMode="External" /><Relationship Type="http://schemas.openxmlformats.org/officeDocument/2006/relationships/hyperlink" Id="rId269" Target="https://www.ncbi.nlm.nih.gov/projects/gap/cgi-bin/study.cgi?study_id=phs000178.v11.p8" TargetMode="External" /><Relationship Type="http://schemas.openxmlformats.org/officeDocument/2006/relationships/hyperlink" Id="rId260" Target="https://www.ncbi.nlm.nih.gov/projects/gap/cgi-bin/study.cgi?study_id=phs000218.v23.p8" TargetMode="External" /><Relationship Type="http://schemas.openxmlformats.org/officeDocument/2006/relationships/hyperlink" Id="rId261" Target="https://www.ncbi.nlm.nih.gov/projects/gap/cgi-bin/study.cgi?study_id=phs001436.v1.p1" TargetMode="External" /><Relationship Type="http://schemas.openxmlformats.org/officeDocument/2006/relationships/hyperlink" Id="rId262" Target="https://www.ncbi.nlm.nih.gov/projects/gap/cgi-bin/study.cgi?study_id=phs002517.v2.p2" TargetMode="External" /><Relationship Type="http://schemas.openxmlformats.org/officeDocument/2006/relationships/hyperlink" Id="rId459" Target="https://www.ncbi.nlm.nih.gov/pubmed/16964243" TargetMode="External" /><Relationship Type="http://schemas.openxmlformats.org/officeDocument/2006/relationships/hyperlink" Id="rId412" Target="https://www.ncbi.nlm.nih.gov/pubmed/20644199" TargetMode="External" /><Relationship Type="http://schemas.openxmlformats.org/officeDocument/2006/relationships/hyperlink" Id="rId402" Target="https://www.ncbi.nlm.nih.gov/pubmed/21081509" TargetMode="External" /><Relationship Type="http://schemas.openxmlformats.org/officeDocument/2006/relationships/hyperlink" Id="rId397" Target="https://www.ncbi.nlm.nih.gov/pubmed/22155870" TargetMode="External" /><Relationship Type="http://schemas.openxmlformats.org/officeDocument/2006/relationships/hyperlink" Id="rId468" Target="https://www.ncbi.nlm.nih.gov/pubmed/23945592" TargetMode="External" /><Relationship Type="http://schemas.openxmlformats.org/officeDocument/2006/relationships/hyperlink" Id="rId424" Target="https://www.ncbi.nlm.nih.gov/pubmed/23982603" TargetMode="External" /><Relationship Type="http://schemas.openxmlformats.org/officeDocument/2006/relationships/hyperlink" Id="rId454" Target="https://www.ncbi.nlm.nih.gov/pubmed/24564718" TargetMode="External" /><Relationship Type="http://schemas.openxmlformats.org/officeDocument/2006/relationships/hyperlink" Id="rId449" Target="https://www.ncbi.nlm.nih.gov/pubmed/25358478" TargetMode="External" /><Relationship Type="http://schemas.openxmlformats.org/officeDocument/2006/relationships/hyperlink" Id="rId444" Target="https://www.ncbi.nlm.nih.gov/pubmed/26243018" TargetMode="External" /><Relationship Type="http://schemas.openxmlformats.org/officeDocument/2006/relationships/hyperlink" Id="rId429" Target="https://www.ncbi.nlm.nih.gov/pubmed/26607064" TargetMode="External" /><Relationship Type="http://schemas.openxmlformats.org/officeDocument/2006/relationships/hyperlink" Id="rId463" Target="https://www.ncbi.nlm.nih.gov/pubmed/26899170" TargetMode="External" /><Relationship Type="http://schemas.openxmlformats.org/officeDocument/2006/relationships/hyperlink" Id="rId407" Target="https://www.ncbi.nlm.nih.gov/pubmed/27100738" TargetMode="External" /><Relationship Type="http://schemas.openxmlformats.org/officeDocument/2006/relationships/hyperlink" Id="rId380" Target="https://www.ncbi.nlm.nih.gov/pubmed/27268795" TargetMode="External" /><Relationship Type="http://schemas.openxmlformats.org/officeDocument/2006/relationships/hyperlink" Id="rId419" Target="https://www.ncbi.nlm.nih.gov/pubmed/28035024" TargetMode="External" /><Relationship Type="http://schemas.openxmlformats.org/officeDocument/2006/relationships/hyperlink" Id="rId439" Target="https://www.ncbi.nlm.nih.gov/pubmed/28394336" TargetMode="External" /><Relationship Type="http://schemas.openxmlformats.org/officeDocument/2006/relationships/hyperlink" Id="rId434" Target="https://www.ncbi.nlm.nih.gov/pubmed/29539639" TargetMode="External" /><Relationship Type="http://schemas.openxmlformats.org/officeDocument/2006/relationships/hyperlink" Id="rId385" Target="https://www.ncbi.nlm.nih.gov/pubmed/30013048" TargetMode="External" /><Relationship Type="http://schemas.openxmlformats.org/officeDocument/2006/relationships/hyperlink" Id="rId392" Target="https://www.ncbi.nlm.nih.gov/pubmed/30271907" TargetMode="External" /><Relationship Type="http://schemas.openxmlformats.org/officeDocument/2006/relationships/hyperlink" Id="rId353" Target="https://www.ncbi.nlm.nih.gov/pubmed/31693904" TargetMode="External" /><Relationship Type="http://schemas.openxmlformats.org/officeDocument/2006/relationships/hyperlink" Id="rId473" Target="https://www.ncbi.nlm.nih.gov/pubmed/31889194" TargetMode="External" /><Relationship Type="http://schemas.openxmlformats.org/officeDocument/2006/relationships/hyperlink" Id="rId375" Target="https://www.ncbi.nlm.nih.gov/pubmed/32664994" TargetMode="External" /><Relationship Type="http://schemas.openxmlformats.org/officeDocument/2006/relationships/hyperlink" Id="rId478" Target="https://www.ncbi.nlm.nih.gov/pubmed/33119584" TargetMode="External" /><Relationship Type="http://schemas.openxmlformats.org/officeDocument/2006/relationships/hyperlink" Id="rId360" Target="https://www.ncbi.nlm.nih.gov/pubmed/33242424" TargetMode="External" /><Relationship Type="http://schemas.openxmlformats.org/officeDocument/2006/relationships/hyperlink" Id="rId365" Target="https://www.ncbi.nlm.nih.gov/pubmed/33577785" TargetMode="External" /><Relationship Type="http://schemas.openxmlformats.org/officeDocument/2006/relationships/hyperlink" Id="rId370" Target="https://www.ncbi.nlm.nih.gov/pubmed/37492101" TargetMode="External" /><Relationship Type="http://schemas.openxmlformats.org/officeDocument/2006/relationships/hyperlink" Id="rId272" Target="https://www.research.chop.edu/department-of-biomedical-and-health-informatics" TargetMode="External" /><Relationship Type="http://schemas.openxmlformats.org/officeDocument/2006/relationships/hyperlink" Id="rId246" Target="mailto:rokita@chop.edu" TargetMode="External" /><Relationship Type="http://schemas.openxmlformats.org/officeDocument/2006/relationships/hyperlink" Id="rId284" Target="s3://kids-first-seq-data/pipeline_references/dbSNP_v153_ucsc-compatible.converted.vt.decomp.norm.common_snps.vcf.gz" TargetMode="External" /><Relationship Type="http://schemas.openxmlformats.org/officeDocument/2006/relationships/hyperlink" Id="rId285" Target="s3://kids-first-seq-data/pipeline_references/hg38_canonical_150.mappability" TargetMode="External" /></Relationships>
</file>

<file path=word/_rels/footnotes.xml.rels><?xml version="1.0" encoding="UTF-8"?><Relationships xmlns="http://schemas.openxmlformats.org/package/2006/relationships"><Relationship Type="http://schemas.openxmlformats.org/officeDocument/2006/relationships/hyperlink" Id="rId259" Target="10.1016/j.xgen.2023.100340" TargetMode="External" /><Relationship Type="http://schemas.openxmlformats.org/officeDocument/2006/relationships/hyperlink" Id="rId264" Target="@https://ctep.cancer.gov/MajorInitiatives/Pediatric_PIVOT_Program.htm%5D" TargetMode="External" /><Relationship Type="http://schemas.openxmlformats.org/officeDocument/2006/relationships/hyperlink" Id="rId263" Target="@https://www.chordomafoundation.org" TargetMode="External" /><Relationship Type="http://schemas.openxmlformats.org/officeDocument/2006/relationships/hyperlink" Id="rId257" Target="http://www.pnoc.us/" TargetMode="External" /><Relationship Type="http://schemas.openxmlformats.org/officeDocument/2006/relationships/hyperlink" Id="rId340" Target="https://cavatica.sbgenomics.com/u/cavatica/opentarget" TargetMode="External" /><Relationship Type="http://schemas.openxmlformats.org/officeDocument/2006/relationships/hyperlink" Id="rId300" Target="https://cavatica.sbgenomics.com/u/cavatica/opentarget/files/#q?path=v12" TargetMode="External" /><Relationship Type="http://schemas.openxmlformats.org/officeDocument/2006/relationships/hyperlink" Id="rId286" Target="https://cavatica.sbgenomics.com/u/kfdrc-harmonization/kf-references" TargetMode="External" /><Relationship Type="http://schemas.openxmlformats.org/officeDocument/2006/relationships/hyperlink" Id="rId254" Target="https://cbtn.org/" TargetMode="External" /><Relationship Type="http://schemas.openxmlformats.org/officeDocument/2006/relationships/hyperlink" Id="rId255" Target="https://cbtn.org/pediatric-brain-tumor-atlas/" TargetMode="External" /><Relationship Type="http://schemas.openxmlformats.org/officeDocument/2006/relationships/hyperlink" Id="rId20" Target="https://d3b-center.github.io/OpenPedCan-manuscript/v/6755f2cd5d8c00df24cbf74965aabc34d3e6ebc1/" TargetMode="External" /><Relationship Type="http://schemas.openxmlformats.org/officeDocument/2006/relationships/hyperlink" Id="rId271" Target="https://d3b.center/" TargetMode="External" /><Relationship Type="http://schemas.openxmlformats.org/officeDocument/2006/relationships/hyperlink" Id="rId364" Target="https://doi.org/10.1016/j.ccell.2021.01.006" TargetMode="External" /><Relationship Type="http://schemas.openxmlformats.org/officeDocument/2006/relationships/hyperlink" Id="rId359" Target="https://doi.org/10.1016/j.cell.2020.10.044" TargetMode="External" /><Relationship Type="http://schemas.openxmlformats.org/officeDocument/2006/relationships/hyperlink" Id="rId352" Target="https://doi.org/10.1016/j.celrep.2019.09.071" TargetMode="External" /><Relationship Type="http://schemas.openxmlformats.org/officeDocument/2006/relationships/hyperlink" Id="rId369" Target="https://doi.org/10.1016/j.xgen.2023.100340" TargetMode="External" /><Relationship Type="http://schemas.openxmlformats.org/officeDocument/2006/relationships/hyperlink" Id="rId423" Target="https://doi.org/10.1038/bjc.2013.496" TargetMode="External" /><Relationship Type="http://schemas.openxmlformats.org/officeDocument/2006/relationships/hyperlink" Id="rId467" Target="https://doi.org/10.1038/nature12477" TargetMode="External" /><Relationship Type="http://schemas.openxmlformats.org/officeDocument/2006/relationships/hyperlink" Id="rId433" Target="https://doi.org/10.1038/nature26000" TargetMode="External" /><Relationship Type="http://schemas.openxmlformats.org/officeDocument/2006/relationships/hyperlink" Id="rId458" Target="https://doi.org/10.1038/nbt1240" TargetMode="External" /><Relationship Type="http://schemas.openxmlformats.org/officeDocument/2006/relationships/hyperlink" Id="rId448" Target="https://doi.org/10.1038/ncomms6277" TargetMode="External" /><Relationship Type="http://schemas.openxmlformats.org/officeDocument/2006/relationships/hyperlink" Id="rId438" Target="https://doi.org/10.1038/nmeth.4256" TargetMode="External" /><Relationship Type="http://schemas.openxmlformats.org/officeDocument/2006/relationships/hyperlink" Id="rId384" Target="https://doi.org/10.1038/s41592-018-0051-x" TargetMode="External" /><Relationship Type="http://schemas.openxmlformats.org/officeDocument/2006/relationships/hyperlink" Id="rId391" Target="https://doi.org/10.1038/s42003-018-0023-9" TargetMode="External" /><Relationship Type="http://schemas.openxmlformats.org/officeDocument/2006/relationships/hyperlink" Id="rId401" Target="https://doi.org/10.1093/bioinformatics/btq635" TargetMode="External" /><Relationship Type="http://schemas.openxmlformats.org/officeDocument/2006/relationships/hyperlink" Id="rId396" Target="https://doi.org/10.1093/bioinformatics/btr670" TargetMode="External" /><Relationship Type="http://schemas.openxmlformats.org/officeDocument/2006/relationships/hyperlink" Id="rId443" Target="https://doi.org/10.1093/bioinformatics/btv437" TargetMode="External" /><Relationship Type="http://schemas.openxmlformats.org/officeDocument/2006/relationships/hyperlink" Id="rId418" Target="https://doi.org/10.1093/bioinformatics/btw691" TargetMode="External" /><Relationship Type="http://schemas.openxmlformats.org/officeDocument/2006/relationships/hyperlink" Id="rId472" Target="https://doi.org/10.1093/neuonc/noz235" TargetMode="External" /><Relationship Type="http://schemas.openxmlformats.org/officeDocument/2006/relationships/hyperlink" Id="rId388" Target="https://doi.org/10.1101/861054" TargetMode="External" /><Relationship Type="http://schemas.openxmlformats.org/officeDocument/2006/relationships/hyperlink" Id="rId411" Target="https://doi.org/10.1101/gr.107524.110" TargetMode="External" /><Relationship Type="http://schemas.openxmlformats.org/officeDocument/2006/relationships/hyperlink" Id="rId453" Target="https://doi.org/10.1186/1471-2164-15-s1-s9" TargetMode="External" /><Relationship Type="http://schemas.openxmlformats.org/officeDocument/2006/relationships/hyperlink" Id="rId415" Target="https://doi.org/10.1186/gb-2011-12-4-r41" TargetMode="External" /><Relationship Type="http://schemas.openxmlformats.org/officeDocument/2006/relationships/hyperlink" Id="rId428" Target="https://doi.org/10.1186/s12864-015-2202-0" TargetMode="External" /><Relationship Type="http://schemas.openxmlformats.org/officeDocument/2006/relationships/hyperlink" Id="rId462" Target="https://doi.org/10.1186/s13059-016-0893-4" TargetMode="External" /><Relationship Type="http://schemas.openxmlformats.org/officeDocument/2006/relationships/hyperlink" Id="rId379" Target="https://doi.org/10.1186/s13059-016-0974-4" TargetMode="External" /><Relationship Type="http://schemas.openxmlformats.org/officeDocument/2006/relationships/hyperlink" Id="rId374" Target="https://doi.org/10.1186/s13073-020-00761-2" TargetMode="External" /><Relationship Type="http://schemas.openxmlformats.org/officeDocument/2006/relationships/hyperlink" Id="rId406" Target="https://doi.org/10.1371/journal.pcbi.1004873" TargetMode="External" /><Relationship Type="http://schemas.openxmlformats.org/officeDocument/2006/relationships/hyperlink" Id="rId477" Target="https://doi.org/10.1371/journal.pcbi.1008263" TargetMode="External" /><Relationship Type="http://schemas.openxmlformats.org/officeDocument/2006/relationships/hyperlink" Id="rId410" Target="https://doi.org/bnzbn6" TargetMode="External" /><Relationship Type="http://schemas.openxmlformats.org/officeDocument/2006/relationships/hyperlink" Id="rId400" Target="https://doi.org/c6bcps" TargetMode="External" /><Relationship Type="http://schemas.openxmlformats.org/officeDocument/2006/relationships/hyperlink" Id="rId405" Target="https://doi.org/c9pd" TargetMode="External" /><Relationship Type="http://schemas.openxmlformats.org/officeDocument/2006/relationships/hyperlink" Id="rId395" Target="https://doi.org/ckt4vz" TargetMode="External" /><Relationship Type="http://schemas.openxmlformats.org/officeDocument/2006/relationships/hyperlink" Id="rId457" Target="https://doi.org/dbwqf4" TargetMode="External" /><Relationship Type="http://schemas.openxmlformats.org/officeDocument/2006/relationships/hyperlink" Id="rId466" Target="https://doi.org/f22m2q" TargetMode="External" /><Relationship Type="http://schemas.openxmlformats.org/officeDocument/2006/relationships/hyperlink" Id="rId461" Target="https://doi.org/f8bdsq" TargetMode="External" /><Relationship Type="http://schemas.openxmlformats.org/officeDocument/2006/relationships/hyperlink" Id="rId417" Target="https://doi.org/f9x7kd" TargetMode="External" /><Relationship Type="http://schemas.openxmlformats.org/officeDocument/2006/relationships/hyperlink" Id="rId437" Target="https://doi.org/f9z6p7" TargetMode="External" /><Relationship Type="http://schemas.openxmlformats.org/officeDocument/2006/relationships/hyperlink" Id="rId452" Target="https://doi.org/gb3gzt" TargetMode="External" /><Relationship Type="http://schemas.openxmlformats.org/officeDocument/2006/relationships/hyperlink" Id="rId427" Target="https://doi.org/gb3h5r" TargetMode="External" /><Relationship Type="http://schemas.openxmlformats.org/officeDocument/2006/relationships/hyperlink" Id="rId442" Target="https://doi.org/gb5g57" TargetMode="External" /><Relationship Type="http://schemas.openxmlformats.org/officeDocument/2006/relationships/hyperlink" Id="rId422" Target="https://doi.org/gb9qvv" TargetMode="External" /><Relationship Type="http://schemas.openxmlformats.org/officeDocument/2006/relationships/hyperlink" Id="rId432" Target="https://doi.org/gc5t36" TargetMode="External" /><Relationship Type="http://schemas.openxmlformats.org/officeDocument/2006/relationships/hyperlink" Id="rId383" Target="https://doi.org/gdwrp4" TargetMode="External" /><Relationship Type="http://schemas.openxmlformats.org/officeDocument/2006/relationships/hyperlink" Id="rId378" Target="https://doi.org/gdz75c" TargetMode="External" /><Relationship Type="http://schemas.openxmlformats.org/officeDocument/2006/relationships/hyperlink" Id="rId390" Target="https://doi.org/gfcfr8" TargetMode="External" /><Relationship Type="http://schemas.openxmlformats.org/officeDocument/2006/relationships/hyperlink" Id="rId351" Target="https://doi.org/gg596n" TargetMode="External" /><Relationship Type="http://schemas.openxmlformats.org/officeDocument/2006/relationships/hyperlink" Id="rId447" Target="https://doi.org/ggkdq8" TargetMode="External" /><Relationship Type="http://schemas.openxmlformats.org/officeDocument/2006/relationships/hyperlink" Id="rId387" Target="https://doi.org/ggntwv" TargetMode="External" /><Relationship Type="http://schemas.openxmlformats.org/officeDocument/2006/relationships/hyperlink" Id="rId363" Target="https://doi.org/gh7whf" TargetMode="External" /><Relationship Type="http://schemas.openxmlformats.org/officeDocument/2006/relationships/hyperlink" Id="rId358" Target="https://doi.org/ghqjkz" TargetMode="External" /><Relationship Type="http://schemas.openxmlformats.org/officeDocument/2006/relationships/hyperlink" Id="rId476" Target="https://doi.org/gm84kq" TargetMode="External" /><Relationship Type="http://schemas.openxmlformats.org/officeDocument/2006/relationships/hyperlink" Id="rId471" Target="https://doi.org/gn3kcm" TargetMode="External" /><Relationship Type="http://schemas.openxmlformats.org/officeDocument/2006/relationships/hyperlink" Id="rId368" Target="https://doi.org/gr92p6" TargetMode="External" /><Relationship Type="http://schemas.openxmlformats.org/officeDocument/2006/relationships/hyperlink" Id="rId373" Target="https://doi.org/gtsm62" TargetMode="External" /><Relationship Type="http://schemas.openxmlformats.org/officeDocument/2006/relationships/hyperlink" Id="rId327" Target="https://friendsofcancerresearch.org/tmb/" TargetMode="External" /><Relationship Type="http://schemas.openxmlformats.org/officeDocument/2006/relationships/hyperlink" Id="rId299" Target="https://genomebiology.biomedcentral.com/articles/10.1186/s13059-014-0550-8" TargetMode="External" /><Relationship Type="http://schemas.openxmlformats.org/officeDocument/2006/relationships/hyperlink" Id="rId337" Target="https://github.com/AlexsLemonade/OpenPBTA-analysis" TargetMode="External" /><Relationship Type="http://schemas.openxmlformats.org/officeDocument/2006/relationships/hyperlink" Id="rId325" Target="https://github.com/AlexsLemonade/OpenPBTA-analysis/tree/master/analyses/snv-callers" TargetMode="External" /><Relationship Type="http://schemas.openxmlformats.org/officeDocument/2006/relationships/hyperlink" Id="rId258" Target="https://github.com/AlexsLemonade/OpenPBTA-manuscript/" TargetMode="External" /><Relationship Type="http://schemas.openxmlformats.org/officeDocument/2006/relationships/hyperlink" Id="rId108" Target="https://github.com/AntoniaChroni" TargetMode="External" /><Relationship Type="http://schemas.openxmlformats.org/officeDocument/2006/relationships/hyperlink" Id="rId211" Target="https://github.com/HuangXiaoyan0106" TargetMode="External" /><Relationship Type="http://schemas.openxmlformats.org/officeDocument/2006/relationships/hyperlink" Id="rId150" Target="https://github.com/JosephDybas" TargetMode="External" /><Relationship Type="http://schemas.openxmlformats.org/officeDocument/2006/relationships/hyperlink" Id="rId333" Target="https://github.com/PediatricOpenTargets/OpenPedCan-analysis/tree/d397339d567ddeff17e7a8cdca892f6a9dd2a0ba/analyses/independent-samples" TargetMode="External" /><Relationship Type="http://schemas.openxmlformats.org/officeDocument/2006/relationships/hyperlink" Id="rId303" Target="https://github.com/PediatricOpenTargets/OpenPedCan-analysis/tree/dev/analyses/collapse-rnaseq" TargetMode="External" /><Relationship Type="http://schemas.openxmlformats.org/officeDocument/2006/relationships/hyperlink" Id="rId315" Target="https://github.com/PediatricOpenTargets/OpenPedCan-analysis/tree/dev/analyses/focal-cn-file-preparation" TargetMode="External" /><Relationship Type="http://schemas.openxmlformats.org/officeDocument/2006/relationships/hyperlink" Id="rId318" Target="https://github.com/PediatricOpenTargets/OpenPedCan-analysis/tree/dev/analyses/fusion_filtering" TargetMode="External" /><Relationship Type="http://schemas.openxmlformats.org/officeDocument/2006/relationships/hyperlink" Id="rId291" Target="https://github.com/PediatricOpenTargets/OpenPedCan-analysis/tree/dev/analyses/methylation-preprocessing" TargetMode="External" /><Relationship Type="http://schemas.openxmlformats.org/officeDocument/2006/relationships/hyperlink" Id="rId293" Target="https://github.com/PediatricOpenTargets/OpenPedCan-analysis/tree/dev/analyses/methylation-summary" TargetMode="External" /><Relationship Type="http://schemas.openxmlformats.org/officeDocument/2006/relationships/hyperlink" Id="rId305" Target="https://github.com/PediatricOpenTargets/OpenPedCan-analysis/tree/dev/analyses/rna-seq-expression-summary-stats" TargetMode="External" /><Relationship Type="http://schemas.openxmlformats.org/officeDocument/2006/relationships/hyperlink" Id="rId324" Target="https://github.com/PediatricOpenTargets/OpenPedCan-analysis/tree/dev/analyses/tmb-calculation" TargetMode="External" /><Relationship Type="http://schemas.openxmlformats.org/officeDocument/2006/relationships/hyperlink" Id="rId298" Target="https://github.com/PediatricOpenTargets/OpenPedCan-analysis/tree/dev/analyses/tumor-normal-differential-expression" TargetMode="External" /><Relationship Type="http://schemas.openxmlformats.org/officeDocument/2006/relationships/hyperlink" Id="rId114" Target="https://github.com/aadamk" TargetMode="External" /><Relationship Type="http://schemas.openxmlformats.org/officeDocument/2006/relationships/hyperlink" Id="rId223" Target="https://github.com/adamcresnick" TargetMode="External" /><Relationship Type="http://schemas.openxmlformats.org/officeDocument/2006/relationships/hyperlink" Id="rId84" Target="https://github.com/adilahiri" TargetMode="External" /><Relationship Type="http://schemas.openxmlformats.org/officeDocument/2006/relationships/hyperlink" Id="rId156" Target="https://github.com/afarrel" TargetMode="External" /><Relationship Type="http://schemas.openxmlformats.org/officeDocument/2006/relationships/hyperlink" Id="rId78" Target="https://github.com/atlas4213" TargetMode="External" /><Relationship Type="http://schemas.openxmlformats.org/officeDocument/2006/relationships/hyperlink" Id="rId164" Target="https://github.com/baileyckelly" TargetMode="External" /><Relationship Type="http://schemas.openxmlformats.org/officeDocument/2006/relationships/hyperlink" Id="rId129" Target="https://github.com/bmennis" TargetMode="External" /><Relationship Type="http://schemas.openxmlformats.org/officeDocument/2006/relationships/hyperlink" Id="rId217" Target="https://github.com/chinwallaa" TargetMode="External" /><Relationship Type="http://schemas.openxmlformats.org/officeDocument/2006/relationships/hyperlink" Id="rId301" Target="https://github.com/d3b-center/D3b-DGD-Collaboration/blob/main/scripts/update_gene_symbols.py" TargetMode="External" /><Relationship Type="http://schemas.openxmlformats.org/officeDocument/2006/relationships/hyperlink" Id="rId338" Target="https://github.com/d3b-center/OpenPedCan-analysis" TargetMode="External" /><Relationship Type="http://schemas.openxmlformats.org/officeDocument/2006/relationships/hyperlink" Id="rId270" Target="https://github.com/d3b-center/OpenPedCan-analysis/blob/dev/analyses/molecular-subtyping-integrate/results/tcga_cancer_groups.tsv" TargetMode="External" /><Relationship Type="http://schemas.openxmlformats.org/officeDocument/2006/relationships/hyperlink" Id="rId21" Target="https://github.com/d3b-center/OpenPedCan-manuscript/tree/6755f2cd5d8c00df24cbf74965aabc34d3e6ebc1" TargetMode="External" /><Relationship Type="http://schemas.openxmlformats.org/officeDocument/2006/relationships/hyperlink" Id="rId105" Target="https://github.com/devbyaccident" TargetMode="External" /><Relationship Type="http://schemas.openxmlformats.org/officeDocument/2006/relationships/hyperlink" Id="rId90" Target="https://github.com/dmiller15" TargetMode="External" /><Relationship Type="http://schemas.openxmlformats.org/officeDocument/2006/relationships/hyperlink" Id="rId35" Target="https://github.com/ewafula" TargetMode="External" /><Relationship Type="http://schemas.openxmlformats.org/officeDocument/2006/relationships/hyperlink" Id="rId241" Target="https://github.com/jharenza" TargetMode="External" /><Relationship Type="http://schemas.openxmlformats.org/officeDocument/2006/relationships/hyperlink" Id="rId102" Target="https://github.com/kelseykeith" TargetMode="External" /><Relationship Type="http://schemas.openxmlformats.org/officeDocument/2006/relationships/hyperlink" Id="rId320" Target="https://github.com/kids-first/kf-rnaseq-workflow/blob/master/workflow/rmats_wf.cwl" TargetMode="External" /><Relationship Type="http://schemas.openxmlformats.org/officeDocument/2006/relationships/hyperlink" Id="rId326" Target="https://github.com/kids-first/kf-somatic-workflow/blob/master/docs/kfdrc-consensus-calling.md" TargetMode="External" /><Relationship Type="http://schemas.openxmlformats.org/officeDocument/2006/relationships/hyperlink" Id="rId287" Target="https://github.com/kids-first/kf-tumor-workflow/blob/v0.3.0-beta/workflows/kfdrc_controlfreec_tumor_only_wf.cwl" TargetMode="External" /><Relationship Type="http://schemas.openxmlformats.org/officeDocument/2006/relationships/hyperlink" Id="rId280" Target="https://github.com/kids-first/kf-tumor-workflow/tree/v0.3.0-beta" TargetMode="External" /><Relationship Type="http://schemas.openxmlformats.org/officeDocument/2006/relationships/hyperlink" Id="rId63" Target="https://github.com/komalsrathi" TargetMode="External" /><Relationship Type="http://schemas.openxmlformats.org/officeDocument/2006/relationships/hyperlink" Id="rId179" Target="https://github.com/luederm" TargetMode="External" /><Relationship Type="http://schemas.openxmlformats.org/officeDocument/2006/relationships/hyperlink" Id="rId120" Target="https://github.com/migbro" TargetMode="External" /><Relationship Type="http://schemas.openxmlformats.org/officeDocument/2006/relationships/hyperlink" Id="rId132" Target="https://github.com/naqvia" TargetMode="External" /><Relationship Type="http://schemas.openxmlformats.org/officeDocument/2006/relationships/hyperlink" Id="rId185" Target="https://github.com/nicholasvk" TargetMode="External" /><Relationship Type="http://schemas.openxmlformats.org/officeDocument/2006/relationships/hyperlink" Id="rId41" Target="https://github.com/rjcorb" TargetMode="External" /><Relationship Type="http://schemas.openxmlformats.org/officeDocument/2006/relationships/hyperlink" Id="rId47" Target="https://github.com/runjin326" TargetMode="External" /><Relationship Type="http://schemas.openxmlformats.org/officeDocument/2006/relationships/hyperlink" Id="rId203" Target="https://github.com/sakshamphul" TargetMode="External" /><Relationship Type="http://schemas.openxmlformats.org/officeDocument/2006/relationships/hyperlink" Id="rId72" Target="https://github.com/sangeetashukla" TargetMode="External" /><Relationship Type="http://schemas.openxmlformats.org/officeDocument/2006/relationships/hyperlink" Id="rId96" Target="https://github.com/sickler-alex" TargetMode="External" /><Relationship Type="http://schemas.openxmlformats.org/officeDocument/2006/relationships/hyperlink" Id="rId235" Target="https://github.com/taylordm" TargetMode="External" /><Relationship Type="http://schemas.openxmlformats.org/officeDocument/2006/relationships/hyperlink" Id="rId170" Target="https://github.com/yuankunzhu" TargetMode="External" /><Relationship Type="http://schemas.openxmlformats.org/officeDocument/2006/relationships/hyperlink" Id="rId147" Target="https://github.com/zhangb1" TargetMode="External" /><Relationship Type="http://schemas.openxmlformats.org/officeDocument/2006/relationships/hyperlink" Id="rId191" Target="https://github.com/zoomzoom1011" TargetMode="External" /><Relationship Type="http://schemas.openxmlformats.org/officeDocument/2006/relationships/hyperlink" Id="rId29" Target="https://github.com/zzgeng" TargetMode="External" /><Relationship Type="http://schemas.openxmlformats.org/officeDocument/2006/relationships/hyperlink" Id="rId268" Target="https://gtexportal.org/home/" TargetMode="External" /><Relationship Type="http://schemas.openxmlformats.org/officeDocument/2006/relationships/hyperlink" Id="rId302" Target="https://https://ftp.ebi.ac.uk/pub/databases/genenames/hgnc/archive/monthly/tsv/hgnc_complete_set_2021-06-01.txt" TargetMode="External" /><Relationship Type="http://schemas.openxmlformats.org/officeDocument/2006/relationships/hyperlink" Id="rId256" Target="https://kidsfirstdrc.org/" TargetMode="External" /><Relationship Type="http://schemas.openxmlformats.org/officeDocument/2006/relationships/hyperlink" Id="rId356" Target="https://mctp.med.umich.edu" TargetMode="External" /><Relationship Type="http://schemas.openxmlformats.org/officeDocument/2006/relationships/hyperlink" Id="rId253" Target="https://moleculartargets.ccdi.cancer.gov/" TargetMode="External" /><Relationship Type="http://schemas.openxmlformats.org/officeDocument/2006/relationships/hyperlink" Id="rId60" Target="https://orcid.org/0000-0001-5534-6904" TargetMode="External" /><Relationship Type="http://schemas.openxmlformats.org/officeDocument/2006/relationships/hyperlink" Id="rId194" Target="https://orcid.org/0000-0001-6454-1285" TargetMode="External" /><Relationship Type="http://schemas.openxmlformats.org/officeDocument/2006/relationships/hyperlink" Id="rId161" Target="https://orcid.org/0000-0001-6727-6333" TargetMode="External" /><Relationship Type="http://schemas.openxmlformats.org/officeDocument/2006/relationships/hyperlink" Id="rId117" Target="https://orcid.org/0000-0001-6782-1442" TargetMode="External" /><Relationship Type="http://schemas.openxmlformats.org/officeDocument/2006/relationships/hyperlink" Id="rId208" Target="https://orcid.org/0000-0001-7267-4512" TargetMode="External" /><Relationship Type="http://schemas.openxmlformats.org/officeDocument/2006/relationships/hyperlink" Id="rId93" Target="https://orcid.org/0000-0001-7830-7537" TargetMode="External" /><Relationship Type="http://schemas.openxmlformats.org/officeDocument/2006/relationships/hyperlink" Id="rId214" Target="https://orcid.org/0000-0001-7831-3996" TargetMode="External" /><Relationship Type="http://schemas.openxmlformats.org/officeDocument/2006/relationships/hyperlink" Id="rId32" Target="https://orcid.org/0000-0001-8073-3797" TargetMode="External" /><Relationship Type="http://schemas.openxmlformats.org/officeDocument/2006/relationships/hyperlink" Id="rId81" Target="https://orcid.org/0000-0001-9352-1312" TargetMode="External" /><Relationship Type="http://schemas.openxmlformats.org/officeDocument/2006/relationships/hyperlink" Id="rId144" Target="https://orcid.org/0000-0002-0743-5379" TargetMode="External" /><Relationship Type="http://schemas.openxmlformats.org/officeDocument/2006/relationships/hyperlink" Id="rId229" Target="https://orcid.org/0000-0002-0825-7615" TargetMode="External" /><Relationship Type="http://schemas.openxmlformats.org/officeDocument/2006/relationships/hyperlink" Id="rId75" Target="https://orcid.org/0000-0002-1337-1789" TargetMode="External" /><Relationship Type="http://schemas.openxmlformats.org/officeDocument/2006/relationships/hyperlink" Id="rId87" Target="https://orcid.org/0000-0002-2032-4358" TargetMode="External" /><Relationship Type="http://schemas.openxmlformats.org/officeDocument/2006/relationships/hyperlink" Id="rId167" Target="https://orcid.org/0000-0002-2455-9525" TargetMode="External" /><Relationship Type="http://schemas.openxmlformats.org/officeDocument/2006/relationships/hyperlink" Id="rId126" Target="https://orcid.org/0000-0002-2653-5009" TargetMode="External" /><Relationship Type="http://schemas.openxmlformats.org/officeDocument/2006/relationships/hyperlink" Id="rId200" Target="https://orcid.org/0000-0002-2771-2572" TargetMode="External" /><Relationship Type="http://schemas.openxmlformats.org/officeDocument/2006/relationships/hyperlink" Id="rId232" Target="https://orcid.org/0000-0002-3302-4610" TargetMode="External" /><Relationship Type="http://schemas.openxmlformats.org/officeDocument/2006/relationships/hyperlink" Id="rId38" Target="https://orcid.org/0000-0002-3478-0784" TargetMode="External" /><Relationship Type="http://schemas.openxmlformats.org/officeDocument/2006/relationships/hyperlink" Id="rId69" Target="https://orcid.org/0000-0002-3727-9602" TargetMode="External" /><Relationship Type="http://schemas.openxmlformats.org/officeDocument/2006/relationships/hyperlink" Id="rId197" Target="https://orcid.org/0000-0002-6728-3450" TargetMode="External" /><Relationship Type="http://schemas.openxmlformats.org/officeDocument/2006/relationships/hyperlink" Id="rId138" Target="https://orcid.org/0000-0002-7200-8939" TargetMode="External" /><Relationship Type="http://schemas.openxmlformats.org/officeDocument/2006/relationships/hyperlink" Id="rId182" Target="https://orcid.org/0000-0002-7414-9516" TargetMode="External" /><Relationship Type="http://schemas.openxmlformats.org/officeDocument/2006/relationships/hyperlink" Id="rId99" Target="https://orcid.org/0000-0002-7451-5117" TargetMode="External" /><Relationship Type="http://schemas.openxmlformats.org/officeDocument/2006/relationships/hyperlink" Id="rId111" Target="https://orcid.org/0000-0002-8526-5694" TargetMode="External" /><Relationship Type="http://schemas.openxmlformats.org/officeDocument/2006/relationships/hyperlink" Id="rId44" Target="https://orcid.org/0000-0002-8958-9266" TargetMode="External" /><Relationship Type="http://schemas.openxmlformats.org/officeDocument/2006/relationships/hyperlink" Id="rId220" Target="https://orcid.org/0000-0003-0436-4189" TargetMode="External" /><Relationship Type="http://schemas.openxmlformats.org/officeDocument/2006/relationships/hyperlink" Id="rId54" Target="https://orcid.org/0000-0003-0838-2405" TargetMode="External" /><Relationship Type="http://schemas.openxmlformats.org/officeDocument/2006/relationships/hyperlink" Id="rId153" Target="https://orcid.org/0000-0003-1087-9840" TargetMode="External" /><Relationship Type="http://schemas.openxmlformats.org/officeDocument/2006/relationships/hyperlink" Id="rId238" Target="https://orcid.org/0000-0003-2171-3627" TargetMode="External" /><Relationship Type="http://schemas.openxmlformats.org/officeDocument/2006/relationships/hyperlink" Id="rId188" Target="https://orcid.org/0000-0003-2406-2735" TargetMode="External" /><Relationship Type="http://schemas.openxmlformats.org/officeDocument/2006/relationships/hyperlink" Id="rId176" Target="https://orcid.org/0009-0002-7370-102X" TargetMode="External" /><Relationship Type="http://schemas.openxmlformats.org/officeDocument/2006/relationships/hyperlink" Id="rId25" Target="https://orcid.org/0009-0007-6883-0691" TargetMode="External" /><Relationship Type="http://schemas.openxmlformats.org/officeDocument/2006/relationships/hyperlink" Id="rId341" Target="https://pedcbioportal.kidsfirstdrc.org/study/summary?id=openpedcan_v15" TargetMode="External" /><Relationship Type="http://schemas.openxmlformats.org/officeDocument/2006/relationships/hyperlink" Id="rId265" Target="https://preclinicalpivot.org/about-pivot/" TargetMode="External" /><Relationship Type="http://schemas.openxmlformats.org/officeDocument/2006/relationships/hyperlink" Id="rId226" Target="https://twitter.com/adamcresnick" TargetMode="External" /><Relationship Type="http://schemas.openxmlformats.org/officeDocument/2006/relationships/hyperlink" Id="rId57" Target="https://twitter.com/aggokittu" TargetMode="External" /><Relationship Type="http://schemas.openxmlformats.org/officeDocument/2006/relationships/hyperlink" Id="rId135" Target="https://twitter.com/jenn0307" TargetMode="External" /><Relationship Type="http://schemas.openxmlformats.org/officeDocument/2006/relationships/hyperlink" Id="rId244" Target="https://twitter.com/jolynnerokita" TargetMode="External" /><Relationship Type="http://schemas.openxmlformats.org/officeDocument/2006/relationships/hyperlink" Id="rId66" Target="https://twitter.com/komalsrathi" TargetMode="External" /><Relationship Type="http://schemas.openxmlformats.org/officeDocument/2006/relationships/hyperlink" Id="rId123" Target="https://twitter.com/migbro" TargetMode="External" /><Relationship Type="http://schemas.openxmlformats.org/officeDocument/2006/relationships/hyperlink" Id="rId51" Target="https://twitter.com/runjin" TargetMode="External" /><Relationship Type="http://schemas.openxmlformats.org/officeDocument/2006/relationships/hyperlink" Id="rId141" Target="https://twitter.com/sjdiskin" TargetMode="External" /><Relationship Type="http://schemas.openxmlformats.org/officeDocument/2006/relationships/hyperlink" Id="rId173" Target="https://twitter.com/zhuyuankun" TargetMode="External" /><Relationship Type="http://schemas.openxmlformats.org/officeDocument/2006/relationships/hyperlink" Id="rId266" Target="https://www.chop.edu/cancer-panels" TargetMode="External" /><Relationship Type="http://schemas.openxmlformats.org/officeDocument/2006/relationships/hyperlink" Id="rId267" Target="https://www.chop.edu/centers-programs/division-genomic-diagnostics" TargetMode="External" /><Relationship Type="http://schemas.openxmlformats.org/officeDocument/2006/relationships/hyperlink" Id="rId295" Target="https://www.molecularneuropathology.org/mnp/classifiers/11" TargetMode="External" /><Relationship Type="http://schemas.openxmlformats.org/officeDocument/2006/relationships/hyperlink" Id="rId371" Target="https://www.ncbi.nlm.nih.gov/pmc/articles/PMC10363844" TargetMode="External" /><Relationship Type="http://schemas.openxmlformats.org/officeDocument/2006/relationships/hyperlink" Id="rId413" Target="https://www.ncbi.nlm.nih.gov/pmc/articles/PMC2928508" TargetMode="External" /><Relationship Type="http://schemas.openxmlformats.org/officeDocument/2006/relationships/hyperlink" Id="rId403" Target="https://www.ncbi.nlm.nih.gov/pmc/articles/PMC3018818" TargetMode="External" /><Relationship Type="http://schemas.openxmlformats.org/officeDocument/2006/relationships/hyperlink" Id="rId398" Target="https://www.ncbi.nlm.nih.gov/pmc/articles/PMC3268243" TargetMode="External" /><Relationship Type="http://schemas.openxmlformats.org/officeDocument/2006/relationships/hyperlink" Id="rId469" Target="https://www.ncbi.nlm.nih.gov/pmc/articles/PMC3776390" TargetMode="External" /><Relationship Type="http://schemas.openxmlformats.org/officeDocument/2006/relationships/hyperlink" Id="rId425" Target="https://www.ncbi.nlm.nih.gov/pmc/articles/PMC3777004" TargetMode="External" /><Relationship Type="http://schemas.openxmlformats.org/officeDocument/2006/relationships/hyperlink" Id="rId455" Target="https://www.ncbi.nlm.nih.gov/pmc/articles/PMC4046700" TargetMode="External" /><Relationship Type="http://schemas.openxmlformats.org/officeDocument/2006/relationships/hyperlink" Id="rId445" Target="https://www.ncbi.nlm.nih.gov/pmc/articles/PMC4653383" TargetMode="External" /><Relationship Type="http://schemas.openxmlformats.org/officeDocument/2006/relationships/hyperlink" Id="rId430" Target="https://www.ncbi.nlm.nih.gov/pmc/articles/PMC4659175" TargetMode="External" /><Relationship Type="http://schemas.openxmlformats.org/officeDocument/2006/relationships/hyperlink" Id="rId464" Target="https://www.ncbi.nlm.nih.gov/pmc/articles/PMC4762164" TargetMode="External" /><Relationship Type="http://schemas.openxmlformats.org/officeDocument/2006/relationships/hyperlink" Id="rId408" Target="https://www.ncbi.nlm.nih.gov/pmc/articles/PMC4839673" TargetMode="External" /><Relationship Type="http://schemas.openxmlformats.org/officeDocument/2006/relationships/hyperlink" Id="rId381" Target="https://www.ncbi.nlm.nih.gov/pmc/articles/PMC4893825" TargetMode="External" /><Relationship Type="http://schemas.openxmlformats.org/officeDocument/2006/relationships/hyperlink" Id="rId450" Target="https://www.ncbi.nlm.nih.gov/pmc/articles/PMC5036525" TargetMode="External" /><Relationship Type="http://schemas.openxmlformats.org/officeDocument/2006/relationships/hyperlink" Id="rId420" Target="https://www.ncbi.nlm.nih.gov/pmc/articles/PMC5408810" TargetMode="External" /><Relationship Type="http://schemas.openxmlformats.org/officeDocument/2006/relationships/hyperlink" Id="rId440" Target="https://www.ncbi.nlm.nih.gov/pmc/articles/PMC5409104" TargetMode="External" /><Relationship Type="http://schemas.openxmlformats.org/officeDocument/2006/relationships/hyperlink" Id="rId435" Target="https://www.ncbi.nlm.nih.gov/pmc/articles/PMC6093218" TargetMode="External" /><Relationship Type="http://schemas.openxmlformats.org/officeDocument/2006/relationships/hyperlink" Id="rId393" Target="https://www.ncbi.nlm.nih.gov/pmc/articles/PMC6123722" TargetMode="External" /><Relationship Type="http://schemas.openxmlformats.org/officeDocument/2006/relationships/hyperlink" Id="rId354" Target="https://www.ncbi.nlm.nih.gov/pmc/articles/PMC6880934" TargetMode="External" /><Relationship Type="http://schemas.openxmlformats.org/officeDocument/2006/relationships/hyperlink" Id="rId474" Target="https://www.ncbi.nlm.nih.gov/pmc/articles/PMC7229260" TargetMode="External" /><Relationship Type="http://schemas.openxmlformats.org/officeDocument/2006/relationships/hyperlink" Id="rId376" Target="https://www.ncbi.nlm.nih.gov/pmc/articles/PMC7362544" TargetMode="External" /><Relationship Type="http://schemas.openxmlformats.org/officeDocument/2006/relationships/hyperlink" Id="rId479" Target="https://www.ncbi.nlm.nih.gov/pmc/articles/PMC7654754" TargetMode="External" /><Relationship Type="http://schemas.openxmlformats.org/officeDocument/2006/relationships/hyperlink" Id="rId366" Target="https://www.ncbi.nlm.nih.gov/pmc/articles/PMC8044053" TargetMode="External" /><Relationship Type="http://schemas.openxmlformats.org/officeDocument/2006/relationships/hyperlink" Id="rId361" Target="https://www.ncbi.nlm.nih.gov/pmc/articles/PMC8143193" TargetMode="External" /><Relationship Type="http://schemas.openxmlformats.org/officeDocument/2006/relationships/hyperlink" Id="rId269" Target="https://www.ncbi.nlm.nih.gov/projects/gap/cgi-bin/study.cgi?study_id=phs000178.v11.p8" TargetMode="External" /><Relationship Type="http://schemas.openxmlformats.org/officeDocument/2006/relationships/hyperlink" Id="rId260" Target="https://www.ncbi.nlm.nih.gov/projects/gap/cgi-bin/study.cgi?study_id=phs000218.v23.p8" TargetMode="External" /><Relationship Type="http://schemas.openxmlformats.org/officeDocument/2006/relationships/hyperlink" Id="rId261" Target="https://www.ncbi.nlm.nih.gov/projects/gap/cgi-bin/study.cgi?study_id=phs001436.v1.p1" TargetMode="External" /><Relationship Type="http://schemas.openxmlformats.org/officeDocument/2006/relationships/hyperlink" Id="rId262" Target="https://www.ncbi.nlm.nih.gov/projects/gap/cgi-bin/study.cgi?study_id=phs002517.v2.p2" TargetMode="External" /><Relationship Type="http://schemas.openxmlformats.org/officeDocument/2006/relationships/hyperlink" Id="rId459" Target="https://www.ncbi.nlm.nih.gov/pubmed/16964243" TargetMode="External" /><Relationship Type="http://schemas.openxmlformats.org/officeDocument/2006/relationships/hyperlink" Id="rId412" Target="https://www.ncbi.nlm.nih.gov/pubmed/20644199" TargetMode="External" /><Relationship Type="http://schemas.openxmlformats.org/officeDocument/2006/relationships/hyperlink" Id="rId402" Target="https://www.ncbi.nlm.nih.gov/pubmed/21081509" TargetMode="External" /><Relationship Type="http://schemas.openxmlformats.org/officeDocument/2006/relationships/hyperlink" Id="rId397" Target="https://www.ncbi.nlm.nih.gov/pubmed/22155870" TargetMode="External" /><Relationship Type="http://schemas.openxmlformats.org/officeDocument/2006/relationships/hyperlink" Id="rId468" Target="https://www.ncbi.nlm.nih.gov/pubmed/23945592" TargetMode="External" /><Relationship Type="http://schemas.openxmlformats.org/officeDocument/2006/relationships/hyperlink" Id="rId424" Target="https://www.ncbi.nlm.nih.gov/pubmed/23982603" TargetMode="External" /><Relationship Type="http://schemas.openxmlformats.org/officeDocument/2006/relationships/hyperlink" Id="rId454" Target="https://www.ncbi.nlm.nih.gov/pubmed/24564718" TargetMode="External" /><Relationship Type="http://schemas.openxmlformats.org/officeDocument/2006/relationships/hyperlink" Id="rId449" Target="https://www.ncbi.nlm.nih.gov/pubmed/25358478" TargetMode="External" /><Relationship Type="http://schemas.openxmlformats.org/officeDocument/2006/relationships/hyperlink" Id="rId444" Target="https://www.ncbi.nlm.nih.gov/pubmed/26243018" TargetMode="External" /><Relationship Type="http://schemas.openxmlformats.org/officeDocument/2006/relationships/hyperlink" Id="rId429" Target="https://www.ncbi.nlm.nih.gov/pubmed/26607064" TargetMode="External" /><Relationship Type="http://schemas.openxmlformats.org/officeDocument/2006/relationships/hyperlink" Id="rId463" Target="https://www.ncbi.nlm.nih.gov/pubmed/26899170" TargetMode="External" /><Relationship Type="http://schemas.openxmlformats.org/officeDocument/2006/relationships/hyperlink" Id="rId407" Target="https://www.ncbi.nlm.nih.gov/pubmed/27100738" TargetMode="External" /><Relationship Type="http://schemas.openxmlformats.org/officeDocument/2006/relationships/hyperlink" Id="rId380" Target="https://www.ncbi.nlm.nih.gov/pubmed/27268795" TargetMode="External" /><Relationship Type="http://schemas.openxmlformats.org/officeDocument/2006/relationships/hyperlink" Id="rId419" Target="https://www.ncbi.nlm.nih.gov/pubmed/28035024" TargetMode="External" /><Relationship Type="http://schemas.openxmlformats.org/officeDocument/2006/relationships/hyperlink" Id="rId439" Target="https://www.ncbi.nlm.nih.gov/pubmed/28394336" TargetMode="External" /><Relationship Type="http://schemas.openxmlformats.org/officeDocument/2006/relationships/hyperlink" Id="rId434" Target="https://www.ncbi.nlm.nih.gov/pubmed/29539639" TargetMode="External" /><Relationship Type="http://schemas.openxmlformats.org/officeDocument/2006/relationships/hyperlink" Id="rId385" Target="https://www.ncbi.nlm.nih.gov/pubmed/30013048" TargetMode="External" /><Relationship Type="http://schemas.openxmlformats.org/officeDocument/2006/relationships/hyperlink" Id="rId392" Target="https://www.ncbi.nlm.nih.gov/pubmed/30271907" TargetMode="External" /><Relationship Type="http://schemas.openxmlformats.org/officeDocument/2006/relationships/hyperlink" Id="rId353" Target="https://www.ncbi.nlm.nih.gov/pubmed/31693904" TargetMode="External" /><Relationship Type="http://schemas.openxmlformats.org/officeDocument/2006/relationships/hyperlink" Id="rId473" Target="https://www.ncbi.nlm.nih.gov/pubmed/31889194" TargetMode="External" /><Relationship Type="http://schemas.openxmlformats.org/officeDocument/2006/relationships/hyperlink" Id="rId375" Target="https://www.ncbi.nlm.nih.gov/pubmed/32664994" TargetMode="External" /><Relationship Type="http://schemas.openxmlformats.org/officeDocument/2006/relationships/hyperlink" Id="rId478" Target="https://www.ncbi.nlm.nih.gov/pubmed/33119584" TargetMode="External" /><Relationship Type="http://schemas.openxmlformats.org/officeDocument/2006/relationships/hyperlink" Id="rId360" Target="https://www.ncbi.nlm.nih.gov/pubmed/33242424" TargetMode="External" /><Relationship Type="http://schemas.openxmlformats.org/officeDocument/2006/relationships/hyperlink" Id="rId365" Target="https://www.ncbi.nlm.nih.gov/pubmed/33577785" TargetMode="External" /><Relationship Type="http://schemas.openxmlformats.org/officeDocument/2006/relationships/hyperlink" Id="rId370" Target="https://www.ncbi.nlm.nih.gov/pubmed/37492101" TargetMode="External" /><Relationship Type="http://schemas.openxmlformats.org/officeDocument/2006/relationships/hyperlink" Id="rId272" Target="https://www.research.chop.edu/department-of-biomedical-and-health-informatics" TargetMode="External" /><Relationship Type="http://schemas.openxmlformats.org/officeDocument/2006/relationships/hyperlink" Id="rId246" Target="mailto:rokita@chop.edu" TargetMode="External" /><Relationship Type="http://schemas.openxmlformats.org/officeDocument/2006/relationships/hyperlink" Id="rId284" Target="s3://kids-first-seq-data/pipeline_references/dbSNP_v153_ucsc-compatible.converted.vt.decomp.norm.common_snps.vcf.gz" TargetMode="External" /><Relationship Type="http://schemas.openxmlformats.org/officeDocument/2006/relationships/hyperlink" Id="rId285" Target="s3://kids-first-seq-data/pipeline_references/hg38_canonical_150.mapp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Pediatric Cancer Project</dc:title>
  <dc:creator/>
  <dc:language>en-US</dc:language>
  <cp:keywords>pediatric cancer, reproducibility, open science, multi-omics</cp:keywords>
  <dcterms:created xsi:type="dcterms:W3CDTF">2024-06-05T19:54:34Z</dcterms:created>
  <dcterms:modified xsi:type="dcterms:W3CDTF">2024-06-05T19:54:34Z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2024-06-05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