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FE6B" w14:textId="77777777" w:rsidR="0081489B" w:rsidRDefault="00000000">
      <w:pPr>
        <w:pStyle w:val="Title"/>
        <w:spacing w:line="276" w:lineRule="auto"/>
        <w:rPr>
          <w:b/>
          <w:color w:val="4472C4"/>
          <w:sz w:val="52"/>
          <w:szCs w:val="52"/>
        </w:rPr>
      </w:pPr>
      <w:r>
        <w:rPr>
          <w:b/>
          <w:color w:val="4472C4"/>
          <w:sz w:val="52"/>
          <w:szCs w:val="52"/>
        </w:rPr>
        <w:t>Data protection &amp; scientific research manual</w:t>
      </w:r>
    </w:p>
    <w:p w14:paraId="53841AFF" w14:textId="77777777" w:rsidR="0081489B" w:rsidRDefault="0081489B">
      <w:pPr>
        <w:spacing w:line="276" w:lineRule="auto"/>
        <w:rPr>
          <w:i/>
        </w:rPr>
      </w:pPr>
    </w:p>
    <w:p w14:paraId="0E0C9776" w14:textId="77777777" w:rsidR="0081489B" w:rsidRDefault="00000000">
      <w:pPr>
        <w:spacing w:line="276" w:lineRule="auto"/>
        <w:jc w:val="center"/>
        <w:rPr>
          <w:i/>
        </w:rPr>
      </w:pPr>
      <w:r>
        <w:rPr>
          <w:i/>
        </w:rPr>
        <w:t>Background information document</w:t>
      </w:r>
      <w:r>
        <w:rPr>
          <w:i/>
          <w:vertAlign w:val="superscript"/>
        </w:rPr>
        <w:footnoteReference w:id="1"/>
      </w:r>
    </w:p>
    <w:p w14:paraId="141B2FC9" w14:textId="77777777" w:rsidR="0081489B" w:rsidRDefault="00000000">
      <w:pPr>
        <w:pStyle w:val="Heading1"/>
        <w:spacing w:line="276" w:lineRule="auto"/>
        <w:rPr>
          <w:b/>
        </w:rPr>
      </w:pPr>
      <w:r>
        <w:rPr>
          <w:b/>
        </w:rPr>
        <w:t>1.</w:t>
      </w:r>
      <w:r>
        <w:tab/>
      </w:r>
      <w:r>
        <w:rPr>
          <w:b/>
        </w:rPr>
        <w:t>A special GDPR regime for scientific research?</w:t>
      </w:r>
    </w:p>
    <w:p w14:paraId="7204E20C" w14:textId="77777777" w:rsidR="0081489B" w:rsidRDefault="0081489B">
      <w:pPr>
        <w:spacing w:line="276" w:lineRule="auto"/>
      </w:pPr>
    </w:p>
    <w:p w14:paraId="4060D0C2" w14:textId="77777777" w:rsidR="0081489B" w:rsidRDefault="00000000">
      <w:pPr>
        <w:spacing w:line="276" w:lineRule="auto"/>
      </w:pPr>
      <w:r>
        <w:t xml:space="preserve">The GDPR affords a </w:t>
      </w:r>
      <w:r>
        <w:rPr>
          <w:b/>
        </w:rPr>
        <w:t>special regime</w:t>
      </w:r>
      <w:r>
        <w:t xml:space="preserve"> with a </w:t>
      </w:r>
      <w:r>
        <w:rPr>
          <w:b/>
        </w:rPr>
        <w:t>degree of flexibility</w:t>
      </w:r>
      <w:r>
        <w:t xml:space="preserve"> for </w:t>
      </w:r>
      <w:r>
        <w:rPr>
          <w:b/>
        </w:rPr>
        <w:t>public interest-driven scientific research projects</w:t>
      </w:r>
      <w:r>
        <w:t xml:space="preserve"> that operate within an ethical framework, and that aim to grow society’s collective knowledge and well-being. The special regime entails </w:t>
      </w:r>
      <w:r>
        <w:rPr>
          <w:b/>
        </w:rPr>
        <w:t>consequences</w:t>
      </w:r>
      <w:r>
        <w:t xml:space="preserve"> for the GDPR </w:t>
      </w:r>
      <w:r>
        <w:rPr>
          <w:b/>
        </w:rPr>
        <w:t>data processing principles</w:t>
      </w:r>
      <w:r>
        <w:t xml:space="preserve"> including the </w:t>
      </w:r>
      <w:r>
        <w:rPr>
          <w:b/>
        </w:rPr>
        <w:t xml:space="preserve">lawfulness </w:t>
      </w:r>
      <w:r>
        <w:t xml:space="preserve">requirements and </w:t>
      </w:r>
      <w:r>
        <w:rPr>
          <w:b/>
        </w:rPr>
        <w:t>purpose limitation</w:t>
      </w:r>
      <w:r>
        <w:t xml:space="preserve">, and for </w:t>
      </w:r>
      <w:r>
        <w:rPr>
          <w:b/>
        </w:rPr>
        <w:t>some of the data subject access rights</w:t>
      </w:r>
      <w:r>
        <w:t xml:space="preserve">. It permits some </w:t>
      </w:r>
      <w:r>
        <w:rPr>
          <w:b/>
        </w:rPr>
        <w:t xml:space="preserve">derogations </w:t>
      </w:r>
      <w:r>
        <w:t xml:space="preserve">from the </w:t>
      </w:r>
      <w:r>
        <w:rPr>
          <w:b/>
        </w:rPr>
        <w:t>usual data controller obligations</w:t>
      </w:r>
      <w:r>
        <w:t xml:space="preserve">. This includes the </w:t>
      </w:r>
      <w:r>
        <w:rPr>
          <w:b/>
        </w:rPr>
        <w:t>presumption of compatibility</w:t>
      </w:r>
      <w:r>
        <w:t xml:space="preserve"> of data processing of data for </w:t>
      </w:r>
      <w:r>
        <w:rPr>
          <w:b/>
        </w:rPr>
        <w:t>scientific research purposes</w:t>
      </w:r>
      <w:r>
        <w:t xml:space="preserve"> that was collected in commercial and other contexts, provided that appropriate safeguards are in place. </w:t>
      </w:r>
    </w:p>
    <w:p w14:paraId="5D35799E" w14:textId="77777777" w:rsidR="0081489B" w:rsidRDefault="00000000">
      <w:pPr>
        <w:spacing w:line="276" w:lineRule="auto"/>
      </w:pPr>
      <w:r>
        <w:t xml:space="preserve">This flexibility is afforded on the assumption that research emerging within a framework of ethical oversight </w:t>
      </w:r>
      <w:r>
        <w:rPr>
          <w:b/>
        </w:rPr>
        <w:t>serves</w:t>
      </w:r>
      <w:r>
        <w:t xml:space="preserve">, as a principle, the </w:t>
      </w:r>
      <w:r>
        <w:rPr>
          <w:b/>
        </w:rPr>
        <w:t>public</w:t>
      </w:r>
      <w:r>
        <w:t xml:space="preserve"> interest. The </w:t>
      </w:r>
      <w:r>
        <w:rPr>
          <w:b/>
        </w:rPr>
        <w:t>accountability</w:t>
      </w:r>
      <w:r>
        <w:t xml:space="preserve"> </w:t>
      </w:r>
      <w:r>
        <w:rPr>
          <w:b/>
        </w:rPr>
        <w:t xml:space="preserve">principle </w:t>
      </w:r>
      <w:r>
        <w:t xml:space="preserve">remains key; it requires data controllers to assess and to manage responsibly the risks inherent to their research project. </w:t>
      </w:r>
    </w:p>
    <w:p w14:paraId="678785C0" w14:textId="77777777" w:rsidR="0081489B" w:rsidRDefault="00000000">
      <w:pPr>
        <w:spacing w:line="276" w:lineRule="auto"/>
      </w:pPr>
      <w:r>
        <w:t xml:space="preserve">Data protection </w:t>
      </w:r>
      <w:r>
        <w:rPr>
          <w:b/>
        </w:rPr>
        <w:t xml:space="preserve">obligations </w:t>
      </w:r>
      <w:r>
        <w:t>generally</w:t>
      </w:r>
      <w:r>
        <w:rPr>
          <w:b/>
        </w:rPr>
        <w:t xml:space="preserve"> scale up </w:t>
      </w:r>
      <w:r>
        <w:t>according to the</w:t>
      </w:r>
      <w:r>
        <w:rPr>
          <w:b/>
        </w:rPr>
        <w:t xml:space="preserve"> risk</w:t>
      </w:r>
      <w:r>
        <w:t xml:space="preserve"> that the </w:t>
      </w:r>
      <w:r>
        <w:rPr>
          <w:b/>
        </w:rPr>
        <w:t>processing activities</w:t>
      </w:r>
      <w:r>
        <w:t xml:space="preserve"> may pose to the </w:t>
      </w:r>
      <w:r>
        <w:rPr>
          <w:b/>
        </w:rPr>
        <w:t>data subject</w:t>
      </w:r>
      <w:r>
        <w:t xml:space="preserve">, but the GDPR recognises that </w:t>
      </w:r>
      <w:r>
        <w:rPr>
          <w:b/>
        </w:rPr>
        <w:t>scientific</w:t>
      </w:r>
      <w:r>
        <w:t xml:space="preserve"> </w:t>
      </w:r>
      <w:r>
        <w:rPr>
          <w:b/>
        </w:rPr>
        <w:t xml:space="preserve">research-related rights </w:t>
      </w:r>
      <w:r>
        <w:t>and</w:t>
      </w:r>
      <w:r>
        <w:rPr>
          <w:b/>
        </w:rPr>
        <w:t xml:space="preserve"> interests</w:t>
      </w:r>
      <w:r>
        <w:t xml:space="preserve"> can</w:t>
      </w:r>
      <w:r>
        <w:rPr>
          <w:b/>
        </w:rPr>
        <w:t xml:space="preserve"> justify</w:t>
      </w:r>
      <w:r>
        <w:t xml:space="preserve"> some </w:t>
      </w:r>
      <w:r>
        <w:rPr>
          <w:b/>
        </w:rPr>
        <w:t>derogation</w:t>
      </w:r>
      <w:r>
        <w:t xml:space="preserve"> from some of GDPR’s </w:t>
      </w:r>
      <w:r>
        <w:rPr>
          <w:b/>
        </w:rPr>
        <w:t>general principles</w:t>
      </w:r>
      <w:r>
        <w:t xml:space="preserve">. The </w:t>
      </w:r>
      <w:r>
        <w:rPr>
          <w:b/>
        </w:rPr>
        <w:t>scope</w:t>
      </w:r>
      <w:r>
        <w:t xml:space="preserve"> of derogation is however </w:t>
      </w:r>
      <w:proofErr w:type="gramStart"/>
      <w:r>
        <w:rPr>
          <w:b/>
        </w:rPr>
        <w:t>restricted,</w:t>
      </w:r>
      <w:r>
        <w:t xml:space="preserve"> because</w:t>
      </w:r>
      <w:proofErr w:type="gramEnd"/>
      <w:r>
        <w:t xml:space="preserve"> the </w:t>
      </w:r>
      <w:r>
        <w:rPr>
          <w:b/>
        </w:rPr>
        <w:t>essence</w:t>
      </w:r>
      <w:r>
        <w:t xml:space="preserve"> of the right to </w:t>
      </w:r>
      <w:r>
        <w:rPr>
          <w:b/>
        </w:rPr>
        <w:t>data protection</w:t>
      </w:r>
      <w:r>
        <w:t xml:space="preserve"> must be </w:t>
      </w:r>
      <w:r>
        <w:rPr>
          <w:b/>
        </w:rPr>
        <w:t>preserved</w:t>
      </w:r>
      <w:r>
        <w:t>.</w:t>
      </w:r>
    </w:p>
    <w:p w14:paraId="55231168" w14:textId="77777777" w:rsidR="0081489B" w:rsidRDefault="00000000">
      <w:pPr>
        <w:spacing w:line="276" w:lineRule="auto"/>
      </w:pPr>
      <w:r>
        <w:t xml:space="preserve">In this background document, we unpack </w:t>
      </w:r>
      <w:r>
        <w:rPr>
          <w:b/>
        </w:rPr>
        <w:t>who</w:t>
      </w:r>
      <w:r>
        <w:t xml:space="preserve"> in the context of </w:t>
      </w:r>
      <w:r>
        <w:rPr>
          <w:b/>
        </w:rPr>
        <w:t>D3I projects</w:t>
      </w:r>
      <w:r>
        <w:t xml:space="preserve"> is responsible for </w:t>
      </w:r>
      <w:r>
        <w:rPr>
          <w:b/>
        </w:rPr>
        <w:t>compliance</w:t>
      </w:r>
      <w:r>
        <w:t xml:space="preserve"> with the </w:t>
      </w:r>
      <w:r>
        <w:rPr>
          <w:b/>
        </w:rPr>
        <w:t>GDPR</w:t>
      </w:r>
      <w:r>
        <w:t xml:space="preserve">, and how the </w:t>
      </w:r>
      <w:r>
        <w:rPr>
          <w:b/>
        </w:rPr>
        <w:t>derogations</w:t>
      </w:r>
      <w:r>
        <w:t xml:space="preserve"> work in </w:t>
      </w:r>
      <w:r>
        <w:rPr>
          <w:b/>
        </w:rPr>
        <w:t>practice</w:t>
      </w:r>
      <w:r>
        <w:t xml:space="preserve">. We elaborate </w:t>
      </w:r>
      <w:r>
        <w:rPr>
          <w:b/>
        </w:rPr>
        <w:t>other important GDPR requirements</w:t>
      </w:r>
      <w:r>
        <w:t xml:space="preserve"> for researchers to consider in </w:t>
      </w:r>
      <w:r>
        <w:rPr>
          <w:b/>
        </w:rPr>
        <w:t>separate documentation</w:t>
      </w:r>
      <w:r>
        <w:t xml:space="preserve"> about “</w:t>
      </w:r>
      <w:r>
        <w:rPr>
          <w:b/>
        </w:rPr>
        <w:t>consent</w:t>
      </w:r>
      <w:r>
        <w:t>” and “</w:t>
      </w:r>
      <w:r>
        <w:rPr>
          <w:b/>
        </w:rPr>
        <w:t>Data Protection Impact Assessments</w:t>
      </w:r>
      <w:r>
        <w:t>”.</w:t>
      </w:r>
    </w:p>
    <w:p w14:paraId="3D5FA9E2" w14:textId="77777777" w:rsidR="0081489B" w:rsidRDefault="00000000">
      <w:pPr>
        <w:pStyle w:val="Heading1"/>
        <w:spacing w:line="276" w:lineRule="auto"/>
        <w:rPr>
          <w:b/>
        </w:rPr>
      </w:pPr>
      <w:r>
        <w:rPr>
          <w:b/>
        </w:rPr>
        <w:t>2.</w:t>
      </w:r>
      <w:r>
        <w:rPr>
          <w:b/>
        </w:rPr>
        <w:tab/>
        <w:t>An overview: GDPR requirements &amp; scientific research in D3I</w:t>
      </w:r>
    </w:p>
    <w:p w14:paraId="1A051A8C" w14:textId="77777777" w:rsidR="0081489B" w:rsidRDefault="0081489B">
      <w:pPr>
        <w:pStyle w:val="Heading2"/>
        <w:spacing w:line="276" w:lineRule="auto"/>
      </w:pPr>
    </w:p>
    <w:p w14:paraId="50D81F5C" w14:textId="77777777" w:rsidR="0081489B" w:rsidRDefault="00000000">
      <w:pPr>
        <w:pStyle w:val="Heading2"/>
        <w:spacing w:line="276" w:lineRule="auto"/>
      </w:pPr>
      <w:r>
        <w:t>2.1</w:t>
      </w:r>
      <w:r>
        <w:tab/>
        <w:t>Controllers and data subjects in D3I projects</w:t>
      </w:r>
    </w:p>
    <w:p w14:paraId="0E37F699" w14:textId="77777777" w:rsidR="0081489B" w:rsidRDefault="0081489B">
      <w:pPr>
        <w:spacing w:line="276" w:lineRule="auto"/>
      </w:pPr>
    </w:p>
    <w:p w14:paraId="13FC0DD2" w14:textId="77777777" w:rsidR="0081489B" w:rsidRDefault="00000000">
      <w:pPr>
        <w:spacing w:line="276" w:lineRule="auto"/>
      </w:pPr>
      <w:r>
        <w:t xml:space="preserve">The </w:t>
      </w:r>
      <w:r>
        <w:rPr>
          <w:b/>
        </w:rPr>
        <w:t>GDPR</w:t>
      </w:r>
      <w:r>
        <w:t xml:space="preserve"> is largely about </w:t>
      </w:r>
      <w:r>
        <w:rPr>
          <w:b/>
        </w:rPr>
        <w:t>assigning roles</w:t>
      </w:r>
      <w:r>
        <w:t xml:space="preserve"> and </w:t>
      </w:r>
      <w:r>
        <w:rPr>
          <w:b/>
        </w:rPr>
        <w:t>responsibilities</w:t>
      </w:r>
      <w:r>
        <w:t xml:space="preserve"> across the stakeholders involved in data processing. In the context of </w:t>
      </w:r>
      <w:r>
        <w:rPr>
          <w:b/>
        </w:rPr>
        <w:t>D3I</w:t>
      </w:r>
      <w:r>
        <w:t xml:space="preserve">, the processing of </w:t>
      </w:r>
      <w:r>
        <w:rPr>
          <w:b/>
        </w:rPr>
        <w:t>personal data</w:t>
      </w:r>
      <w:r>
        <w:t xml:space="preserve"> potentially entails </w:t>
      </w:r>
      <w:r>
        <w:rPr>
          <w:b/>
        </w:rPr>
        <w:t>risks</w:t>
      </w:r>
      <w:r>
        <w:t xml:space="preserve"> for the </w:t>
      </w:r>
      <w:r>
        <w:rPr>
          <w:b/>
        </w:rPr>
        <w:t>person to whom the data relates</w:t>
      </w:r>
      <w:r>
        <w:t xml:space="preserve">. It is therefore important to know who is </w:t>
      </w:r>
      <w:r>
        <w:rPr>
          <w:b/>
          <w:i/>
        </w:rPr>
        <w:t>accountable</w:t>
      </w:r>
      <w:r>
        <w:t xml:space="preserve"> and </w:t>
      </w:r>
      <w:r>
        <w:rPr>
          <w:b/>
          <w:i/>
        </w:rPr>
        <w:t>responsible</w:t>
      </w:r>
      <w:r>
        <w:t xml:space="preserve"> for (parts of) for these risks, and how they can be addressed. </w:t>
      </w:r>
    </w:p>
    <w:p w14:paraId="47AAFAA5" w14:textId="77777777" w:rsidR="0081489B" w:rsidRDefault="00000000">
      <w:pPr>
        <w:spacing w:line="276" w:lineRule="auto"/>
      </w:pPr>
      <w:r>
        <w:t xml:space="preserve">In the </w:t>
      </w:r>
      <w:r>
        <w:rPr>
          <w:b/>
        </w:rPr>
        <w:t>D3I-project</w:t>
      </w:r>
      <w:r>
        <w:t xml:space="preserve">, three key stakeholders are involved: (1) </w:t>
      </w:r>
      <w:r>
        <w:rPr>
          <w:b/>
        </w:rPr>
        <w:t>companies</w:t>
      </w:r>
      <w:r>
        <w:t xml:space="preserve"> possessing and processing personal data (e.g., </w:t>
      </w:r>
      <w:proofErr w:type="spellStart"/>
      <w:r>
        <w:t>Youtube</w:t>
      </w:r>
      <w:proofErr w:type="spellEnd"/>
      <w:r>
        <w:t xml:space="preserve">, Facebook); (2) </w:t>
      </w:r>
      <w:r>
        <w:rPr>
          <w:b/>
        </w:rPr>
        <w:t>participants</w:t>
      </w:r>
      <w:r>
        <w:t xml:space="preserve"> whose personal data is made available to the researcher, the (3) </w:t>
      </w:r>
      <w:r>
        <w:rPr>
          <w:b/>
        </w:rPr>
        <w:t>researcher</w:t>
      </w:r>
      <w:r>
        <w:t xml:space="preserve"> who carries out the investigations in data that was made available by the participants. There </w:t>
      </w:r>
      <w:r>
        <w:lastRenderedPageBreak/>
        <w:t xml:space="preserve">can be a (4) </w:t>
      </w:r>
      <w:r>
        <w:rPr>
          <w:b/>
        </w:rPr>
        <w:t>fourth</w:t>
      </w:r>
      <w:r>
        <w:t xml:space="preserve"> stakeholder, which is a party that does something with the personal data </w:t>
      </w:r>
      <w:r>
        <w:rPr>
          <w:b/>
        </w:rPr>
        <w:t xml:space="preserve">on behalf of </w:t>
      </w:r>
      <w:r>
        <w:t xml:space="preserve">the researcher (e.g., store it, make it accessible) – this can be a </w:t>
      </w:r>
      <w:r>
        <w:rPr>
          <w:b/>
        </w:rPr>
        <w:t>platform</w:t>
      </w:r>
      <w:r>
        <w:t>.</w:t>
      </w:r>
    </w:p>
    <w:p w14:paraId="055E5F1E" w14:textId="77777777" w:rsidR="0081489B" w:rsidRDefault="00000000">
      <w:pPr>
        <w:spacing w:line="276" w:lineRule="auto"/>
      </w:pPr>
      <w:r>
        <w:t xml:space="preserve">First, we give some </w:t>
      </w:r>
      <w:r>
        <w:rPr>
          <w:b/>
        </w:rPr>
        <w:t>key definitions</w:t>
      </w:r>
      <w:r>
        <w:t xml:space="preserve"> in the </w:t>
      </w:r>
      <w:r>
        <w:rPr>
          <w:b/>
        </w:rPr>
        <w:t>GDPR</w:t>
      </w:r>
      <w:r>
        <w:t>:</w:t>
      </w:r>
    </w:p>
    <w:p w14:paraId="1073A6D7" w14:textId="77777777" w:rsidR="0081489B" w:rsidRDefault="00000000">
      <w:pPr>
        <w:spacing w:line="276" w:lineRule="auto"/>
      </w:pPr>
      <w:r>
        <w:t>'</w:t>
      </w:r>
      <w:r>
        <w:rPr>
          <w:b/>
          <w:i/>
        </w:rPr>
        <w:t>Data processing</w:t>
      </w:r>
      <w:r>
        <w:t xml:space="preserve">’ in the context of the GDPR means </w:t>
      </w:r>
      <w:r>
        <w:rPr>
          <w:b/>
        </w:rPr>
        <w:t>everything you do with</w:t>
      </w:r>
      <w:r>
        <w:t xml:space="preserve"> </w:t>
      </w:r>
      <w:r>
        <w:rPr>
          <w:b/>
        </w:rPr>
        <w:t>personal data</w:t>
      </w:r>
      <w:r>
        <w:t xml:space="preserve"> or with </w:t>
      </w:r>
      <w:r>
        <w:rPr>
          <w:b/>
        </w:rPr>
        <w:t>sets of personal data</w:t>
      </w:r>
      <w:r>
        <w:t xml:space="preserve">, such as collection, recording, organisation, structuring, storage, adaptation, retrieval, use, disclosure by transmission, computation, structuring, storage, dissemination, etc. Note that GDPR’s understanding is </w:t>
      </w:r>
      <w:r>
        <w:rPr>
          <w:b/>
        </w:rPr>
        <w:t xml:space="preserve">broader </w:t>
      </w:r>
      <w:r>
        <w:t xml:space="preserve">compared to how it is </w:t>
      </w:r>
      <w:r>
        <w:rPr>
          <w:b/>
        </w:rPr>
        <w:t>usually understood</w:t>
      </w:r>
      <w:r>
        <w:t xml:space="preserve"> by </w:t>
      </w:r>
      <w:r>
        <w:rPr>
          <w:b/>
        </w:rPr>
        <w:t xml:space="preserve">computer scientists </w:t>
      </w:r>
      <w:r>
        <w:t xml:space="preserve">and other </w:t>
      </w:r>
      <w:r>
        <w:rPr>
          <w:b/>
        </w:rPr>
        <w:t>tech folk</w:t>
      </w:r>
      <w:r>
        <w:t xml:space="preserve"> (they often consider data processing only as performing computation or analytics over data).</w:t>
      </w:r>
    </w:p>
    <w:p w14:paraId="3FD44EA3" w14:textId="77777777" w:rsidR="0081489B" w:rsidRDefault="00000000">
      <w:pPr>
        <w:spacing w:line="276" w:lineRule="auto"/>
      </w:pPr>
      <w:r>
        <w:t xml:space="preserve">Because </w:t>
      </w:r>
      <w:r>
        <w:rPr>
          <w:b/>
          <w:i/>
        </w:rPr>
        <w:t>personal data</w:t>
      </w:r>
      <w:r>
        <w:t xml:space="preserve"> – </w:t>
      </w:r>
      <w:r>
        <w:rPr>
          <w:b/>
        </w:rPr>
        <w:t>any information relating to an identified or identifiable natural person</w:t>
      </w:r>
      <w:r>
        <w:t xml:space="preserve"> – are processed in D3I-projects, the GDPR applies. </w:t>
      </w:r>
    </w:p>
    <w:p w14:paraId="4ED99676" w14:textId="77777777" w:rsidR="0081489B" w:rsidRDefault="00000000">
      <w:pPr>
        <w:spacing w:line="276" w:lineRule="auto"/>
      </w:pPr>
      <w:r>
        <w:t xml:space="preserve">The GDPR terms the </w:t>
      </w:r>
      <w:r>
        <w:rPr>
          <w:b/>
        </w:rPr>
        <w:t>persons whose personal data is processed</w:t>
      </w:r>
      <w:r>
        <w:t xml:space="preserve"> as </w:t>
      </w:r>
      <w:r>
        <w:rPr>
          <w:b/>
          <w:i/>
          <w:u w:val="single"/>
        </w:rPr>
        <w:t>data subjects</w:t>
      </w:r>
      <w:r>
        <w:t xml:space="preserve">. In the context of D3I, the </w:t>
      </w:r>
      <w:r>
        <w:rPr>
          <w:b/>
        </w:rPr>
        <w:t>participants</w:t>
      </w:r>
      <w:r>
        <w:t xml:space="preserve"> sharing their data are the </w:t>
      </w:r>
      <w:r>
        <w:rPr>
          <w:b/>
        </w:rPr>
        <w:t>data subjects</w:t>
      </w:r>
      <w:r>
        <w:t xml:space="preserve">. </w:t>
      </w:r>
    </w:p>
    <w:p w14:paraId="0C6DFF24" w14:textId="77777777" w:rsidR="0081489B" w:rsidRDefault="00000000">
      <w:pPr>
        <w:spacing w:line="276" w:lineRule="auto"/>
      </w:pPr>
      <w:r>
        <w:t>The GDPR defines</w:t>
      </w:r>
      <w:r>
        <w:rPr>
          <w:i/>
        </w:rPr>
        <w:t xml:space="preserve"> </w:t>
      </w:r>
      <w:r>
        <w:rPr>
          <w:b/>
          <w:i/>
          <w:u w:val="single"/>
        </w:rPr>
        <w:t>data controllers</w:t>
      </w:r>
      <w:r>
        <w:t xml:space="preserve"> as “the natural or legal </w:t>
      </w:r>
      <w:r>
        <w:rPr>
          <w:b/>
        </w:rPr>
        <w:t>person</w:t>
      </w:r>
      <w:r>
        <w:t xml:space="preserve"> […] which, </w:t>
      </w:r>
      <w:r>
        <w:rPr>
          <w:b/>
        </w:rPr>
        <w:t>alone</w:t>
      </w:r>
      <w:r>
        <w:t xml:space="preserve"> or </w:t>
      </w:r>
      <w:r>
        <w:rPr>
          <w:b/>
        </w:rPr>
        <w:t>jointly</w:t>
      </w:r>
      <w:r>
        <w:t xml:space="preserve"> with others, determines the </w:t>
      </w:r>
      <w:r>
        <w:rPr>
          <w:b/>
          <w:i/>
        </w:rPr>
        <w:t>purposes</w:t>
      </w:r>
      <w:r>
        <w:t xml:space="preserve"> and </w:t>
      </w:r>
      <w:r>
        <w:rPr>
          <w:b/>
          <w:i/>
        </w:rPr>
        <w:t>means</w:t>
      </w:r>
      <w:r>
        <w:t xml:space="preserve"> of the processing of personal data [...]”. In the context of D3I, </w:t>
      </w:r>
      <w:r>
        <w:rPr>
          <w:b/>
        </w:rPr>
        <w:t>researchers</w:t>
      </w:r>
      <w:r>
        <w:t xml:space="preserve"> (and ultimately the university they are working for) are considered data controllers, because they determine the purpose for which the personal data will be processed. </w:t>
      </w:r>
      <w:r>
        <w:rPr>
          <w:b/>
        </w:rPr>
        <w:t>Companies</w:t>
      </w:r>
      <w:r>
        <w:t xml:space="preserve"> processing data of research participants are also regarded as data controllers. </w:t>
      </w:r>
    </w:p>
    <w:p w14:paraId="72E1CC7C" w14:textId="77777777" w:rsidR="0081489B" w:rsidRDefault="00000000">
      <w:pPr>
        <w:spacing w:line="276" w:lineRule="auto"/>
      </w:pPr>
      <w:r>
        <w:t xml:space="preserve">Because the researcher and the companies determine for what purpose the personal data will be processed, the </w:t>
      </w:r>
      <w:r>
        <w:rPr>
          <w:b/>
        </w:rPr>
        <w:t>GDPR puts</w:t>
      </w:r>
      <w:r>
        <w:t xml:space="preserve"> </w:t>
      </w:r>
      <w:r>
        <w:rPr>
          <w:b/>
        </w:rPr>
        <w:t>responsibilities</w:t>
      </w:r>
      <w:r>
        <w:t xml:space="preserve"> on researchers and companies. </w:t>
      </w:r>
      <w:r>
        <w:rPr>
          <w:b/>
        </w:rPr>
        <w:t>Researchers</w:t>
      </w:r>
      <w:r>
        <w:t xml:space="preserve"> must comply with GDPR’s data protection principles, with the rights of data subjects and with a range of </w:t>
      </w:r>
      <w:r>
        <w:rPr>
          <w:b/>
        </w:rPr>
        <w:t>other</w:t>
      </w:r>
      <w:r>
        <w:t xml:space="preserve"> </w:t>
      </w:r>
      <w:r>
        <w:rPr>
          <w:b/>
        </w:rPr>
        <w:t>obligations</w:t>
      </w:r>
      <w:r>
        <w:t>. The same applies to companies processing participant data. Before elaborating the responsibilities, we first introduce another role that may be relevant in D3I-research contexts: that of the data processor.</w:t>
      </w:r>
    </w:p>
    <w:p w14:paraId="5B6EAB07" w14:textId="77777777" w:rsidR="0081489B" w:rsidRDefault="00000000">
      <w:pPr>
        <w:spacing w:line="276" w:lineRule="auto"/>
      </w:pPr>
      <w:r>
        <w:rPr>
          <w:b/>
          <w:i/>
          <w:u w:val="single"/>
        </w:rPr>
        <w:t>Data processors</w:t>
      </w:r>
      <w:r>
        <w:t xml:space="preserve"> are stakeholders that process personal data </w:t>
      </w:r>
      <w:r>
        <w:rPr>
          <w:b/>
          <w:i/>
        </w:rPr>
        <w:t>on behalf of</w:t>
      </w:r>
      <w:r>
        <w:rPr>
          <w:b/>
        </w:rPr>
        <w:t>,</w:t>
      </w:r>
      <w:r>
        <w:t xml:space="preserve"> or as tasked by, </w:t>
      </w:r>
      <w:r>
        <w:rPr>
          <w:b/>
        </w:rPr>
        <w:t>data controllers</w:t>
      </w:r>
      <w:r>
        <w:t xml:space="preserve">. Where a </w:t>
      </w:r>
      <w:r>
        <w:rPr>
          <w:b/>
        </w:rPr>
        <w:t>platform</w:t>
      </w:r>
      <w:r>
        <w:t xml:space="preserve"> is part of D3I projects, it likely processes personal data on behalf of the </w:t>
      </w:r>
      <w:r>
        <w:rPr>
          <w:b/>
        </w:rPr>
        <w:t>researcher</w:t>
      </w:r>
      <w:r>
        <w:t xml:space="preserve">. As long as the platform does </w:t>
      </w:r>
      <w:r>
        <w:rPr>
          <w:b/>
        </w:rPr>
        <w:t>not</w:t>
      </w:r>
      <w:r>
        <w:t xml:space="preserve"> </w:t>
      </w:r>
      <w:r>
        <w:rPr>
          <w:b/>
        </w:rPr>
        <w:t>determine any purpose for the data processing itself</w:t>
      </w:r>
      <w:r>
        <w:t xml:space="preserve">, it acts as a data processor. As soon as the platform determines its own purpose for the processing of participant data, it acts, for that part, as a data controller. </w:t>
      </w:r>
      <w:r>
        <w:rPr>
          <w:b/>
        </w:rPr>
        <w:t>Processors</w:t>
      </w:r>
      <w:r>
        <w:t xml:space="preserve"> do have responsibilities too, but </w:t>
      </w:r>
      <w:r>
        <w:rPr>
          <w:b/>
        </w:rPr>
        <w:t xml:space="preserve">most GDPR-obligations </w:t>
      </w:r>
      <w:r>
        <w:t xml:space="preserve">regarding the data processing fall on the data </w:t>
      </w:r>
      <w:r>
        <w:rPr>
          <w:b/>
        </w:rPr>
        <w:t>controller</w:t>
      </w:r>
      <w:r>
        <w:t xml:space="preserve">. </w:t>
      </w:r>
    </w:p>
    <w:p w14:paraId="3FA420A8" w14:textId="77777777" w:rsidR="0081489B" w:rsidRDefault="0081489B">
      <w:pPr>
        <w:spacing w:line="276" w:lineRule="auto"/>
      </w:pPr>
    </w:p>
    <w:p w14:paraId="1685A334" w14:textId="77777777" w:rsidR="0081489B" w:rsidRDefault="00000000">
      <w:pPr>
        <w:pStyle w:val="Heading2"/>
        <w:spacing w:line="276" w:lineRule="auto"/>
      </w:pPr>
      <w:r>
        <w:t>2.2</w:t>
      </w:r>
      <w:r>
        <w:tab/>
        <w:t xml:space="preserve">Data processing principles </w:t>
      </w:r>
    </w:p>
    <w:p w14:paraId="1FD2B106" w14:textId="77777777" w:rsidR="0081489B" w:rsidRDefault="0081489B">
      <w:pPr>
        <w:spacing w:line="276" w:lineRule="auto"/>
      </w:pPr>
    </w:p>
    <w:p w14:paraId="70DDF052" w14:textId="77777777" w:rsidR="0081489B" w:rsidRDefault="00000000">
      <w:pPr>
        <w:spacing w:line="276" w:lineRule="auto"/>
      </w:pPr>
      <w:r>
        <w:t xml:space="preserve">The GDPR nails down </w:t>
      </w:r>
      <w:r>
        <w:rPr>
          <w:b/>
        </w:rPr>
        <w:t>six data processing principles</w:t>
      </w:r>
      <w:r>
        <w:t xml:space="preserve"> with which researchers must comply:</w:t>
      </w:r>
    </w:p>
    <w:p w14:paraId="0D595C06" w14:textId="77777777" w:rsidR="0081489B" w:rsidRDefault="00000000">
      <w:pPr>
        <w:numPr>
          <w:ilvl w:val="0"/>
          <w:numId w:val="3"/>
        </w:numPr>
        <w:pBdr>
          <w:top w:val="nil"/>
          <w:left w:val="nil"/>
          <w:bottom w:val="nil"/>
          <w:right w:val="nil"/>
          <w:between w:val="nil"/>
        </w:pBdr>
        <w:spacing w:after="0" w:line="276" w:lineRule="auto"/>
        <w:rPr>
          <w:rFonts w:ascii="Calibri" w:hAnsi="Calibri"/>
          <w:color w:val="000000"/>
        </w:rPr>
      </w:pPr>
      <w:r>
        <w:rPr>
          <w:rFonts w:ascii="Calibri" w:hAnsi="Calibri"/>
          <w:color w:val="000000"/>
        </w:rPr>
        <w:t xml:space="preserve">lawfulness, fairness and transparency; </w:t>
      </w:r>
    </w:p>
    <w:p w14:paraId="382C0AC0" w14:textId="77777777" w:rsidR="0081489B" w:rsidRDefault="00000000">
      <w:pPr>
        <w:numPr>
          <w:ilvl w:val="0"/>
          <w:numId w:val="3"/>
        </w:numPr>
        <w:pBdr>
          <w:top w:val="nil"/>
          <w:left w:val="nil"/>
          <w:bottom w:val="nil"/>
          <w:right w:val="nil"/>
          <w:between w:val="nil"/>
        </w:pBdr>
        <w:spacing w:after="0" w:line="276" w:lineRule="auto"/>
        <w:rPr>
          <w:rFonts w:ascii="Calibri" w:hAnsi="Calibri"/>
          <w:color w:val="000000"/>
        </w:rPr>
      </w:pPr>
      <w:r>
        <w:rPr>
          <w:rFonts w:ascii="Calibri" w:hAnsi="Calibri"/>
          <w:color w:val="000000"/>
        </w:rPr>
        <w:t xml:space="preserve">purpose limitation; </w:t>
      </w:r>
    </w:p>
    <w:p w14:paraId="0CA546EA" w14:textId="77777777" w:rsidR="0081489B" w:rsidRDefault="00000000">
      <w:pPr>
        <w:numPr>
          <w:ilvl w:val="0"/>
          <w:numId w:val="3"/>
        </w:numPr>
        <w:pBdr>
          <w:top w:val="nil"/>
          <w:left w:val="nil"/>
          <w:bottom w:val="nil"/>
          <w:right w:val="nil"/>
          <w:between w:val="nil"/>
        </w:pBdr>
        <w:spacing w:after="0" w:line="276" w:lineRule="auto"/>
        <w:rPr>
          <w:rFonts w:ascii="Calibri" w:hAnsi="Calibri"/>
          <w:color w:val="000000"/>
        </w:rPr>
      </w:pPr>
      <w:r>
        <w:rPr>
          <w:rFonts w:ascii="Calibri" w:hAnsi="Calibri"/>
          <w:color w:val="000000"/>
        </w:rPr>
        <w:t xml:space="preserve">data minimisation; </w:t>
      </w:r>
    </w:p>
    <w:p w14:paraId="3B9E2659" w14:textId="77777777" w:rsidR="0081489B" w:rsidRDefault="00000000">
      <w:pPr>
        <w:numPr>
          <w:ilvl w:val="0"/>
          <w:numId w:val="3"/>
        </w:numPr>
        <w:pBdr>
          <w:top w:val="nil"/>
          <w:left w:val="nil"/>
          <w:bottom w:val="nil"/>
          <w:right w:val="nil"/>
          <w:between w:val="nil"/>
        </w:pBdr>
        <w:spacing w:after="0" w:line="276" w:lineRule="auto"/>
        <w:rPr>
          <w:rFonts w:ascii="Calibri" w:hAnsi="Calibri"/>
          <w:color w:val="000000"/>
        </w:rPr>
      </w:pPr>
      <w:r>
        <w:rPr>
          <w:rFonts w:ascii="Calibri" w:hAnsi="Calibri"/>
          <w:color w:val="000000"/>
        </w:rPr>
        <w:t xml:space="preserve">data accuracy; </w:t>
      </w:r>
    </w:p>
    <w:p w14:paraId="3D31E5AC" w14:textId="77777777" w:rsidR="0081489B" w:rsidRDefault="00000000">
      <w:pPr>
        <w:numPr>
          <w:ilvl w:val="0"/>
          <w:numId w:val="3"/>
        </w:numPr>
        <w:pBdr>
          <w:top w:val="nil"/>
          <w:left w:val="nil"/>
          <w:bottom w:val="nil"/>
          <w:right w:val="nil"/>
          <w:between w:val="nil"/>
        </w:pBdr>
        <w:spacing w:after="0" w:line="276" w:lineRule="auto"/>
        <w:rPr>
          <w:rFonts w:ascii="Calibri" w:hAnsi="Calibri"/>
          <w:color w:val="000000"/>
        </w:rPr>
      </w:pPr>
      <w:r>
        <w:rPr>
          <w:rFonts w:ascii="Calibri" w:hAnsi="Calibri"/>
          <w:color w:val="000000"/>
        </w:rPr>
        <w:t>storage limitation; and</w:t>
      </w:r>
    </w:p>
    <w:p w14:paraId="3E44B9F2" w14:textId="77777777" w:rsidR="0081489B" w:rsidRDefault="00000000">
      <w:pPr>
        <w:numPr>
          <w:ilvl w:val="0"/>
          <w:numId w:val="3"/>
        </w:numPr>
        <w:pBdr>
          <w:top w:val="nil"/>
          <w:left w:val="nil"/>
          <w:bottom w:val="nil"/>
          <w:right w:val="nil"/>
          <w:between w:val="nil"/>
        </w:pBdr>
        <w:spacing w:line="276" w:lineRule="auto"/>
        <w:rPr>
          <w:rFonts w:ascii="Calibri" w:hAnsi="Calibri"/>
          <w:color w:val="000000"/>
        </w:rPr>
      </w:pPr>
      <w:r>
        <w:rPr>
          <w:rFonts w:ascii="Calibri" w:hAnsi="Calibri"/>
          <w:color w:val="000000"/>
        </w:rPr>
        <w:t xml:space="preserve">integrity and confidentiality, and the </w:t>
      </w:r>
      <w:r>
        <w:rPr>
          <w:rFonts w:ascii="Calibri" w:hAnsi="Calibri"/>
          <w:b/>
          <w:color w:val="000000"/>
        </w:rPr>
        <w:t>accountability</w:t>
      </w:r>
      <w:r>
        <w:rPr>
          <w:rFonts w:ascii="Calibri" w:hAnsi="Calibri"/>
          <w:color w:val="000000"/>
        </w:rPr>
        <w:t xml:space="preserve"> </w:t>
      </w:r>
      <w:r>
        <w:rPr>
          <w:rFonts w:ascii="Calibri" w:hAnsi="Calibri"/>
          <w:b/>
          <w:color w:val="000000"/>
        </w:rPr>
        <w:t xml:space="preserve">principle. </w:t>
      </w:r>
    </w:p>
    <w:p w14:paraId="6D9E572C" w14:textId="77777777" w:rsidR="0081489B" w:rsidRDefault="00000000">
      <w:pPr>
        <w:spacing w:line="276" w:lineRule="auto"/>
        <w:ind w:left="360"/>
      </w:pPr>
      <w:r>
        <w:t xml:space="preserve">We briefly mention what each principle means. More generally, a ‘principle’ means not a hard rule that exactly prescribes what you must do to be compliant. A GDPR-principle requires the researcher to </w:t>
      </w:r>
      <w:r>
        <w:lastRenderedPageBreak/>
        <w:t>consider and respond to the topic at hand (</w:t>
      </w:r>
      <w:proofErr w:type="gramStart"/>
      <w:r>
        <w:t>e.g.</w:t>
      </w:r>
      <w:proofErr w:type="gramEnd"/>
      <w:r>
        <w:t xml:space="preserve"> lawfulness), and to design their data processing in such a way that the design reflects that technical, organisational and legal measures were taken to best safeguard the rights and interests of the participants.</w:t>
      </w:r>
    </w:p>
    <w:p w14:paraId="6E832027" w14:textId="77777777" w:rsidR="0081489B" w:rsidRDefault="00000000">
      <w:pPr>
        <w:numPr>
          <w:ilvl w:val="0"/>
          <w:numId w:val="1"/>
        </w:numPr>
        <w:pBdr>
          <w:top w:val="nil"/>
          <w:left w:val="nil"/>
          <w:bottom w:val="nil"/>
          <w:right w:val="nil"/>
          <w:between w:val="nil"/>
        </w:pBdr>
        <w:spacing w:after="0" w:line="276" w:lineRule="auto"/>
        <w:rPr>
          <w:rFonts w:ascii="Calibri" w:hAnsi="Calibri"/>
          <w:color w:val="000000"/>
        </w:rPr>
      </w:pPr>
      <w:r>
        <w:rPr>
          <w:rFonts w:ascii="Calibri" w:hAnsi="Calibri"/>
          <w:b/>
          <w:color w:val="000000"/>
        </w:rPr>
        <w:t xml:space="preserve">Lawfulness </w:t>
      </w:r>
      <w:r>
        <w:rPr>
          <w:rFonts w:ascii="Calibri" w:hAnsi="Calibri"/>
          <w:color w:val="000000"/>
        </w:rPr>
        <w:t xml:space="preserve">means that personal data must be processed in a lawful way. In the context of D3I, this means that participant data will generally be processed on the basis of (the lawful ground of) </w:t>
      </w:r>
      <w:r>
        <w:rPr>
          <w:rFonts w:ascii="Calibri" w:hAnsi="Calibri"/>
          <w:b/>
          <w:color w:val="000000"/>
        </w:rPr>
        <w:t>consent</w:t>
      </w:r>
      <w:r>
        <w:rPr>
          <w:rFonts w:ascii="Calibri" w:hAnsi="Calibri"/>
          <w:color w:val="000000"/>
        </w:rPr>
        <w:t xml:space="preserve">. </w:t>
      </w:r>
    </w:p>
    <w:p w14:paraId="37756B09" w14:textId="77777777" w:rsidR="0081489B" w:rsidRDefault="00000000">
      <w:pPr>
        <w:numPr>
          <w:ilvl w:val="0"/>
          <w:numId w:val="1"/>
        </w:numPr>
        <w:pBdr>
          <w:top w:val="nil"/>
          <w:left w:val="nil"/>
          <w:bottom w:val="nil"/>
          <w:right w:val="nil"/>
          <w:between w:val="nil"/>
        </w:pBdr>
        <w:spacing w:after="0" w:line="276" w:lineRule="auto"/>
        <w:rPr>
          <w:rFonts w:ascii="Calibri" w:hAnsi="Calibri"/>
          <w:color w:val="000000"/>
        </w:rPr>
      </w:pPr>
      <w:r>
        <w:rPr>
          <w:rFonts w:ascii="Calibri" w:hAnsi="Calibri"/>
          <w:b/>
          <w:color w:val="000000"/>
        </w:rPr>
        <w:t>Fairness</w:t>
      </w:r>
      <w:r>
        <w:rPr>
          <w:rFonts w:ascii="Calibri" w:hAnsi="Calibri"/>
          <w:color w:val="000000"/>
        </w:rPr>
        <w:t xml:space="preserve"> means that the researcher has considered how the </w:t>
      </w:r>
      <w:r>
        <w:rPr>
          <w:rFonts w:ascii="Calibri" w:hAnsi="Calibri"/>
          <w:b/>
          <w:color w:val="000000"/>
        </w:rPr>
        <w:t xml:space="preserve">processing can affect </w:t>
      </w:r>
      <w:r>
        <w:rPr>
          <w:rFonts w:ascii="Calibri" w:hAnsi="Calibri"/>
          <w:color w:val="000000"/>
        </w:rPr>
        <w:t xml:space="preserve">the </w:t>
      </w:r>
      <w:r>
        <w:rPr>
          <w:rFonts w:ascii="Calibri" w:hAnsi="Calibri"/>
          <w:b/>
          <w:color w:val="000000"/>
        </w:rPr>
        <w:t>participants</w:t>
      </w:r>
      <w:r>
        <w:rPr>
          <w:rFonts w:ascii="Calibri" w:hAnsi="Calibri"/>
          <w:color w:val="000000"/>
        </w:rPr>
        <w:t xml:space="preserve">. The researcher can </w:t>
      </w:r>
      <w:r>
        <w:rPr>
          <w:rFonts w:ascii="Calibri" w:hAnsi="Calibri"/>
          <w:b/>
          <w:color w:val="000000"/>
        </w:rPr>
        <w:t>justify</w:t>
      </w:r>
      <w:r>
        <w:rPr>
          <w:rFonts w:ascii="Calibri" w:hAnsi="Calibri"/>
          <w:color w:val="000000"/>
        </w:rPr>
        <w:t xml:space="preserve"> </w:t>
      </w:r>
      <w:r>
        <w:rPr>
          <w:rFonts w:ascii="Calibri" w:hAnsi="Calibri"/>
          <w:b/>
          <w:color w:val="000000"/>
        </w:rPr>
        <w:t>any adverse impact.</w:t>
      </w:r>
      <w:r>
        <w:rPr>
          <w:rFonts w:ascii="Calibri" w:hAnsi="Calibri"/>
          <w:color w:val="000000"/>
        </w:rPr>
        <w:t xml:space="preserve"> The </w:t>
      </w:r>
      <w:r>
        <w:rPr>
          <w:rFonts w:ascii="Calibri" w:hAnsi="Calibri"/>
          <w:b/>
          <w:color w:val="000000"/>
        </w:rPr>
        <w:t>researcher</w:t>
      </w:r>
      <w:r>
        <w:rPr>
          <w:rFonts w:ascii="Calibri" w:hAnsi="Calibri"/>
          <w:color w:val="000000"/>
        </w:rPr>
        <w:t xml:space="preserve"> only handles </w:t>
      </w:r>
      <w:r>
        <w:rPr>
          <w:rFonts w:ascii="Calibri" w:hAnsi="Calibri"/>
          <w:b/>
          <w:color w:val="000000"/>
        </w:rPr>
        <w:t>participant</w:t>
      </w:r>
      <w:r>
        <w:rPr>
          <w:rFonts w:ascii="Calibri" w:hAnsi="Calibri"/>
          <w:color w:val="000000"/>
        </w:rPr>
        <w:t xml:space="preserve"> data in ways they would </w:t>
      </w:r>
      <w:r>
        <w:rPr>
          <w:rFonts w:ascii="Calibri" w:hAnsi="Calibri"/>
          <w:b/>
          <w:color w:val="000000"/>
        </w:rPr>
        <w:t>reasonably expect</w:t>
      </w:r>
      <w:r>
        <w:rPr>
          <w:rFonts w:ascii="Calibri" w:hAnsi="Calibri"/>
          <w:color w:val="000000"/>
        </w:rPr>
        <w:t xml:space="preserve">, or he or she can explain why any </w:t>
      </w:r>
      <w:r>
        <w:rPr>
          <w:rFonts w:ascii="Calibri" w:hAnsi="Calibri"/>
          <w:b/>
          <w:color w:val="000000"/>
        </w:rPr>
        <w:t>unexpected processing</w:t>
      </w:r>
      <w:r>
        <w:rPr>
          <w:rFonts w:ascii="Calibri" w:hAnsi="Calibri"/>
          <w:color w:val="000000"/>
        </w:rPr>
        <w:t xml:space="preserve"> is justified. The researcher does not deceive or mislead participants when their personal data are collected.</w:t>
      </w:r>
    </w:p>
    <w:p w14:paraId="2E97FD48" w14:textId="77777777" w:rsidR="0081489B" w:rsidRDefault="00000000">
      <w:pPr>
        <w:numPr>
          <w:ilvl w:val="0"/>
          <w:numId w:val="1"/>
        </w:numPr>
        <w:pBdr>
          <w:top w:val="nil"/>
          <w:left w:val="nil"/>
          <w:bottom w:val="nil"/>
          <w:right w:val="nil"/>
          <w:between w:val="nil"/>
        </w:pBdr>
        <w:spacing w:after="0" w:line="276" w:lineRule="auto"/>
        <w:rPr>
          <w:rFonts w:ascii="Calibri" w:hAnsi="Calibri"/>
          <w:color w:val="000000"/>
        </w:rPr>
      </w:pPr>
      <w:r>
        <w:rPr>
          <w:rFonts w:ascii="Calibri" w:hAnsi="Calibri"/>
          <w:b/>
          <w:color w:val="000000"/>
        </w:rPr>
        <w:t>Transparency</w:t>
      </w:r>
      <w:r>
        <w:rPr>
          <w:rFonts w:ascii="Calibri" w:hAnsi="Calibri"/>
          <w:color w:val="000000"/>
        </w:rPr>
        <w:t xml:space="preserve"> means that the researcher is open and honest, and that he or she complies with the participant’s right to be informed about the data processing. </w:t>
      </w:r>
    </w:p>
    <w:p w14:paraId="17DC71CD" w14:textId="77777777" w:rsidR="0081489B" w:rsidRDefault="00000000">
      <w:pPr>
        <w:numPr>
          <w:ilvl w:val="0"/>
          <w:numId w:val="1"/>
        </w:numPr>
        <w:pBdr>
          <w:top w:val="nil"/>
          <w:left w:val="nil"/>
          <w:bottom w:val="nil"/>
          <w:right w:val="nil"/>
          <w:between w:val="nil"/>
        </w:pBdr>
        <w:spacing w:after="0" w:line="276" w:lineRule="auto"/>
        <w:rPr>
          <w:rFonts w:ascii="Calibri" w:hAnsi="Calibri"/>
          <w:color w:val="000000"/>
        </w:rPr>
      </w:pPr>
      <w:r>
        <w:rPr>
          <w:rFonts w:ascii="Calibri" w:hAnsi="Calibri"/>
          <w:b/>
          <w:color w:val="000000"/>
        </w:rPr>
        <w:t>Purpose limitation</w:t>
      </w:r>
      <w:r>
        <w:rPr>
          <w:rFonts w:ascii="Calibri" w:hAnsi="Calibri"/>
          <w:color w:val="000000"/>
        </w:rPr>
        <w:t xml:space="preserve"> means that researchers must </w:t>
      </w:r>
      <w:r>
        <w:rPr>
          <w:rFonts w:ascii="Calibri" w:hAnsi="Calibri"/>
          <w:b/>
          <w:color w:val="000000"/>
        </w:rPr>
        <w:t>from the start</w:t>
      </w:r>
      <w:r>
        <w:rPr>
          <w:rFonts w:ascii="Calibri" w:hAnsi="Calibri"/>
          <w:color w:val="000000"/>
        </w:rPr>
        <w:t xml:space="preserve"> be clear about what their </w:t>
      </w:r>
      <w:r>
        <w:rPr>
          <w:rFonts w:ascii="Calibri" w:hAnsi="Calibri"/>
          <w:b/>
          <w:color w:val="000000"/>
        </w:rPr>
        <w:t>purposes</w:t>
      </w:r>
      <w:r>
        <w:rPr>
          <w:rFonts w:ascii="Calibri" w:hAnsi="Calibri"/>
          <w:color w:val="000000"/>
        </w:rPr>
        <w:t xml:space="preserve"> for </w:t>
      </w:r>
      <w:r>
        <w:rPr>
          <w:rFonts w:ascii="Calibri" w:hAnsi="Calibri"/>
          <w:b/>
          <w:color w:val="000000"/>
        </w:rPr>
        <w:t>processing participant</w:t>
      </w:r>
      <w:r>
        <w:rPr>
          <w:rFonts w:ascii="Calibri" w:hAnsi="Calibri"/>
          <w:color w:val="000000"/>
        </w:rPr>
        <w:t xml:space="preserve"> </w:t>
      </w:r>
      <w:r>
        <w:rPr>
          <w:rFonts w:ascii="Calibri" w:hAnsi="Calibri"/>
          <w:b/>
          <w:color w:val="000000"/>
        </w:rPr>
        <w:t>data</w:t>
      </w:r>
      <w:r>
        <w:rPr>
          <w:rFonts w:ascii="Calibri" w:hAnsi="Calibri"/>
          <w:color w:val="000000"/>
        </w:rPr>
        <w:t xml:space="preserve"> are. </w:t>
      </w:r>
      <w:r>
        <w:rPr>
          <w:rFonts w:ascii="Calibri" w:hAnsi="Calibri"/>
          <w:b/>
          <w:color w:val="000000"/>
        </w:rPr>
        <w:t>Researchers</w:t>
      </w:r>
      <w:r>
        <w:rPr>
          <w:rFonts w:ascii="Calibri" w:hAnsi="Calibri"/>
          <w:color w:val="000000"/>
        </w:rPr>
        <w:t xml:space="preserve"> must record their purposes as part of their </w:t>
      </w:r>
      <w:r>
        <w:rPr>
          <w:rFonts w:ascii="Calibri" w:hAnsi="Calibri"/>
          <w:b/>
          <w:color w:val="000000"/>
        </w:rPr>
        <w:t>privacy policy</w:t>
      </w:r>
      <w:r>
        <w:rPr>
          <w:rFonts w:ascii="Calibri" w:hAnsi="Calibri"/>
          <w:color w:val="000000"/>
        </w:rPr>
        <w:t xml:space="preserve"> and/or their </w:t>
      </w:r>
      <w:r>
        <w:rPr>
          <w:rFonts w:ascii="Calibri" w:hAnsi="Calibri"/>
          <w:b/>
          <w:color w:val="000000"/>
        </w:rPr>
        <w:t>consent form</w:t>
      </w:r>
      <w:r>
        <w:rPr>
          <w:rFonts w:ascii="Calibri" w:hAnsi="Calibri"/>
          <w:color w:val="000000"/>
        </w:rPr>
        <w:t>.</w:t>
      </w:r>
    </w:p>
    <w:p w14:paraId="7F067340" w14:textId="77777777" w:rsidR="0081489B" w:rsidRDefault="00000000">
      <w:pPr>
        <w:numPr>
          <w:ilvl w:val="0"/>
          <w:numId w:val="1"/>
        </w:numPr>
        <w:pBdr>
          <w:top w:val="nil"/>
          <w:left w:val="nil"/>
          <w:bottom w:val="nil"/>
          <w:right w:val="nil"/>
          <w:between w:val="nil"/>
        </w:pBdr>
        <w:spacing w:after="0" w:line="276" w:lineRule="auto"/>
        <w:rPr>
          <w:rFonts w:ascii="Calibri" w:hAnsi="Calibri"/>
          <w:color w:val="000000"/>
        </w:rPr>
      </w:pPr>
      <w:r>
        <w:rPr>
          <w:rFonts w:ascii="Calibri" w:hAnsi="Calibri"/>
          <w:b/>
          <w:color w:val="000000"/>
        </w:rPr>
        <w:t xml:space="preserve">Data minimisation </w:t>
      </w:r>
      <w:r>
        <w:rPr>
          <w:rFonts w:ascii="Calibri" w:hAnsi="Calibri"/>
          <w:color w:val="000000"/>
        </w:rPr>
        <w:t>means that the researcher collects</w:t>
      </w:r>
      <w:r>
        <w:rPr>
          <w:rFonts w:ascii="Calibri" w:hAnsi="Calibri"/>
          <w:b/>
          <w:color w:val="000000"/>
        </w:rPr>
        <w:t xml:space="preserve"> </w:t>
      </w:r>
      <w:r>
        <w:rPr>
          <w:rFonts w:ascii="Calibri" w:hAnsi="Calibri"/>
          <w:color w:val="000000"/>
        </w:rPr>
        <w:t xml:space="preserve">the minimum amount of personal data that is needed to deliver a research result: it means that researcher should </w:t>
      </w:r>
      <w:r>
        <w:rPr>
          <w:rFonts w:ascii="Calibri" w:hAnsi="Calibri"/>
          <w:b/>
          <w:color w:val="000000"/>
        </w:rPr>
        <w:t>not collect more</w:t>
      </w:r>
      <w:r>
        <w:rPr>
          <w:rFonts w:ascii="Calibri" w:hAnsi="Calibri"/>
          <w:color w:val="000000"/>
        </w:rPr>
        <w:t xml:space="preserve">, but also that the researcher should </w:t>
      </w:r>
      <w:r>
        <w:rPr>
          <w:rFonts w:ascii="Calibri" w:hAnsi="Calibri"/>
          <w:b/>
          <w:color w:val="000000"/>
        </w:rPr>
        <w:t>not collect less</w:t>
      </w:r>
      <w:r>
        <w:rPr>
          <w:rFonts w:ascii="Calibri" w:hAnsi="Calibri"/>
          <w:color w:val="000000"/>
        </w:rPr>
        <w:t xml:space="preserve"> data than they need to perform their research.</w:t>
      </w:r>
    </w:p>
    <w:p w14:paraId="35805DC7" w14:textId="77777777" w:rsidR="0081489B" w:rsidRDefault="00000000">
      <w:pPr>
        <w:numPr>
          <w:ilvl w:val="0"/>
          <w:numId w:val="1"/>
        </w:numPr>
        <w:pBdr>
          <w:top w:val="nil"/>
          <w:left w:val="nil"/>
          <w:bottom w:val="nil"/>
          <w:right w:val="nil"/>
          <w:between w:val="nil"/>
        </w:pBdr>
        <w:spacing w:after="0" w:line="276" w:lineRule="auto"/>
        <w:rPr>
          <w:rFonts w:ascii="Calibri" w:hAnsi="Calibri"/>
          <w:color w:val="000000"/>
        </w:rPr>
      </w:pPr>
      <w:r>
        <w:rPr>
          <w:rFonts w:ascii="Calibri" w:hAnsi="Calibri"/>
          <w:b/>
          <w:color w:val="000000"/>
        </w:rPr>
        <w:t>Data accuracy</w:t>
      </w:r>
      <w:r>
        <w:rPr>
          <w:rFonts w:ascii="Calibri" w:hAnsi="Calibri"/>
          <w:color w:val="000000"/>
        </w:rPr>
        <w:t xml:space="preserve"> means that the researcher should </w:t>
      </w:r>
      <w:r>
        <w:rPr>
          <w:rFonts w:ascii="Calibri" w:hAnsi="Calibri"/>
          <w:b/>
          <w:color w:val="000000"/>
        </w:rPr>
        <w:t>take reasonable steps</w:t>
      </w:r>
      <w:r>
        <w:rPr>
          <w:rFonts w:ascii="Calibri" w:hAnsi="Calibri"/>
          <w:color w:val="000000"/>
        </w:rPr>
        <w:t xml:space="preserve"> to ensure the personal data he or she holds is </w:t>
      </w:r>
      <w:r>
        <w:rPr>
          <w:rFonts w:ascii="Calibri" w:hAnsi="Calibri"/>
          <w:b/>
          <w:color w:val="000000"/>
        </w:rPr>
        <w:t>not incorrect</w:t>
      </w:r>
      <w:r>
        <w:rPr>
          <w:rFonts w:ascii="Calibri" w:hAnsi="Calibri"/>
          <w:color w:val="000000"/>
        </w:rPr>
        <w:t xml:space="preserve">. If a researcher discovers that personal data is incorrect, he or she must take reasonable steps to </w:t>
      </w:r>
      <w:r>
        <w:rPr>
          <w:rFonts w:ascii="Calibri" w:hAnsi="Calibri"/>
          <w:b/>
          <w:color w:val="000000"/>
        </w:rPr>
        <w:t>correct</w:t>
      </w:r>
      <w:r>
        <w:rPr>
          <w:rFonts w:ascii="Calibri" w:hAnsi="Calibri"/>
          <w:color w:val="000000"/>
        </w:rPr>
        <w:t xml:space="preserve"> or erase it as soon as possible.</w:t>
      </w:r>
    </w:p>
    <w:p w14:paraId="189A7B21" w14:textId="77777777" w:rsidR="0081489B" w:rsidRDefault="00000000">
      <w:pPr>
        <w:numPr>
          <w:ilvl w:val="0"/>
          <w:numId w:val="1"/>
        </w:numPr>
        <w:pBdr>
          <w:top w:val="nil"/>
          <w:left w:val="nil"/>
          <w:bottom w:val="nil"/>
          <w:right w:val="nil"/>
          <w:between w:val="nil"/>
        </w:pBdr>
        <w:spacing w:after="0" w:line="276" w:lineRule="auto"/>
        <w:rPr>
          <w:rFonts w:ascii="Calibri" w:hAnsi="Calibri"/>
          <w:color w:val="000000"/>
        </w:rPr>
      </w:pPr>
      <w:r>
        <w:rPr>
          <w:rFonts w:ascii="Calibri" w:hAnsi="Calibri"/>
          <w:b/>
          <w:color w:val="000000"/>
        </w:rPr>
        <w:t xml:space="preserve">Data storage </w:t>
      </w:r>
      <w:r>
        <w:rPr>
          <w:rFonts w:ascii="Calibri" w:hAnsi="Calibri"/>
          <w:color w:val="000000"/>
        </w:rPr>
        <w:t xml:space="preserve">means that a researcher should </w:t>
      </w:r>
      <w:r>
        <w:rPr>
          <w:rFonts w:ascii="Calibri" w:hAnsi="Calibri"/>
          <w:b/>
          <w:color w:val="000000"/>
        </w:rPr>
        <w:t>not keep personal data for longer than they need</w:t>
      </w:r>
      <w:r>
        <w:rPr>
          <w:rFonts w:ascii="Calibri" w:hAnsi="Calibri"/>
          <w:color w:val="000000"/>
        </w:rPr>
        <w:t xml:space="preserve"> it. Researchers need to think about a- and be able to justify – how long they keep personal data. This largely depends on the purposes for the processing of the data.</w:t>
      </w:r>
    </w:p>
    <w:p w14:paraId="797260AD" w14:textId="77777777" w:rsidR="0081489B" w:rsidRDefault="00000000">
      <w:pPr>
        <w:numPr>
          <w:ilvl w:val="0"/>
          <w:numId w:val="1"/>
        </w:numPr>
        <w:pBdr>
          <w:top w:val="nil"/>
          <w:left w:val="nil"/>
          <w:bottom w:val="nil"/>
          <w:right w:val="nil"/>
          <w:between w:val="nil"/>
        </w:pBdr>
        <w:spacing w:after="0" w:line="276" w:lineRule="auto"/>
        <w:rPr>
          <w:rFonts w:ascii="Calibri" w:hAnsi="Calibri"/>
          <w:color w:val="000000"/>
        </w:rPr>
      </w:pPr>
      <w:r>
        <w:rPr>
          <w:rFonts w:ascii="Calibri" w:hAnsi="Calibri"/>
          <w:b/>
          <w:color w:val="000000"/>
        </w:rPr>
        <w:t>Integrity</w:t>
      </w:r>
      <w:r>
        <w:rPr>
          <w:rFonts w:ascii="Calibri" w:hAnsi="Calibri"/>
          <w:color w:val="000000"/>
        </w:rPr>
        <w:t xml:space="preserve"> and </w:t>
      </w:r>
      <w:r>
        <w:rPr>
          <w:rFonts w:ascii="Calibri" w:hAnsi="Calibri"/>
          <w:b/>
          <w:color w:val="000000"/>
        </w:rPr>
        <w:t>confidentiality</w:t>
      </w:r>
      <w:r>
        <w:rPr>
          <w:rFonts w:ascii="Calibri" w:hAnsi="Calibri"/>
          <w:color w:val="000000"/>
        </w:rPr>
        <w:t xml:space="preserve"> mean that the researcher must ensure that appropriate security measures are in place to protect the personal data he or she is processing. </w:t>
      </w:r>
    </w:p>
    <w:p w14:paraId="33F3B5D3" w14:textId="77777777" w:rsidR="0081489B" w:rsidRDefault="00000000">
      <w:pPr>
        <w:numPr>
          <w:ilvl w:val="0"/>
          <w:numId w:val="1"/>
        </w:numPr>
        <w:pBdr>
          <w:top w:val="nil"/>
          <w:left w:val="nil"/>
          <w:bottom w:val="nil"/>
          <w:right w:val="nil"/>
          <w:between w:val="nil"/>
        </w:pBdr>
        <w:spacing w:line="276" w:lineRule="auto"/>
        <w:rPr>
          <w:rFonts w:ascii="Calibri" w:hAnsi="Calibri"/>
          <w:color w:val="000000"/>
        </w:rPr>
      </w:pPr>
      <w:r>
        <w:rPr>
          <w:rFonts w:ascii="Calibri" w:hAnsi="Calibri"/>
          <w:b/>
          <w:color w:val="000000"/>
        </w:rPr>
        <w:t xml:space="preserve">Accountability </w:t>
      </w:r>
      <w:r>
        <w:rPr>
          <w:rFonts w:ascii="Calibri" w:hAnsi="Calibri"/>
          <w:color w:val="000000"/>
        </w:rPr>
        <w:t xml:space="preserve">requires researchers (and where that applies, the platform) to have </w:t>
      </w:r>
      <w:r>
        <w:rPr>
          <w:rFonts w:ascii="Calibri" w:hAnsi="Calibri"/>
          <w:b/>
          <w:color w:val="000000"/>
        </w:rPr>
        <w:t>measures</w:t>
      </w:r>
      <w:r>
        <w:rPr>
          <w:rFonts w:ascii="Calibri" w:hAnsi="Calibri"/>
          <w:color w:val="000000"/>
        </w:rPr>
        <w:t xml:space="preserve"> and </w:t>
      </w:r>
      <w:r>
        <w:rPr>
          <w:rFonts w:ascii="Calibri" w:hAnsi="Calibri"/>
          <w:b/>
          <w:color w:val="000000"/>
        </w:rPr>
        <w:t>records</w:t>
      </w:r>
      <w:r>
        <w:rPr>
          <w:rFonts w:ascii="Calibri" w:hAnsi="Calibri"/>
          <w:color w:val="000000"/>
        </w:rPr>
        <w:t xml:space="preserve"> in place to </w:t>
      </w:r>
      <w:r>
        <w:rPr>
          <w:rFonts w:ascii="Calibri" w:hAnsi="Calibri"/>
          <w:b/>
          <w:color w:val="000000"/>
        </w:rPr>
        <w:t>reduce risks</w:t>
      </w:r>
      <w:r>
        <w:rPr>
          <w:rFonts w:ascii="Calibri" w:hAnsi="Calibri"/>
          <w:color w:val="000000"/>
        </w:rPr>
        <w:t xml:space="preserve"> for the </w:t>
      </w:r>
      <w:r>
        <w:rPr>
          <w:rFonts w:ascii="Calibri" w:hAnsi="Calibri"/>
          <w:b/>
          <w:color w:val="000000"/>
        </w:rPr>
        <w:t>participant’s</w:t>
      </w:r>
      <w:r>
        <w:rPr>
          <w:rFonts w:ascii="Calibri" w:hAnsi="Calibri"/>
          <w:color w:val="000000"/>
        </w:rPr>
        <w:t xml:space="preserve"> </w:t>
      </w:r>
      <w:r>
        <w:rPr>
          <w:rFonts w:ascii="Calibri" w:hAnsi="Calibri"/>
          <w:b/>
          <w:color w:val="000000"/>
        </w:rPr>
        <w:t>personal data,</w:t>
      </w:r>
      <w:r>
        <w:rPr>
          <w:rFonts w:ascii="Calibri" w:hAnsi="Calibri"/>
          <w:color w:val="000000"/>
        </w:rPr>
        <w:t xml:space="preserve"> and that the researcher can </w:t>
      </w:r>
      <w:r>
        <w:rPr>
          <w:rFonts w:ascii="Calibri" w:hAnsi="Calibri"/>
          <w:b/>
          <w:color w:val="000000"/>
        </w:rPr>
        <w:t>demonstrate</w:t>
      </w:r>
      <w:r>
        <w:rPr>
          <w:rFonts w:ascii="Calibri" w:hAnsi="Calibri"/>
          <w:color w:val="000000"/>
        </w:rPr>
        <w:t xml:space="preserve"> this. </w:t>
      </w:r>
    </w:p>
    <w:p w14:paraId="27932590" w14:textId="77777777" w:rsidR="0081489B" w:rsidRDefault="00000000">
      <w:pPr>
        <w:spacing w:line="276" w:lineRule="auto"/>
      </w:pPr>
      <w:r>
        <w:t xml:space="preserve">Compliance with these principles is important, as compliance is an important condition for </w:t>
      </w:r>
      <w:r>
        <w:rPr>
          <w:b/>
        </w:rPr>
        <w:t>participant</w:t>
      </w:r>
      <w:r>
        <w:t xml:space="preserve"> </w:t>
      </w:r>
      <w:r>
        <w:rPr>
          <w:b/>
        </w:rPr>
        <w:t>trust</w:t>
      </w:r>
      <w:r>
        <w:t xml:space="preserve"> in the </w:t>
      </w:r>
      <w:r>
        <w:rPr>
          <w:b/>
        </w:rPr>
        <w:t>researcher’s processing</w:t>
      </w:r>
      <w:r>
        <w:t xml:space="preserve"> of </w:t>
      </w:r>
      <w:r>
        <w:rPr>
          <w:b/>
        </w:rPr>
        <w:t>participant data</w:t>
      </w:r>
      <w:r>
        <w:t xml:space="preserve">, and, not less important, for </w:t>
      </w:r>
      <w:r>
        <w:rPr>
          <w:b/>
        </w:rPr>
        <w:t>societal trust</w:t>
      </w:r>
      <w:r>
        <w:t xml:space="preserve"> in </w:t>
      </w:r>
      <w:r>
        <w:rPr>
          <w:b/>
        </w:rPr>
        <w:t>scientific research</w:t>
      </w:r>
      <w:r>
        <w:t xml:space="preserve"> with participants engaging in that research </w:t>
      </w:r>
      <w:r>
        <w:rPr>
          <w:b/>
        </w:rPr>
        <w:t>more generally</w:t>
      </w:r>
      <w:r>
        <w:t xml:space="preserve">. </w:t>
      </w:r>
    </w:p>
    <w:p w14:paraId="5314CAD8" w14:textId="77777777" w:rsidR="0081489B" w:rsidRDefault="00000000">
      <w:pPr>
        <w:spacing w:line="276" w:lineRule="auto"/>
      </w:pPr>
      <w:r>
        <w:t xml:space="preserve">In the context of </w:t>
      </w:r>
      <w:r>
        <w:rPr>
          <w:b/>
          <w:u w:val="single"/>
        </w:rPr>
        <w:t>scientific research</w:t>
      </w:r>
      <w:r>
        <w:t xml:space="preserve">, the principles of </w:t>
      </w:r>
      <w:r>
        <w:rPr>
          <w:b/>
          <w:i/>
        </w:rPr>
        <w:t>purpose limitation</w:t>
      </w:r>
      <w:r>
        <w:t xml:space="preserve"> and </w:t>
      </w:r>
      <w:r>
        <w:rPr>
          <w:b/>
          <w:i/>
        </w:rPr>
        <w:t>storage limitation</w:t>
      </w:r>
      <w:r>
        <w:t xml:space="preserve"> might apply </w:t>
      </w:r>
      <w:r>
        <w:rPr>
          <w:b/>
        </w:rPr>
        <w:t>a bit less strictly – but note that they still apply!</w:t>
      </w:r>
      <w:r>
        <w:t xml:space="preserve"> We next explain why and how these derogations may apply in </w:t>
      </w:r>
      <w:r>
        <w:rPr>
          <w:b/>
        </w:rPr>
        <w:t>D3I data processing contexts</w:t>
      </w:r>
      <w:r>
        <w:t>.</w:t>
      </w:r>
    </w:p>
    <w:p w14:paraId="5FB6AFE3" w14:textId="77777777" w:rsidR="0081489B" w:rsidRDefault="0081489B">
      <w:pPr>
        <w:pStyle w:val="Heading3"/>
        <w:spacing w:line="276" w:lineRule="auto"/>
      </w:pPr>
    </w:p>
    <w:p w14:paraId="7E86751F" w14:textId="77777777" w:rsidR="0081489B" w:rsidRDefault="00000000">
      <w:pPr>
        <w:pStyle w:val="Heading3"/>
        <w:spacing w:line="276" w:lineRule="auto"/>
      </w:pPr>
      <w:r>
        <w:t>2.2.1</w:t>
      </w:r>
      <w:r>
        <w:tab/>
        <w:t xml:space="preserve">Derogation 1: purpose limitation </w:t>
      </w:r>
    </w:p>
    <w:p w14:paraId="0748286A" w14:textId="77777777" w:rsidR="0081489B" w:rsidRDefault="0081489B">
      <w:pPr>
        <w:spacing w:line="276" w:lineRule="auto"/>
      </w:pPr>
    </w:p>
    <w:p w14:paraId="7643319D" w14:textId="77777777" w:rsidR="0081489B" w:rsidRDefault="00000000">
      <w:pPr>
        <w:spacing w:line="276" w:lineRule="auto"/>
      </w:pPr>
      <w:r>
        <w:t xml:space="preserve">As a rule, under the principle of purpose limitation, </w:t>
      </w:r>
      <w:r>
        <w:rPr>
          <w:b/>
        </w:rPr>
        <w:t>personal data</w:t>
      </w:r>
      <w:r>
        <w:t xml:space="preserve"> must always be </w:t>
      </w:r>
      <w:r>
        <w:rPr>
          <w:b/>
        </w:rPr>
        <w:t>collected</w:t>
      </w:r>
      <w:r>
        <w:t xml:space="preserve"> for </w:t>
      </w:r>
      <w:r>
        <w:rPr>
          <w:b/>
        </w:rPr>
        <w:t>specified</w:t>
      </w:r>
      <w:r>
        <w:t xml:space="preserve">, </w:t>
      </w:r>
      <w:r>
        <w:rPr>
          <w:b/>
        </w:rPr>
        <w:t>explicit</w:t>
      </w:r>
      <w:r>
        <w:t xml:space="preserve"> and </w:t>
      </w:r>
      <w:r>
        <w:rPr>
          <w:b/>
        </w:rPr>
        <w:t>legitimate purposes</w:t>
      </w:r>
      <w:r>
        <w:t xml:space="preserve">. </w:t>
      </w:r>
      <w:r>
        <w:rPr>
          <w:b/>
        </w:rPr>
        <w:t>Further processing</w:t>
      </w:r>
      <w:r>
        <w:t xml:space="preserve"> of the </w:t>
      </w:r>
      <w:r>
        <w:rPr>
          <w:b/>
        </w:rPr>
        <w:t>same data</w:t>
      </w:r>
      <w:r>
        <w:t xml:space="preserve"> is </w:t>
      </w:r>
      <w:r>
        <w:rPr>
          <w:b/>
        </w:rPr>
        <w:t>not permitted</w:t>
      </w:r>
      <w:r>
        <w:t xml:space="preserve"> for purposes that are </w:t>
      </w:r>
      <w:r>
        <w:rPr>
          <w:b/>
        </w:rPr>
        <w:t>incompatible</w:t>
      </w:r>
      <w:r>
        <w:t xml:space="preserve"> </w:t>
      </w:r>
      <w:r>
        <w:rPr>
          <w:b/>
        </w:rPr>
        <w:t>with the original purpose</w:t>
      </w:r>
      <w:r>
        <w:t xml:space="preserve"> for processing. But whenever </w:t>
      </w:r>
      <w:r>
        <w:rPr>
          <w:b/>
        </w:rPr>
        <w:t>personal data</w:t>
      </w:r>
      <w:r>
        <w:t xml:space="preserve"> are </w:t>
      </w:r>
      <w:r>
        <w:rPr>
          <w:b/>
        </w:rPr>
        <w:t>further used</w:t>
      </w:r>
      <w:r>
        <w:t xml:space="preserve"> for </w:t>
      </w:r>
      <w:r>
        <w:rPr>
          <w:b/>
        </w:rPr>
        <w:t>compatible purposes</w:t>
      </w:r>
      <w:r>
        <w:t xml:space="preserve">, ‘no legal basis separate from that which allows the collection of the personal data is required’. In other words, if personal data are </w:t>
      </w:r>
      <w:r>
        <w:rPr>
          <w:b/>
        </w:rPr>
        <w:t>further</w:t>
      </w:r>
      <w:r>
        <w:t xml:space="preserve"> used for </w:t>
      </w:r>
      <w:r>
        <w:rPr>
          <w:b/>
        </w:rPr>
        <w:t>compatible</w:t>
      </w:r>
      <w:r>
        <w:t xml:space="preserve"> </w:t>
      </w:r>
      <w:r>
        <w:rPr>
          <w:b/>
        </w:rPr>
        <w:t>purposes</w:t>
      </w:r>
      <w:r>
        <w:t xml:space="preserve">, </w:t>
      </w:r>
      <w:r>
        <w:rPr>
          <w:b/>
        </w:rPr>
        <w:t>such use</w:t>
      </w:r>
      <w:r>
        <w:t xml:space="preserve"> will </w:t>
      </w:r>
      <w:r>
        <w:rPr>
          <w:b/>
        </w:rPr>
        <w:t>not</w:t>
      </w:r>
      <w:r>
        <w:t xml:space="preserve"> need </w:t>
      </w:r>
      <w:r>
        <w:lastRenderedPageBreak/>
        <w:t xml:space="preserve">a </w:t>
      </w:r>
      <w:r>
        <w:rPr>
          <w:b/>
        </w:rPr>
        <w:t>new</w:t>
      </w:r>
      <w:r>
        <w:t xml:space="preserve"> determination for a </w:t>
      </w:r>
      <w:r>
        <w:rPr>
          <w:b/>
        </w:rPr>
        <w:t>legal basis</w:t>
      </w:r>
      <w:r>
        <w:t xml:space="preserve">. This is </w:t>
      </w:r>
      <w:r>
        <w:rPr>
          <w:b/>
        </w:rPr>
        <w:t>premised</w:t>
      </w:r>
      <w:r>
        <w:t xml:space="preserve"> on ‘the </w:t>
      </w:r>
      <w:r>
        <w:rPr>
          <w:b/>
        </w:rPr>
        <w:t>reasonable expectations</w:t>
      </w:r>
      <w:r>
        <w:t xml:space="preserve"> of </w:t>
      </w:r>
      <w:r>
        <w:rPr>
          <w:b/>
        </w:rPr>
        <w:t>data subjects</w:t>
      </w:r>
      <w:r>
        <w:t xml:space="preserve"> based on their </w:t>
      </w:r>
      <w:r>
        <w:rPr>
          <w:b/>
        </w:rPr>
        <w:t>relationship</w:t>
      </w:r>
      <w:r>
        <w:t xml:space="preserve"> with the </w:t>
      </w:r>
      <w:r>
        <w:rPr>
          <w:b/>
        </w:rPr>
        <w:t>controller</w:t>
      </w:r>
      <w:r>
        <w:t xml:space="preserve"> as to [the data’s] further use’.</w:t>
      </w:r>
      <w:r>
        <w:rPr>
          <w:vertAlign w:val="superscript"/>
        </w:rPr>
        <w:footnoteReference w:id="2"/>
      </w:r>
      <w:r>
        <w:t xml:space="preserve"> </w:t>
      </w:r>
    </w:p>
    <w:p w14:paraId="0AD33C57" w14:textId="77777777" w:rsidR="0081489B" w:rsidRDefault="00000000">
      <w:pPr>
        <w:spacing w:line="276" w:lineRule="auto"/>
      </w:pPr>
      <w:r>
        <w:t xml:space="preserve">The </w:t>
      </w:r>
      <w:r>
        <w:rPr>
          <w:b/>
        </w:rPr>
        <w:t>GDPR</w:t>
      </w:r>
      <w:r>
        <w:t xml:space="preserve"> also establishes </w:t>
      </w:r>
      <w:r>
        <w:rPr>
          <w:b/>
        </w:rPr>
        <w:t>criteria</w:t>
      </w:r>
      <w:r>
        <w:t xml:space="preserve"> for </w:t>
      </w:r>
      <w:r>
        <w:rPr>
          <w:b/>
        </w:rPr>
        <w:t>determining</w:t>
      </w:r>
      <w:r>
        <w:t xml:space="preserve"> the </w:t>
      </w:r>
      <w:r>
        <w:rPr>
          <w:b/>
        </w:rPr>
        <w:t>compatibility</w:t>
      </w:r>
      <w:r>
        <w:t xml:space="preserve"> of </w:t>
      </w:r>
      <w:r>
        <w:rPr>
          <w:b/>
          <w:i/>
        </w:rPr>
        <w:t>further</w:t>
      </w:r>
      <w:r>
        <w:t xml:space="preserve"> </w:t>
      </w:r>
      <w:r>
        <w:rPr>
          <w:b/>
        </w:rPr>
        <w:t>use</w:t>
      </w:r>
      <w:r>
        <w:t xml:space="preserve"> of personal data. Where further (or ‘secondary’) use is considered, </w:t>
      </w:r>
      <w:r>
        <w:rPr>
          <w:b/>
        </w:rPr>
        <w:t>controllers</w:t>
      </w:r>
      <w:r>
        <w:t xml:space="preserve"> must consider ‘</w:t>
      </w:r>
      <w:r>
        <w:rPr>
          <w:b/>
          <w:i/>
        </w:rPr>
        <w:t>any link</w:t>
      </w:r>
      <w:r>
        <w:t xml:space="preserve"> between the </w:t>
      </w:r>
      <w:r>
        <w:rPr>
          <w:b/>
        </w:rPr>
        <w:t>purposes</w:t>
      </w:r>
      <w:r>
        <w:t xml:space="preserve"> for which the </w:t>
      </w:r>
      <w:r>
        <w:rPr>
          <w:b/>
        </w:rPr>
        <w:t>personal data</w:t>
      </w:r>
      <w:r>
        <w:t xml:space="preserve"> have been </w:t>
      </w:r>
      <w:r>
        <w:rPr>
          <w:b/>
        </w:rPr>
        <w:t>collected</w:t>
      </w:r>
      <w:r>
        <w:t xml:space="preserve"> and the </w:t>
      </w:r>
      <w:r>
        <w:rPr>
          <w:b/>
        </w:rPr>
        <w:t>purposes</w:t>
      </w:r>
      <w:r>
        <w:t xml:space="preserve"> of the </w:t>
      </w:r>
      <w:r>
        <w:rPr>
          <w:b/>
        </w:rPr>
        <w:t>intended further processing</w:t>
      </w:r>
      <w:r>
        <w:t xml:space="preserve">’ or the </w:t>
      </w:r>
      <w:r>
        <w:rPr>
          <w:b/>
          <w:i/>
        </w:rPr>
        <w:t>context</w:t>
      </w:r>
      <w:r>
        <w:t xml:space="preserve"> in which </w:t>
      </w:r>
      <w:r>
        <w:rPr>
          <w:b/>
        </w:rPr>
        <w:t>personal data</w:t>
      </w:r>
      <w:r>
        <w:t xml:space="preserve"> were </w:t>
      </w:r>
      <w:r>
        <w:rPr>
          <w:b/>
        </w:rPr>
        <w:t>collected’</w:t>
      </w:r>
      <w:r>
        <w:t xml:space="preserve">. If the controller </w:t>
      </w:r>
      <w:r>
        <w:rPr>
          <w:b/>
        </w:rPr>
        <w:t>shares</w:t>
      </w:r>
      <w:r>
        <w:t xml:space="preserve"> or </w:t>
      </w:r>
      <w:r>
        <w:rPr>
          <w:b/>
        </w:rPr>
        <w:t>further processes</w:t>
      </w:r>
      <w:r>
        <w:t xml:space="preserve"> the data for purposes </w:t>
      </w:r>
      <w:r>
        <w:rPr>
          <w:b/>
          <w:i/>
          <w:u w:val="single"/>
        </w:rPr>
        <w:t>incompatible</w:t>
      </w:r>
      <w:r>
        <w:t xml:space="preserve"> with the original purpose, the </w:t>
      </w:r>
      <w:r>
        <w:rPr>
          <w:b/>
        </w:rPr>
        <w:t>controller</w:t>
      </w:r>
      <w:r>
        <w:t xml:space="preserve"> must, as a rule, </w:t>
      </w:r>
      <w:r>
        <w:rPr>
          <w:b/>
          <w:i/>
        </w:rPr>
        <w:t>again obtain consent</w:t>
      </w:r>
      <w:r>
        <w:t xml:space="preserve"> for the </w:t>
      </w:r>
      <w:r>
        <w:rPr>
          <w:b/>
        </w:rPr>
        <w:t>new</w:t>
      </w:r>
      <w:r>
        <w:t xml:space="preserve"> purpose. </w:t>
      </w:r>
    </w:p>
    <w:p w14:paraId="64BE8316" w14:textId="77777777" w:rsidR="0081489B" w:rsidRDefault="00000000">
      <w:pPr>
        <w:spacing w:line="276" w:lineRule="auto"/>
      </w:pPr>
      <w:r>
        <w:rPr>
          <w:b/>
        </w:rPr>
        <w:t>Yet</w:t>
      </w:r>
      <w:r>
        <w:t xml:space="preserve">, further processing for </w:t>
      </w:r>
      <w:r>
        <w:rPr>
          <w:b/>
          <w:i/>
          <w:u w:val="single"/>
        </w:rPr>
        <w:t>scientific research</w:t>
      </w:r>
      <w:r>
        <w:rPr>
          <w:b/>
          <w:i/>
        </w:rPr>
        <w:t xml:space="preserve"> </w:t>
      </w:r>
      <w:r>
        <w:t xml:space="preserve">purposes or </w:t>
      </w:r>
      <w:r>
        <w:rPr>
          <w:b/>
          <w:i/>
          <w:u w:val="single"/>
        </w:rPr>
        <w:t>statistical purposes</w:t>
      </w:r>
      <w:r>
        <w:t xml:space="preserve"> is usually </w:t>
      </w:r>
      <w:r>
        <w:rPr>
          <w:b/>
        </w:rPr>
        <w:t>not</w:t>
      </w:r>
      <w:r>
        <w:t xml:space="preserve"> considered </w:t>
      </w:r>
      <w:r>
        <w:rPr>
          <w:b/>
        </w:rPr>
        <w:t>incompatible</w:t>
      </w:r>
      <w:r>
        <w:t xml:space="preserve"> with the initial purposes.</w:t>
      </w:r>
      <w:r>
        <w:rPr>
          <w:vertAlign w:val="superscript"/>
        </w:rPr>
        <w:footnoteReference w:id="3"/>
      </w:r>
      <w:r>
        <w:t xml:space="preserve"> This presumption, however, </w:t>
      </w:r>
      <w:r>
        <w:rPr>
          <w:b/>
        </w:rPr>
        <w:t>cannot stand by itself</w:t>
      </w:r>
      <w:r>
        <w:t xml:space="preserve">; </w:t>
      </w:r>
      <w:r>
        <w:rPr>
          <w:b/>
        </w:rPr>
        <w:t>whether</w:t>
      </w:r>
      <w:r>
        <w:t xml:space="preserve"> it </w:t>
      </w:r>
      <w:r>
        <w:rPr>
          <w:b/>
        </w:rPr>
        <w:t>applies</w:t>
      </w:r>
      <w:r>
        <w:t xml:space="preserve"> depends on the </w:t>
      </w:r>
      <w:r>
        <w:rPr>
          <w:b/>
        </w:rPr>
        <w:t>presence</w:t>
      </w:r>
      <w:r>
        <w:t xml:space="preserve"> of </w:t>
      </w:r>
      <w:r>
        <w:rPr>
          <w:b/>
        </w:rPr>
        <w:t>effective</w:t>
      </w:r>
      <w:r>
        <w:t xml:space="preserve"> and </w:t>
      </w:r>
      <w:r>
        <w:rPr>
          <w:b/>
        </w:rPr>
        <w:t>appropriate technical</w:t>
      </w:r>
      <w:r>
        <w:t xml:space="preserve"> and </w:t>
      </w:r>
      <w:r>
        <w:rPr>
          <w:b/>
        </w:rPr>
        <w:t>organisational safeguards</w:t>
      </w:r>
      <w:r>
        <w:t xml:space="preserve">, such as </w:t>
      </w:r>
      <w:r>
        <w:rPr>
          <w:b/>
        </w:rPr>
        <w:t>pseudonymisation</w:t>
      </w:r>
      <w:r>
        <w:t xml:space="preserve">, and </w:t>
      </w:r>
      <w:r>
        <w:rPr>
          <w:b/>
        </w:rPr>
        <w:t>access limitations</w:t>
      </w:r>
      <w:r>
        <w:t>.</w:t>
      </w:r>
      <w:r>
        <w:rPr>
          <w:vertAlign w:val="superscript"/>
        </w:rPr>
        <w:footnoteReference w:id="4"/>
      </w:r>
      <w:r>
        <w:t xml:space="preserve"> The presumption is moreover </w:t>
      </w:r>
      <w:r>
        <w:rPr>
          <w:b/>
        </w:rPr>
        <w:t>not a general authorisation</w:t>
      </w:r>
      <w:r>
        <w:t xml:space="preserve"> to further process data in all cases for scientific purposes; </w:t>
      </w:r>
      <w:r>
        <w:rPr>
          <w:b/>
        </w:rPr>
        <w:t>each case</w:t>
      </w:r>
      <w:r>
        <w:t xml:space="preserve"> must be </w:t>
      </w:r>
      <w:r>
        <w:rPr>
          <w:b/>
        </w:rPr>
        <w:t>considered</w:t>
      </w:r>
      <w:r>
        <w:t xml:space="preserve"> on its </w:t>
      </w:r>
      <w:r>
        <w:rPr>
          <w:b/>
        </w:rPr>
        <w:t>own merits</w:t>
      </w:r>
      <w:r>
        <w:t xml:space="preserve"> and </w:t>
      </w:r>
      <w:r>
        <w:rPr>
          <w:b/>
        </w:rPr>
        <w:t>circumstances</w:t>
      </w:r>
      <w:r>
        <w:t>.</w:t>
      </w:r>
    </w:p>
    <w:p w14:paraId="7BB7C6A5" w14:textId="77777777" w:rsidR="0081489B" w:rsidRDefault="0081489B">
      <w:pPr>
        <w:spacing w:line="276" w:lineRule="auto"/>
      </w:pPr>
    </w:p>
    <w:p w14:paraId="544C981C" w14:textId="77777777" w:rsidR="0081489B" w:rsidRDefault="00000000">
      <w:pPr>
        <w:pStyle w:val="Heading3"/>
        <w:spacing w:line="276" w:lineRule="auto"/>
      </w:pPr>
      <w:r>
        <w:t>2.2.2</w:t>
      </w:r>
      <w:r>
        <w:tab/>
        <w:t>Derogation 2: storage limitation</w:t>
      </w:r>
    </w:p>
    <w:p w14:paraId="197440DE" w14:textId="77777777" w:rsidR="0081489B" w:rsidRDefault="0081489B">
      <w:pPr>
        <w:spacing w:line="276" w:lineRule="auto"/>
      </w:pPr>
    </w:p>
    <w:p w14:paraId="1BE93E32" w14:textId="77777777" w:rsidR="0081489B" w:rsidRDefault="00000000">
      <w:pPr>
        <w:spacing w:line="276" w:lineRule="auto"/>
      </w:pPr>
      <w:r>
        <w:t>Personal data should, as a rule, be ‘</w:t>
      </w:r>
      <w:r>
        <w:rPr>
          <w:b/>
        </w:rPr>
        <w:t>kept</w:t>
      </w:r>
      <w:r>
        <w:t xml:space="preserve"> in a </w:t>
      </w:r>
      <w:r>
        <w:rPr>
          <w:b/>
        </w:rPr>
        <w:t>form</w:t>
      </w:r>
      <w:r>
        <w:t xml:space="preserve"> which </w:t>
      </w:r>
      <w:r>
        <w:rPr>
          <w:b/>
        </w:rPr>
        <w:t>permits identification</w:t>
      </w:r>
      <w:r>
        <w:t xml:space="preserve"> of </w:t>
      </w:r>
      <w:r>
        <w:rPr>
          <w:b/>
        </w:rPr>
        <w:t>data subjects</w:t>
      </w:r>
      <w:r>
        <w:t xml:space="preserve"> for ‘</w:t>
      </w:r>
      <w:r>
        <w:rPr>
          <w:b/>
        </w:rPr>
        <w:t>no longer</w:t>
      </w:r>
      <w:r>
        <w:t xml:space="preserve"> than is </w:t>
      </w:r>
      <w:r>
        <w:rPr>
          <w:b/>
        </w:rPr>
        <w:t>necessary’</w:t>
      </w:r>
      <w:r>
        <w:t xml:space="preserve">. However, the GDPR permits ‘storage for </w:t>
      </w:r>
      <w:r>
        <w:rPr>
          <w:b/>
        </w:rPr>
        <w:t>longer periods</w:t>
      </w:r>
      <w:r>
        <w:t xml:space="preserve">’ if the </w:t>
      </w:r>
      <w:r>
        <w:rPr>
          <w:b/>
          <w:i/>
        </w:rPr>
        <w:t>sole</w:t>
      </w:r>
      <w:r>
        <w:rPr>
          <w:b/>
        </w:rPr>
        <w:t xml:space="preserve"> purpose</w:t>
      </w:r>
      <w:r>
        <w:t xml:space="preserve"> is </w:t>
      </w:r>
      <w:r>
        <w:rPr>
          <w:b/>
        </w:rPr>
        <w:t>scientific research</w:t>
      </w:r>
      <w:r>
        <w:t xml:space="preserve"> (or archiving in the public interest, historical research or statistical purposes). The derogation does however </w:t>
      </w:r>
      <w:r>
        <w:rPr>
          <w:b/>
        </w:rPr>
        <w:t>not apply to infinite</w:t>
      </w:r>
      <w:r>
        <w:t xml:space="preserve"> storage terms of data in a scientific context. The </w:t>
      </w:r>
      <w:r>
        <w:rPr>
          <w:b/>
        </w:rPr>
        <w:t>intention</w:t>
      </w:r>
      <w:r>
        <w:t xml:space="preserve"> </w:t>
      </w:r>
      <w:r>
        <w:rPr>
          <w:b/>
        </w:rPr>
        <w:t>behind the limitation of this derogation</w:t>
      </w:r>
      <w:r>
        <w:t xml:space="preserve"> is to </w:t>
      </w:r>
      <w:r>
        <w:rPr>
          <w:b/>
        </w:rPr>
        <w:t>dissuade</w:t>
      </w:r>
      <w:r>
        <w:t xml:space="preserve"> </w:t>
      </w:r>
      <w:r>
        <w:rPr>
          <w:b/>
          <w:i/>
        </w:rPr>
        <w:t>unlimited</w:t>
      </w:r>
      <w:r>
        <w:t xml:space="preserve"> </w:t>
      </w:r>
      <w:r>
        <w:rPr>
          <w:b/>
        </w:rPr>
        <w:t>storage</w:t>
      </w:r>
      <w:r>
        <w:t xml:space="preserve"> – even in the special regime for scientific research. The legislator also aimed to </w:t>
      </w:r>
      <w:r>
        <w:rPr>
          <w:b/>
        </w:rPr>
        <w:t>prevent</w:t>
      </w:r>
      <w:r>
        <w:t xml:space="preserve"> </w:t>
      </w:r>
      <w:r>
        <w:rPr>
          <w:b/>
        </w:rPr>
        <w:t>scientific</w:t>
      </w:r>
      <w:r>
        <w:t xml:space="preserve"> </w:t>
      </w:r>
      <w:r>
        <w:rPr>
          <w:b/>
        </w:rPr>
        <w:t>research</w:t>
      </w:r>
      <w:r>
        <w:t xml:space="preserve"> as a </w:t>
      </w:r>
      <w:r>
        <w:rPr>
          <w:b/>
          <w:i/>
        </w:rPr>
        <w:t>pretext</w:t>
      </w:r>
      <w:r>
        <w:t xml:space="preserve"> for </w:t>
      </w:r>
      <w:r>
        <w:rPr>
          <w:b/>
        </w:rPr>
        <w:t>longer storage</w:t>
      </w:r>
      <w:r>
        <w:t xml:space="preserve"> for </w:t>
      </w:r>
      <w:r>
        <w:rPr>
          <w:b/>
        </w:rPr>
        <w:t>other, private, purposes</w:t>
      </w:r>
      <w:r>
        <w:t xml:space="preserve">. </w:t>
      </w:r>
    </w:p>
    <w:p w14:paraId="5E03CAD2" w14:textId="77777777" w:rsidR="0081489B" w:rsidRDefault="0081489B">
      <w:pPr>
        <w:pStyle w:val="Heading2"/>
        <w:spacing w:line="276" w:lineRule="auto"/>
      </w:pPr>
    </w:p>
    <w:p w14:paraId="5288BF24" w14:textId="77777777" w:rsidR="0081489B" w:rsidRDefault="00000000">
      <w:pPr>
        <w:pStyle w:val="Heading2"/>
        <w:spacing w:line="276" w:lineRule="auto"/>
      </w:pPr>
      <w:r>
        <w:t>2.3</w:t>
      </w:r>
      <w:r>
        <w:tab/>
        <w:t xml:space="preserve">Consent </w:t>
      </w:r>
    </w:p>
    <w:p w14:paraId="6319B4A6" w14:textId="77777777" w:rsidR="0081489B" w:rsidRDefault="0081489B">
      <w:pPr>
        <w:spacing w:line="276" w:lineRule="auto"/>
      </w:pPr>
    </w:p>
    <w:p w14:paraId="6C3425B6" w14:textId="77777777" w:rsidR="0081489B" w:rsidRDefault="00000000">
      <w:pPr>
        <w:spacing w:line="276" w:lineRule="auto"/>
      </w:pPr>
      <w:r>
        <w:t xml:space="preserve">The GDPR defines </w:t>
      </w:r>
      <w:r>
        <w:rPr>
          <w:b/>
        </w:rPr>
        <w:t>consent</w:t>
      </w:r>
      <w:r>
        <w:t xml:space="preserve"> as “</w:t>
      </w:r>
      <w:r>
        <w:rPr>
          <w:b/>
        </w:rPr>
        <w:t>any freely given, specific, informed</w:t>
      </w:r>
      <w:r>
        <w:t xml:space="preserve"> and </w:t>
      </w:r>
      <w:r>
        <w:rPr>
          <w:b/>
        </w:rPr>
        <w:t>unambiguous</w:t>
      </w:r>
      <w:r>
        <w:t xml:space="preserve"> </w:t>
      </w:r>
      <w:r>
        <w:rPr>
          <w:b/>
        </w:rPr>
        <w:t>indication</w:t>
      </w:r>
      <w:r>
        <w:t xml:space="preserve"> of the </w:t>
      </w:r>
      <w:r>
        <w:rPr>
          <w:b/>
        </w:rPr>
        <w:t>data subject’s</w:t>
      </w:r>
      <w:r>
        <w:t xml:space="preserve"> wishes by which he or she, by a </w:t>
      </w:r>
      <w:r>
        <w:rPr>
          <w:b/>
        </w:rPr>
        <w:t>statement</w:t>
      </w:r>
      <w:r>
        <w:t xml:space="preserve"> or by a </w:t>
      </w:r>
      <w:r>
        <w:rPr>
          <w:b/>
        </w:rPr>
        <w:t>clear affirmative action</w:t>
      </w:r>
      <w:r>
        <w:t xml:space="preserve">, signifies </w:t>
      </w:r>
      <w:r>
        <w:rPr>
          <w:b/>
        </w:rPr>
        <w:t>agreement</w:t>
      </w:r>
      <w:r>
        <w:t xml:space="preserve"> to the </w:t>
      </w:r>
      <w:r>
        <w:rPr>
          <w:b/>
        </w:rPr>
        <w:t>processing</w:t>
      </w:r>
      <w:r>
        <w:t xml:space="preserve"> of </w:t>
      </w:r>
      <w:r>
        <w:rPr>
          <w:b/>
        </w:rPr>
        <w:t>personal data</w:t>
      </w:r>
      <w:r>
        <w:t xml:space="preserve"> </w:t>
      </w:r>
      <w:r>
        <w:rPr>
          <w:b/>
        </w:rPr>
        <w:t>concerning him</w:t>
      </w:r>
      <w:r>
        <w:t xml:space="preserve"> or </w:t>
      </w:r>
      <w:r>
        <w:rPr>
          <w:b/>
        </w:rPr>
        <w:t>her</w:t>
      </w:r>
      <w:r>
        <w:t xml:space="preserve"> […]”.</w:t>
      </w:r>
      <w:r>
        <w:rPr>
          <w:vertAlign w:val="superscript"/>
        </w:rPr>
        <w:footnoteReference w:id="5"/>
      </w:r>
    </w:p>
    <w:p w14:paraId="2797960E" w14:textId="77777777" w:rsidR="0081489B" w:rsidRDefault="00000000">
      <w:pPr>
        <w:spacing w:line="276" w:lineRule="auto"/>
        <w:rPr>
          <w:sz w:val="18"/>
          <w:szCs w:val="18"/>
        </w:rPr>
      </w:pPr>
      <w:r>
        <w:t xml:space="preserve">Some </w:t>
      </w:r>
      <w:r>
        <w:rPr>
          <w:b/>
        </w:rPr>
        <w:t>researchers</w:t>
      </w:r>
      <w:r>
        <w:t xml:space="preserve"> have sought to rely on ‘</w:t>
      </w:r>
      <w:r>
        <w:rPr>
          <w:b/>
        </w:rPr>
        <w:t>broad consent formulations</w:t>
      </w:r>
      <w:r>
        <w:t xml:space="preserve">’ to the use of personal data of participants. The </w:t>
      </w:r>
      <w:r>
        <w:rPr>
          <w:b/>
        </w:rPr>
        <w:t>GDPR</w:t>
      </w:r>
      <w:r>
        <w:t xml:space="preserve"> indeed </w:t>
      </w:r>
      <w:r>
        <w:rPr>
          <w:b/>
        </w:rPr>
        <w:t>acknowledges</w:t>
      </w:r>
      <w:r>
        <w:t xml:space="preserve"> that - in the context of scientific research – it might </w:t>
      </w:r>
      <w:r>
        <w:rPr>
          <w:b/>
        </w:rPr>
        <w:t>not always be possible</w:t>
      </w:r>
      <w:r>
        <w:t xml:space="preserve"> to </w:t>
      </w:r>
      <w:r>
        <w:rPr>
          <w:b/>
        </w:rPr>
        <w:t>fully identify</w:t>
      </w:r>
      <w:r>
        <w:t xml:space="preserve"> the specific </w:t>
      </w:r>
      <w:r>
        <w:rPr>
          <w:b/>
          <w:i/>
        </w:rPr>
        <w:t>purpose</w:t>
      </w:r>
      <w:r>
        <w:t xml:space="preserve"> of personal data processing for scientific research purposes </w:t>
      </w:r>
      <w:r>
        <w:rPr>
          <w:b/>
          <w:i/>
        </w:rPr>
        <w:t>at the time of data capture</w:t>
      </w:r>
      <w:r>
        <w:t>.</w:t>
      </w:r>
      <w:r>
        <w:rPr>
          <w:vertAlign w:val="superscript"/>
        </w:rPr>
        <w:footnoteReference w:id="6"/>
      </w:r>
      <w:r>
        <w:t xml:space="preserve"> </w:t>
      </w:r>
    </w:p>
    <w:p w14:paraId="7D644FF4" w14:textId="77777777" w:rsidR="0081489B" w:rsidRDefault="00000000">
      <w:pPr>
        <w:spacing w:line="276" w:lineRule="auto"/>
      </w:pPr>
      <w:r>
        <w:t xml:space="preserve">Therefore, </w:t>
      </w:r>
      <w:r>
        <w:rPr>
          <w:b/>
        </w:rPr>
        <w:t>data subjects</w:t>
      </w:r>
      <w:r>
        <w:t xml:space="preserve"> should, if the purposes cannot be made very specific at the time where consent is obtained, be allowed to </w:t>
      </w:r>
      <w:r>
        <w:rPr>
          <w:b/>
        </w:rPr>
        <w:t>consent</w:t>
      </w:r>
      <w:r>
        <w:t xml:space="preserve"> to the </w:t>
      </w:r>
      <w:r>
        <w:rPr>
          <w:b/>
        </w:rPr>
        <w:t>use</w:t>
      </w:r>
      <w:r>
        <w:t xml:space="preserve"> of their personal data in </w:t>
      </w:r>
      <w:r>
        <w:rPr>
          <w:b/>
          <w:u w:val="single"/>
        </w:rPr>
        <w:t>specified areas</w:t>
      </w:r>
      <w:r>
        <w:t xml:space="preserve"> of </w:t>
      </w:r>
      <w:r>
        <w:rPr>
          <w:b/>
        </w:rPr>
        <w:t xml:space="preserve">scientific research. </w:t>
      </w:r>
      <w:r>
        <w:lastRenderedPageBreak/>
        <w:t xml:space="preserve">But that data must still be </w:t>
      </w:r>
      <w:r>
        <w:rPr>
          <w:b/>
        </w:rPr>
        <w:t>kept</w:t>
      </w:r>
      <w:r>
        <w:t xml:space="preserve"> and </w:t>
      </w:r>
      <w:r>
        <w:rPr>
          <w:b/>
        </w:rPr>
        <w:t>stored</w:t>
      </w:r>
      <w:r>
        <w:t xml:space="preserve"> in line with </w:t>
      </w:r>
      <w:r>
        <w:rPr>
          <w:b/>
        </w:rPr>
        <w:t>recognised ethical standards</w:t>
      </w:r>
      <w:r>
        <w:t xml:space="preserve"> for </w:t>
      </w:r>
      <w:r>
        <w:rPr>
          <w:b/>
        </w:rPr>
        <w:t>scientific research</w:t>
      </w:r>
      <w:r>
        <w:t xml:space="preserve">. </w:t>
      </w:r>
      <w:r>
        <w:rPr>
          <w:b/>
        </w:rPr>
        <w:t>Data subjects</w:t>
      </w:r>
      <w:r>
        <w:t xml:space="preserve"> should also have the </w:t>
      </w:r>
      <w:r>
        <w:rPr>
          <w:b/>
        </w:rPr>
        <w:t>opportunity</w:t>
      </w:r>
      <w:r>
        <w:t xml:space="preserve"> to give their </w:t>
      </w:r>
      <w:r>
        <w:rPr>
          <w:b/>
        </w:rPr>
        <w:t>consent</w:t>
      </w:r>
      <w:r>
        <w:t xml:space="preserve"> only to</w:t>
      </w:r>
      <w:r>
        <w:rPr>
          <w:b/>
        </w:rPr>
        <w:t xml:space="preserve"> certain areas</w:t>
      </w:r>
      <w:r>
        <w:t xml:space="preserve"> of </w:t>
      </w:r>
      <w:r>
        <w:rPr>
          <w:b/>
        </w:rPr>
        <w:t>research</w:t>
      </w:r>
      <w:r>
        <w:t xml:space="preserve">, or to </w:t>
      </w:r>
      <w:r>
        <w:rPr>
          <w:b/>
        </w:rPr>
        <w:t>parts of research</w:t>
      </w:r>
      <w:r>
        <w:t xml:space="preserve"> projects to the extent </w:t>
      </w:r>
      <w:r>
        <w:rPr>
          <w:b/>
        </w:rPr>
        <w:t>allowed</w:t>
      </w:r>
      <w:r>
        <w:t xml:space="preserve"> by the </w:t>
      </w:r>
      <w:r>
        <w:rPr>
          <w:b/>
        </w:rPr>
        <w:t>intended purpose</w:t>
      </w:r>
      <w:r>
        <w:t>.</w:t>
      </w:r>
      <w:r>
        <w:rPr>
          <w:vertAlign w:val="superscript"/>
        </w:rPr>
        <w:footnoteReference w:id="7"/>
      </w:r>
    </w:p>
    <w:p w14:paraId="0C5C3EAD" w14:textId="77777777" w:rsidR="0081489B" w:rsidRDefault="00000000">
      <w:pPr>
        <w:spacing w:line="276" w:lineRule="auto"/>
      </w:pPr>
      <w:r>
        <w:t xml:space="preserve">Processing </w:t>
      </w:r>
      <w:r>
        <w:rPr>
          <w:b/>
          <w:i/>
        </w:rPr>
        <w:t>special categories of data</w:t>
      </w:r>
      <w:r>
        <w:rPr>
          <w:vertAlign w:val="superscript"/>
        </w:rPr>
        <w:footnoteReference w:id="8"/>
      </w:r>
      <w:r>
        <w:t xml:space="preserve"> is prohibited, unless the participant has given his or her </w:t>
      </w:r>
      <w:r>
        <w:rPr>
          <w:b/>
          <w:i/>
        </w:rPr>
        <w:t xml:space="preserve">explicit </w:t>
      </w:r>
      <w:r>
        <w:rPr>
          <w:b/>
        </w:rPr>
        <w:t>consent</w:t>
      </w:r>
      <w:r>
        <w:t>.</w:t>
      </w:r>
      <w:r>
        <w:rPr>
          <w:vertAlign w:val="superscript"/>
        </w:rPr>
        <w:footnoteReference w:id="9"/>
      </w:r>
      <w:r>
        <w:t xml:space="preserve"> Explicit consent, </w:t>
      </w:r>
      <w:r>
        <w:rPr>
          <w:b/>
        </w:rPr>
        <w:t>described</w:t>
      </w:r>
      <w:r>
        <w:t xml:space="preserve"> as ‘an </w:t>
      </w:r>
      <w:r>
        <w:rPr>
          <w:b/>
        </w:rPr>
        <w:t>express statement of consent’</w:t>
      </w:r>
      <w:r>
        <w:t xml:space="preserve"> which can be </w:t>
      </w:r>
      <w:r>
        <w:rPr>
          <w:b/>
        </w:rPr>
        <w:t>demonstrated</w:t>
      </w:r>
      <w:r>
        <w:t xml:space="preserve"> in the event of doubt, is required in situations where there may be particular risk to the rights of the data subject.</w:t>
      </w:r>
    </w:p>
    <w:p w14:paraId="49DD3037" w14:textId="77777777" w:rsidR="0081489B" w:rsidRDefault="00000000">
      <w:pPr>
        <w:spacing w:line="276" w:lineRule="auto"/>
      </w:pPr>
      <w:r>
        <w:t xml:space="preserve">As </w:t>
      </w:r>
      <w:r>
        <w:rPr>
          <w:b/>
        </w:rPr>
        <w:t>consent</w:t>
      </w:r>
      <w:r>
        <w:t xml:space="preserve"> is the </w:t>
      </w:r>
      <w:r>
        <w:rPr>
          <w:b/>
        </w:rPr>
        <w:t>lawful ground</w:t>
      </w:r>
      <w:r>
        <w:t xml:space="preserve"> for </w:t>
      </w:r>
      <w:r>
        <w:rPr>
          <w:b/>
        </w:rPr>
        <w:t xml:space="preserve">processing </w:t>
      </w:r>
      <w:r>
        <w:t xml:space="preserve">in </w:t>
      </w:r>
      <w:r>
        <w:rPr>
          <w:b/>
        </w:rPr>
        <w:t>D3I-context</w:t>
      </w:r>
      <w:r>
        <w:t xml:space="preserve">, the </w:t>
      </w:r>
      <w:r>
        <w:rPr>
          <w:b/>
        </w:rPr>
        <w:t>data subject</w:t>
      </w:r>
      <w:r>
        <w:t xml:space="preserve"> must be able to </w:t>
      </w:r>
      <w:r>
        <w:rPr>
          <w:b/>
          <w:i/>
        </w:rPr>
        <w:t xml:space="preserve">withdraw </w:t>
      </w:r>
      <w:r>
        <w:t xml:space="preserve">their </w:t>
      </w:r>
      <w:r>
        <w:rPr>
          <w:b/>
          <w:i/>
        </w:rPr>
        <w:t>consent</w:t>
      </w:r>
      <w:r>
        <w:t xml:space="preserve"> at </w:t>
      </w:r>
      <w:r>
        <w:rPr>
          <w:b/>
          <w:i/>
        </w:rPr>
        <w:t>any time</w:t>
      </w:r>
      <w:r>
        <w:t xml:space="preserve">. There is </w:t>
      </w:r>
      <w:r>
        <w:rPr>
          <w:b/>
          <w:i/>
        </w:rPr>
        <w:t>no exception</w:t>
      </w:r>
      <w:r>
        <w:t xml:space="preserve"> to this requirement for </w:t>
      </w:r>
      <w:r>
        <w:rPr>
          <w:b/>
        </w:rPr>
        <w:t>scientific research</w:t>
      </w:r>
      <w:r>
        <w:t xml:space="preserve">. The </w:t>
      </w:r>
      <w:r>
        <w:rPr>
          <w:b/>
        </w:rPr>
        <w:t xml:space="preserve">withdrawal </w:t>
      </w:r>
      <w:r>
        <w:t xml:space="preserve">of consent </w:t>
      </w:r>
      <w:r>
        <w:rPr>
          <w:b/>
        </w:rPr>
        <w:t xml:space="preserve">does </w:t>
      </w:r>
      <w:r>
        <w:rPr>
          <w:b/>
          <w:u w:val="single"/>
        </w:rPr>
        <w:t>not affect</w:t>
      </w:r>
      <w:r>
        <w:t xml:space="preserve"> the </w:t>
      </w:r>
      <w:r>
        <w:rPr>
          <w:b/>
        </w:rPr>
        <w:t xml:space="preserve">lawfulness </w:t>
      </w:r>
      <w:r>
        <w:t xml:space="preserve">of the </w:t>
      </w:r>
      <w:r>
        <w:rPr>
          <w:b/>
        </w:rPr>
        <w:t xml:space="preserve">processing </w:t>
      </w:r>
      <w:r>
        <w:t xml:space="preserve">based on consent </w:t>
      </w:r>
      <w:r>
        <w:rPr>
          <w:b/>
          <w:i/>
          <w:u w:val="single"/>
        </w:rPr>
        <w:t xml:space="preserve">before </w:t>
      </w:r>
      <w:r>
        <w:rPr>
          <w:b/>
          <w:u w:val="single"/>
        </w:rPr>
        <w:t>the withdrawal</w:t>
      </w:r>
      <w:r>
        <w:t>. In other words, if consent is</w:t>
      </w:r>
      <w:r>
        <w:rPr>
          <w:b/>
        </w:rPr>
        <w:t xml:space="preserve"> withdrawn</w:t>
      </w:r>
      <w:r>
        <w:t xml:space="preserve">, the controller is </w:t>
      </w:r>
      <w:r>
        <w:rPr>
          <w:b/>
        </w:rPr>
        <w:t xml:space="preserve">required </w:t>
      </w:r>
      <w:r>
        <w:t xml:space="preserve">to </w:t>
      </w:r>
      <w:r>
        <w:rPr>
          <w:b/>
        </w:rPr>
        <w:t>stop</w:t>
      </w:r>
      <w:r>
        <w:t xml:space="preserve"> the </w:t>
      </w:r>
      <w:r>
        <w:rPr>
          <w:b/>
        </w:rPr>
        <w:t>processing</w:t>
      </w:r>
      <w:r>
        <w:t xml:space="preserve"> </w:t>
      </w:r>
      <w:r>
        <w:rPr>
          <w:b/>
        </w:rPr>
        <w:t>actions</w:t>
      </w:r>
      <w:r>
        <w:t xml:space="preserve"> from the moment of consent withdrawal, but they </w:t>
      </w:r>
      <w:r>
        <w:rPr>
          <w:b/>
        </w:rPr>
        <w:t>do not have to delete the personal data</w:t>
      </w:r>
      <w:r>
        <w:t xml:space="preserve"> that was processed </w:t>
      </w:r>
      <w:r>
        <w:rPr>
          <w:b/>
        </w:rPr>
        <w:t>up until consent was withdrawn</w:t>
      </w:r>
      <w:r>
        <w:t>.</w:t>
      </w:r>
      <w:r>
        <w:rPr>
          <w:vertAlign w:val="superscript"/>
        </w:rPr>
        <w:footnoteReference w:id="10"/>
      </w:r>
      <w:r>
        <w:t xml:space="preserve"> </w:t>
      </w:r>
    </w:p>
    <w:p w14:paraId="458F7EC1" w14:textId="77777777" w:rsidR="0081489B" w:rsidRDefault="00000000">
      <w:pPr>
        <w:spacing w:line="276" w:lineRule="auto"/>
      </w:pPr>
      <w:r>
        <w:t xml:space="preserve">If the controller wishes to process that data after consent was withdrawn, the controller can only do so if the data concerned can be </w:t>
      </w:r>
      <w:r>
        <w:rPr>
          <w:b/>
          <w:i/>
        </w:rPr>
        <w:t>anonymised</w:t>
      </w:r>
      <w:r>
        <w:rPr>
          <w:b/>
        </w:rPr>
        <w:t xml:space="preserve">. </w:t>
      </w:r>
    </w:p>
    <w:p w14:paraId="2CFE849C" w14:textId="77777777" w:rsidR="0081489B" w:rsidRDefault="0081489B">
      <w:pPr>
        <w:pStyle w:val="Heading2"/>
        <w:spacing w:line="276" w:lineRule="auto"/>
      </w:pPr>
    </w:p>
    <w:p w14:paraId="3B322DFD" w14:textId="77777777" w:rsidR="0081489B" w:rsidRDefault="00000000">
      <w:pPr>
        <w:pStyle w:val="Heading2"/>
        <w:spacing w:line="276" w:lineRule="auto"/>
      </w:pPr>
      <w:r>
        <w:t>2.4</w:t>
      </w:r>
      <w:r>
        <w:tab/>
        <w:t>Risk reduction &amp; DPIAs</w:t>
      </w:r>
    </w:p>
    <w:p w14:paraId="0F1B0A2C" w14:textId="77777777" w:rsidR="0081489B" w:rsidRDefault="0081489B">
      <w:pPr>
        <w:spacing w:line="276" w:lineRule="auto"/>
      </w:pPr>
    </w:p>
    <w:p w14:paraId="1B61E37F" w14:textId="77777777" w:rsidR="0081489B" w:rsidRDefault="00000000">
      <w:pPr>
        <w:spacing w:line="276" w:lineRule="auto"/>
      </w:pPr>
      <w:r>
        <w:rPr>
          <w:b/>
        </w:rPr>
        <w:t>Data protection impact assessments</w:t>
      </w:r>
      <w:r>
        <w:t xml:space="preserve"> (</w:t>
      </w:r>
      <w:r>
        <w:rPr>
          <w:b/>
          <w:i/>
        </w:rPr>
        <w:t>DPIAs</w:t>
      </w:r>
      <w:r>
        <w:t xml:space="preserve">) </w:t>
      </w:r>
      <w:r>
        <w:rPr>
          <w:b/>
          <w:i/>
        </w:rPr>
        <w:t>aim</w:t>
      </w:r>
      <w:r>
        <w:t xml:space="preserve"> to provide data </w:t>
      </w:r>
      <w:r>
        <w:rPr>
          <w:b/>
        </w:rPr>
        <w:t>controllers</w:t>
      </w:r>
      <w:r>
        <w:t xml:space="preserve"> with tools to </w:t>
      </w:r>
      <w:r>
        <w:rPr>
          <w:b/>
          <w:i/>
        </w:rPr>
        <w:t>manage data</w:t>
      </w:r>
      <w:r>
        <w:rPr>
          <w:i/>
        </w:rPr>
        <w:t xml:space="preserve"> </w:t>
      </w:r>
      <w:r>
        <w:rPr>
          <w:b/>
          <w:i/>
        </w:rPr>
        <w:t>protection risks</w:t>
      </w:r>
      <w:r>
        <w:t xml:space="preserve">. While DPIAs initially emerged as voluntary measure, under the GDPR they are now a </w:t>
      </w:r>
      <w:r>
        <w:rPr>
          <w:b/>
        </w:rPr>
        <w:t>mandatory</w:t>
      </w:r>
      <w:r>
        <w:t xml:space="preserve"> requirement – if certain conditions are met. They are particularly required in the case of a </w:t>
      </w:r>
      <w:r>
        <w:rPr>
          <w:b/>
        </w:rPr>
        <w:t>systematic</w:t>
      </w:r>
      <w:r>
        <w:t xml:space="preserve"> and </w:t>
      </w:r>
      <w:r>
        <w:rPr>
          <w:b/>
        </w:rPr>
        <w:t>extensive</w:t>
      </w:r>
      <w:r>
        <w:t xml:space="preserve"> </w:t>
      </w:r>
      <w:r>
        <w:rPr>
          <w:b/>
        </w:rPr>
        <w:t>evaluation</w:t>
      </w:r>
      <w:r>
        <w:t xml:space="preserve"> of </w:t>
      </w:r>
      <w:r>
        <w:rPr>
          <w:b/>
        </w:rPr>
        <w:t>personal aspects</w:t>
      </w:r>
      <w:r>
        <w:t xml:space="preserve"> </w:t>
      </w:r>
      <w:r>
        <w:rPr>
          <w:b/>
        </w:rPr>
        <w:t>relating</w:t>
      </w:r>
      <w:r>
        <w:t xml:space="preserve"> to </w:t>
      </w:r>
      <w:r>
        <w:rPr>
          <w:b/>
        </w:rPr>
        <w:t>natural persons</w:t>
      </w:r>
      <w:r>
        <w:t xml:space="preserve">, where that evaluation is based on </w:t>
      </w:r>
      <w:r>
        <w:rPr>
          <w:b/>
        </w:rPr>
        <w:t>automated processing</w:t>
      </w:r>
      <w:r>
        <w:t xml:space="preserve">, including profiling, and on which </w:t>
      </w:r>
      <w:r>
        <w:rPr>
          <w:b/>
        </w:rPr>
        <w:t xml:space="preserve">decisions </w:t>
      </w:r>
      <w:r>
        <w:t xml:space="preserve">are based that </w:t>
      </w:r>
      <w:r>
        <w:rPr>
          <w:b/>
        </w:rPr>
        <w:t>produce legal effects concerning the natural person</w:t>
      </w:r>
      <w:r>
        <w:t xml:space="preserve">, or that </w:t>
      </w:r>
      <w:r>
        <w:rPr>
          <w:b/>
        </w:rPr>
        <w:t>similarly, significantly, affect the natural person</w:t>
      </w:r>
      <w:r>
        <w:t xml:space="preserve">. </w:t>
      </w:r>
    </w:p>
    <w:p w14:paraId="15614ABE" w14:textId="77777777" w:rsidR="0081489B" w:rsidRDefault="00000000">
      <w:pPr>
        <w:spacing w:line="276" w:lineRule="auto"/>
      </w:pPr>
      <w:r>
        <w:t xml:space="preserve">Research carried out in the context of the </w:t>
      </w:r>
      <w:r>
        <w:rPr>
          <w:b/>
        </w:rPr>
        <w:t>D3I project</w:t>
      </w:r>
      <w:r>
        <w:t xml:space="preserve"> will likely fall </w:t>
      </w:r>
      <w:r>
        <w:rPr>
          <w:b/>
        </w:rPr>
        <w:t>within the scope of obligatory DPIA</w:t>
      </w:r>
      <w:r>
        <w:t xml:space="preserve">s, as the personal data captured and used (young people, detailed insights of personal lives, with likely special category data potentially revealing a person’s ethnicity, religion or beliefs or sexual orientation involved) is generally of a </w:t>
      </w:r>
      <w:r>
        <w:rPr>
          <w:b/>
        </w:rPr>
        <w:t xml:space="preserve">highly sensitive nature </w:t>
      </w:r>
      <w:r>
        <w:t>(with GDPR's</w:t>
      </w:r>
      <w:r>
        <w:rPr>
          <w:b/>
        </w:rPr>
        <w:t xml:space="preserve"> special category </w:t>
      </w:r>
      <w:r>
        <w:t xml:space="preserve">data involved). </w:t>
      </w:r>
    </w:p>
    <w:p w14:paraId="507D1910" w14:textId="77777777" w:rsidR="0081489B" w:rsidRDefault="00000000">
      <w:pPr>
        <w:spacing w:line="276" w:lineRule="auto"/>
      </w:pPr>
      <w:r>
        <w:t xml:space="preserve">A DPIA contains a systematic and subsequent description of </w:t>
      </w:r>
    </w:p>
    <w:p w14:paraId="6A3763EF" w14:textId="77777777" w:rsidR="0081489B" w:rsidRDefault="00000000">
      <w:pPr>
        <w:numPr>
          <w:ilvl w:val="0"/>
          <w:numId w:val="4"/>
        </w:numPr>
        <w:pBdr>
          <w:top w:val="nil"/>
          <w:left w:val="nil"/>
          <w:bottom w:val="nil"/>
          <w:right w:val="nil"/>
          <w:between w:val="nil"/>
        </w:pBdr>
        <w:spacing w:after="0" w:line="276" w:lineRule="auto"/>
        <w:rPr>
          <w:rFonts w:ascii="Calibri" w:hAnsi="Calibri"/>
          <w:color w:val="000000"/>
        </w:rPr>
      </w:pPr>
      <w:r>
        <w:rPr>
          <w:rFonts w:ascii="Calibri" w:hAnsi="Calibri"/>
          <w:color w:val="000000"/>
        </w:rPr>
        <w:t xml:space="preserve">the </w:t>
      </w:r>
      <w:r>
        <w:rPr>
          <w:rFonts w:ascii="Calibri" w:hAnsi="Calibri"/>
          <w:b/>
          <w:color w:val="000000"/>
        </w:rPr>
        <w:t xml:space="preserve">purposes </w:t>
      </w:r>
      <w:r>
        <w:rPr>
          <w:rFonts w:ascii="Calibri" w:hAnsi="Calibri"/>
          <w:color w:val="000000"/>
        </w:rPr>
        <w:t xml:space="preserve">and the </w:t>
      </w:r>
      <w:r>
        <w:rPr>
          <w:rFonts w:ascii="Calibri" w:hAnsi="Calibri"/>
          <w:b/>
          <w:color w:val="000000"/>
        </w:rPr>
        <w:t xml:space="preserve">means </w:t>
      </w:r>
      <w:r>
        <w:rPr>
          <w:rFonts w:ascii="Calibri" w:hAnsi="Calibri"/>
          <w:color w:val="000000"/>
        </w:rPr>
        <w:t xml:space="preserve">through which the </w:t>
      </w:r>
      <w:r>
        <w:rPr>
          <w:rFonts w:ascii="Calibri" w:hAnsi="Calibri"/>
          <w:b/>
          <w:color w:val="000000"/>
        </w:rPr>
        <w:t>purposes</w:t>
      </w:r>
      <w:r>
        <w:rPr>
          <w:rFonts w:ascii="Calibri" w:hAnsi="Calibri"/>
          <w:color w:val="000000"/>
        </w:rPr>
        <w:t xml:space="preserve"> as defined by the researcher should be realised, including the envisaged processing operations (Art. 35(7)(a) GDPR); </w:t>
      </w:r>
    </w:p>
    <w:p w14:paraId="6A01C1F5" w14:textId="77777777" w:rsidR="0081489B" w:rsidRDefault="00000000">
      <w:pPr>
        <w:numPr>
          <w:ilvl w:val="0"/>
          <w:numId w:val="4"/>
        </w:numPr>
        <w:pBdr>
          <w:top w:val="nil"/>
          <w:left w:val="nil"/>
          <w:bottom w:val="nil"/>
          <w:right w:val="nil"/>
          <w:between w:val="nil"/>
        </w:pBdr>
        <w:spacing w:after="0" w:line="276" w:lineRule="auto"/>
        <w:rPr>
          <w:rFonts w:ascii="Calibri" w:hAnsi="Calibri"/>
          <w:color w:val="000000"/>
        </w:rPr>
      </w:pPr>
      <w:r>
        <w:rPr>
          <w:rFonts w:ascii="Calibri" w:hAnsi="Calibri"/>
          <w:color w:val="000000"/>
        </w:rPr>
        <w:t xml:space="preserve">an </w:t>
      </w:r>
      <w:r>
        <w:rPr>
          <w:rFonts w:ascii="Calibri" w:hAnsi="Calibri"/>
          <w:b/>
          <w:color w:val="000000"/>
        </w:rPr>
        <w:t xml:space="preserve">assessment </w:t>
      </w:r>
      <w:r>
        <w:rPr>
          <w:rFonts w:ascii="Calibri" w:hAnsi="Calibri"/>
          <w:color w:val="000000"/>
        </w:rPr>
        <w:t xml:space="preserve">of the </w:t>
      </w:r>
      <w:r>
        <w:rPr>
          <w:rFonts w:ascii="Calibri" w:hAnsi="Calibri"/>
          <w:b/>
          <w:color w:val="000000"/>
        </w:rPr>
        <w:t>risks to the rights and freedoms</w:t>
      </w:r>
      <w:r>
        <w:rPr>
          <w:rFonts w:ascii="Calibri" w:hAnsi="Calibri"/>
          <w:color w:val="000000"/>
        </w:rPr>
        <w:t xml:space="preserve"> of the participants (Art. 35(7)(c) GDPR);</w:t>
      </w:r>
    </w:p>
    <w:p w14:paraId="607AB0B0" w14:textId="77777777" w:rsidR="0081489B" w:rsidRDefault="00000000">
      <w:pPr>
        <w:numPr>
          <w:ilvl w:val="0"/>
          <w:numId w:val="4"/>
        </w:numPr>
        <w:pBdr>
          <w:top w:val="nil"/>
          <w:left w:val="nil"/>
          <w:bottom w:val="nil"/>
          <w:right w:val="nil"/>
          <w:between w:val="nil"/>
        </w:pBdr>
        <w:spacing w:after="0" w:line="276" w:lineRule="auto"/>
        <w:rPr>
          <w:rFonts w:ascii="Calibri" w:hAnsi="Calibri"/>
          <w:color w:val="000000"/>
        </w:rPr>
      </w:pPr>
      <w:r>
        <w:rPr>
          <w:rFonts w:ascii="Calibri" w:hAnsi="Calibri"/>
          <w:color w:val="000000"/>
        </w:rPr>
        <w:t xml:space="preserve">an assessment of the </w:t>
      </w:r>
      <w:r>
        <w:rPr>
          <w:rFonts w:ascii="Calibri" w:hAnsi="Calibri"/>
          <w:b/>
          <w:color w:val="000000"/>
        </w:rPr>
        <w:t xml:space="preserve">necessity </w:t>
      </w:r>
      <w:r>
        <w:rPr>
          <w:rFonts w:ascii="Calibri" w:hAnsi="Calibri"/>
          <w:color w:val="000000"/>
        </w:rPr>
        <w:t xml:space="preserve">and </w:t>
      </w:r>
      <w:r>
        <w:rPr>
          <w:rFonts w:ascii="Calibri" w:hAnsi="Calibri"/>
          <w:b/>
          <w:color w:val="000000"/>
        </w:rPr>
        <w:t xml:space="preserve">proportionality </w:t>
      </w:r>
      <w:r>
        <w:rPr>
          <w:rFonts w:ascii="Calibri" w:hAnsi="Calibri"/>
          <w:color w:val="000000"/>
        </w:rPr>
        <w:t xml:space="preserve">of the </w:t>
      </w:r>
      <w:r>
        <w:rPr>
          <w:rFonts w:ascii="Calibri" w:hAnsi="Calibri"/>
          <w:b/>
          <w:color w:val="000000"/>
        </w:rPr>
        <w:t>processing operations</w:t>
      </w:r>
      <w:r>
        <w:rPr>
          <w:rFonts w:ascii="Calibri" w:hAnsi="Calibri"/>
          <w:color w:val="000000"/>
        </w:rPr>
        <w:t xml:space="preserve"> in relation to the </w:t>
      </w:r>
      <w:r>
        <w:rPr>
          <w:rFonts w:ascii="Calibri" w:hAnsi="Calibri"/>
          <w:b/>
          <w:color w:val="000000"/>
        </w:rPr>
        <w:t xml:space="preserve">purposes </w:t>
      </w:r>
      <w:r>
        <w:rPr>
          <w:rFonts w:ascii="Calibri" w:hAnsi="Calibri"/>
          <w:color w:val="000000"/>
        </w:rPr>
        <w:t xml:space="preserve">(Art. 35(7)(b) GDPR); </w:t>
      </w:r>
    </w:p>
    <w:p w14:paraId="5DD9443A" w14:textId="77777777" w:rsidR="0081489B" w:rsidRDefault="00000000">
      <w:pPr>
        <w:numPr>
          <w:ilvl w:val="0"/>
          <w:numId w:val="4"/>
        </w:numPr>
        <w:pBdr>
          <w:top w:val="nil"/>
          <w:left w:val="nil"/>
          <w:bottom w:val="nil"/>
          <w:right w:val="nil"/>
          <w:between w:val="nil"/>
        </w:pBdr>
        <w:spacing w:line="276" w:lineRule="auto"/>
        <w:rPr>
          <w:rFonts w:ascii="Calibri" w:hAnsi="Calibri"/>
          <w:color w:val="000000"/>
        </w:rPr>
      </w:pPr>
      <w:r>
        <w:rPr>
          <w:rFonts w:ascii="Calibri" w:hAnsi="Calibri"/>
          <w:color w:val="000000"/>
        </w:rPr>
        <w:lastRenderedPageBreak/>
        <w:t xml:space="preserve">and the </w:t>
      </w:r>
      <w:r>
        <w:rPr>
          <w:rFonts w:ascii="Calibri" w:hAnsi="Calibri"/>
          <w:b/>
          <w:color w:val="000000"/>
        </w:rPr>
        <w:t xml:space="preserve">measures </w:t>
      </w:r>
      <w:r>
        <w:rPr>
          <w:rFonts w:ascii="Calibri" w:hAnsi="Calibri"/>
          <w:color w:val="000000"/>
        </w:rPr>
        <w:t xml:space="preserve">envisaged to </w:t>
      </w:r>
      <w:r>
        <w:rPr>
          <w:rFonts w:ascii="Calibri" w:hAnsi="Calibri"/>
          <w:b/>
          <w:color w:val="000000"/>
        </w:rPr>
        <w:t>address the risks</w:t>
      </w:r>
      <w:r>
        <w:rPr>
          <w:rFonts w:ascii="Calibri" w:hAnsi="Calibri"/>
          <w:color w:val="000000"/>
        </w:rPr>
        <w:t xml:space="preserve">, including safeguards, security measures and mechanisms to ensure the protection of personal data, and to </w:t>
      </w:r>
      <w:r>
        <w:rPr>
          <w:rFonts w:ascii="Calibri" w:hAnsi="Calibri"/>
          <w:b/>
          <w:color w:val="000000"/>
        </w:rPr>
        <w:t>demonstrate compliance</w:t>
      </w:r>
      <w:r>
        <w:rPr>
          <w:rFonts w:ascii="Calibri" w:hAnsi="Calibri"/>
          <w:color w:val="000000"/>
        </w:rPr>
        <w:t xml:space="preserve"> with the regulation, </w:t>
      </w:r>
      <w:proofErr w:type="gramStart"/>
      <w:r>
        <w:rPr>
          <w:rFonts w:ascii="Calibri" w:hAnsi="Calibri"/>
          <w:b/>
          <w:color w:val="000000"/>
        </w:rPr>
        <w:t>taking into account</w:t>
      </w:r>
      <w:proofErr w:type="gramEnd"/>
      <w:r>
        <w:rPr>
          <w:rFonts w:ascii="Calibri" w:hAnsi="Calibri"/>
          <w:b/>
          <w:color w:val="000000"/>
        </w:rPr>
        <w:t xml:space="preserve"> the rights and legitimate interests of data subjects</w:t>
      </w:r>
      <w:r>
        <w:rPr>
          <w:rFonts w:ascii="Calibri" w:hAnsi="Calibri"/>
          <w:color w:val="000000"/>
        </w:rPr>
        <w:t xml:space="preserve"> and </w:t>
      </w:r>
      <w:r>
        <w:rPr>
          <w:rFonts w:ascii="Calibri" w:hAnsi="Calibri"/>
          <w:b/>
          <w:color w:val="000000"/>
        </w:rPr>
        <w:t>other persons</w:t>
      </w:r>
      <w:r>
        <w:rPr>
          <w:rFonts w:ascii="Calibri" w:hAnsi="Calibri"/>
          <w:color w:val="000000"/>
        </w:rPr>
        <w:t xml:space="preserve"> concerned (Art. 35(7)(d) GDPR).</w:t>
      </w:r>
    </w:p>
    <w:p w14:paraId="731B3B4F" w14:textId="77777777" w:rsidR="0081489B" w:rsidRDefault="00000000">
      <w:pPr>
        <w:spacing w:line="276" w:lineRule="auto"/>
      </w:pPr>
      <w:r>
        <w:t xml:space="preserve">The DPIA-application will be further elaborated in the </w:t>
      </w:r>
      <w:r>
        <w:rPr>
          <w:b/>
        </w:rPr>
        <w:t>DPIA manual</w:t>
      </w:r>
      <w:r>
        <w:t>.</w:t>
      </w:r>
    </w:p>
    <w:p w14:paraId="76BF4885" w14:textId="77777777" w:rsidR="0081489B" w:rsidRDefault="0081489B">
      <w:pPr>
        <w:pStyle w:val="Heading2"/>
        <w:spacing w:line="276" w:lineRule="auto"/>
      </w:pPr>
    </w:p>
    <w:p w14:paraId="234E1C37" w14:textId="77777777" w:rsidR="0081489B" w:rsidRDefault="00000000">
      <w:pPr>
        <w:pStyle w:val="Heading2"/>
        <w:spacing w:line="276" w:lineRule="auto"/>
      </w:pPr>
      <w:r>
        <w:t>2.5</w:t>
      </w:r>
      <w:r>
        <w:tab/>
        <w:t>Data subject rights</w:t>
      </w:r>
    </w:p>
    <w:p w14:paraId="069D343D" w14:textId="77777777" w:rsidR="0081489B" w:rsidRDefault="0081489B">
      <w:pPr>
        <w:spacing w:line="276" w:lineRule="auto"/>
      </w:pPr>
    </w:p>
    <w:p w14:paraId="57E9BBDC" w14:textId="77777777" w:rsidR="0081489B" w:rsidRDefault="00000000">
      <w:pPr>
        <w:spacing w:line="276" w:lineRule="auto"/>
      </w:pPr>
      <w:r>
        <w:t xml:space="preserve">One of the </w:t>
      </w:r>
      <w:r>
        <w:rPr>
          <w:b/>
        </w:rPr>
        <w:t>essential motivations</w:t>
      </w:r>
      <w:r>
        <w:t xml:space="preserve"> behind the </w:t>
      </w:r>
      <w:r>
        <w:rPr>
          <w:b/>
        </w:rPr>
        <w:t xml:space="preserve">GDPR </w:t>
      </w:r>
      <w:r>
        <w:t xml:space="preserve">is to </w:t>
      </w:r>
      <w:r>
        <w:rPr>
          <w:b/>
        </w:rPr>
        <w:t xml:space="preserve">(re-)empower data subjects, </w:t>
      </w:r>
      <w:r>
        <w:t>and with this, participants donate their data for scientific research purposes in D3I contexts. They aim to strengthen participant’s rights pertaining to their data by giving them some control over the processing of their data. The GDPR addresses these rights, specifying in detail their respective modalities, conditions and exceptions:</w:t>
      </w:r>
    </w:p>
    <w:p w14:paraId="3CD8CD80" w14:textId="77777777" w:rsidR="0081489B" w:rsidRDefault="00000000">
      <w:pPr>
        <w:spacing w:line="276" w:lineRule="auto"/>
        <w:rPr>
          <w:i/>
        </w:rPr>
      </w:pPr>
      <w:r>
        <w:rPr>
          <w:i/>
        </w:rPr>
        <w:t>Table 1: overview of GDPR’s data access rights</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8206"/>
      </w:tblGrid>
      <w:tr w:rsidR="0081489B" w14:paraId="126799E2" w14:textId="77777777">
        <w:tc>
          <w:tcPr>
            <w:tcW w:w="810" w:type="dxa"/>
          </w:tcPr>
          <w:p w14:paraId="64507486" w14:textId="77777777" w:rsidR="0081489B" w:rsidRDefault="00000000">
            <w:pPr>
              <w:spacing w:line="276" w:lineRule="auto"/>
              <w:rPr>
                <w:b/>
                <w:sz w:val="18"/>
                <w:szCs w:val="18"/>
              </w:rPr>
            </w:pPr>
            <w:r>
              <w:rPr>
                <w:b/>
                <w:sz w:val="18"/>
                <w:szCs w:val="18"/>
              </w:rPr>
              <w:t>Article</w:t>
            </w:r>
          </w:p>
        </w:tc>
        <w:tc>
          <w:tcPr>
            <w:tcW w:w="8206" w:type="dxa"/>
          </w:tcPr>
          <w:p w14:paraId="7D932E63" w14:textId="77777777" w:rsidR="0081489B" w:rsidRDefault="00000000">
            <w:pPr>
              <w:spacing w:line="276" w:lineRule="auto"/>
              <w:jc w:val="center"/>
              <w:rPr>
                <w:b/>
                <w:sz w:val="18"/>
                <w:szCs w:val="18"/>
              </w:rPr>
            </w:pPr>
            <w:r>
              <w:rPr>
                <w:b/>
                <w:sz w:val="18"/>
                <w:szCs w:val="18"/>
              </w:rPr>
              <w:t>Data right</w:t>
            </w:r>
          </w:p>
        </w:tc>
      </w:tr>
      <w:tr w:rsidR="0081489B" w14:paraId="5B3FB954" w14:textId="77777777" w:rsidTr="003324DB">
        <w:tc>
          <w:tcPr>
            <w:tcW w:w="810" w:type="dxa"/>
            <w:shd w:val="clear" w:color="auto" w:fill="D9D9D9" w:themeFill="background1" w:themeFillShade="D9"/>
          </w:tcPr>
          <w:p w14:paraId="2B8727C7" w14:textId="77777777" w:rsidR="0081489B" w:rsidRPr="003324DB" w:rsidRDefault="00000000">
            <w:pPr>
              <w:spacing w:line="276" w:lineRule="auto"/>
              <w:rPr>
                <w:sz w:val="18"/>
                <w:szCs w:val="18"/>
                <w:highlight w:val="lightGray"/>
              </w:rPr>
            </w:pPr>
            <w:r w:rsidRPr="003324DB">
              <w:rPr>
                <w:sz w:val="18"/>
                <w:szCs w:val="18"/>
                <w:highlight w:val="lightGray"/>
              </w:rPr>
              <w:t>12</w:t>
            </w:r>
          </w:p>
        </w:tc>
        <w:tc>
          <w:tcPr>
            <w:tcW w:w="8206" w:type="dxa"/>
            <w:shd w:val="clear" w:color="auto" w:fill="D9D9D9" w:themeFill="background1" w:themeFillShade="D9"/>
          </w:tcPr>
          <w:p w14:paraId="7B0DCB5D" w14:textId="77777777" w:rsidR="0081489B" w:rsidRDefault="00000000">
            <w:pPr>
              <w:spacing w:line="276" w:lineRule="auto"/>
              <w:rPr>
                <w:sz w:val="18"/>
                <w:szCs w:val="18"/>
              </w:rPr>
            </w:pPr>
            <w:r w:rsidRPr="003324DB">
              <w:rPr>
                <w:sz w:val="18"/>
                <w:szCs w:val="18"/>
                <w:highlight w:val="lightGray"/>
              </w:rPr>
              <w:t>Transparent information, communication and modalities for the exercise of the rights of the data subject</w:t>
            </w:r>
          </w:p>
        </w:tc>
      </w:tr>
      <w:tr w:rsidR="0081489B" w14:paraId="2B11F46A" w14:textId="77777777">
        <w:tc>
          <w:tcPr>
            <w:tcW w:w="810" w:type="dxa"/>
            <w:shd w:val="clear" w:color="auto" w:fill="D9D9D9"/>
          </w:tcPr>
          <w:p w14:paraId="36B59FD0" w14:textId="77777777" w:rsidR="0081489B" w:rsidRDefault="00000000">
            <w:pPr>
              <w:spacing w:line="276" w:lineRule="auto"/>
              <w:rPr>
                <w:sz w:val="18"/>
                <w:szCs w:val="18"/>
              </w:rPr>
            </w:pPr>
            <w:r>
              <w:rPr>
                <w:sz w:val="18"/>
                <w:szCs w:val="18"/>
              </w:rPr>
              <w:t>13</w:t>
            </w:r>
          </w:p>
        </w:tc>
        <w:tc>
          <w:tcPr>
            <w:tcW w:w="8206" w:type="dxa"/>
            <w:shd w:val="clear" w:color="auto" w:fill="D9D9D9"/>
          </w:tcPr>
          <w:p w14:paraId="70C0AF4C" w14:textId="77777777" w:rsidR="0081489B" w:rsidRDefault="00000000">
            <w:pPr>
              <w:spacing w:line="276" w:lineRule="auto"/>
              <w:rPr>
                <w:sz w:val="18"/>
                <w:szCs w:val="18"/>
              </w:rPr>
            </w:pPr>
            <w:r>
              <w:rPr>
                <w:sz w:val="18"/>
                <w:szCs w:val="18"/>
              </w:rPr>
              <w:t>Information to be provided where personal data are captured from the data subject</w:t>
            </w:r>
          </w:p>
        </w:tc>
      </w:tr>
      <w:tr w:rsidR="0081489B" w14:paraId="6885F136" w14:textId="77777777">
        <w:tc>
          <w:tcPr>
            <w:tcW w:w="810" w:type="dxa"/>
          </w:tcPr>
          <w:p w14:paraId="6ADA5F72" w14:textId="77777777" w:rsidR="0081489B" w:rsidRDefault="00000000">
            <w:pPr>
              <w:spacing w:line="276" w:lineRule="auto"/>
              <w:rPr>
                <w:sz w:val="18"/>
                <w:szCs w:val="18"/>
              </w:rPr>
            </w:pPr>
            <w:r>
              <w:rPr>
                <w:sz w:val="18"/>
                <w:szCs w:val="18"/>
              </w:rPr>
              <w:t>14</w:t>
            </w:r>
          </w:p>
        </w:tc>
        <w:tc>
          <w:tcPr>
            <w:tcW w:w="8206" w:type="dxa"/>
          </w:tcPr>
          <w:p w14:paraId="568C898E" w14:textId="77777777" w:rsidR="0081489B" w:rsidRDefault="00000000">
            <w:pPr>
              <w:spacing w:line="276" w:lineRule="auto"/>
              <w:rPr>
                <w:sz w:val="18"/>
                <w:szCs w:val="18"/>
              </w:rPr>
            </w:pPr>
            <w:r>
              <w:rPr>
                <w:sz w:val="18"/>
                <w:szCs w:val="18"/>
              </w:rPr>
              <w:t>Information to be provided where personal data were not captured from the data subject</w:t>
            </w:r>
          </w:p>
        </w:tc>
      </w:tr>
      <w:tr w:rsidR="0081489B" w14:paraId="5F940100" w14:textId="77777777">
        <w:tc>
          <w:tcPr>
            <w:tcW w:w="810" w:type="dxa"/>
            <w:shd w:val="clear" w:color="auto" w:fill="D9D9D9"/>
          </w:tcPr>
          <w:p w14:paraId="7583A2A5" w14:textId="77777777" w:rsidR="0081489B" w:rsidRDefault="00000000">
            <w:pPr>
              <w:spacing w:line="276" w:lineRule="auto"/>
              <w:rPr>
                <w:sz w:val="18"/>
                <w:szCs w:val="18"/>
              </w:rPr>
            </w:pPr>
            <w:r>
              <w:rPr>
                <w:sz w:val="18"/>
                <w:szCs w:val="18"/>
              </w:rPr>
              <w:t>15</w:t>
            </w:r>
          </w:p>
        </w:tc>
        <w:tc>
          <w:tcPr>
            <w:tcW w:w="8206" w:type="dxa"/>
            <w:shd w:val="clear" w:color="auto" w:fill="D9D9D9"/>
          </w:tcPr>
          <w:p w14:paraId="560381B6" w14:textId="77777777" w:rsidR="0081489B" w:rsidRDefault="00000000">
            <w:pPr>
              <w:spacing w:line="276" w:lineRule="auto"/>
              <w:rPr>
                <w:sz w:val="18"/>
                <w:szCs w:val="18"/>
              </w:rPr>
            </w:pPr>
            <w:r>
              <w:rPr>
                <w:sz w:val="18"/>
                <w:szCs w:val="18"/>
              </w:rPr>
              <w:t>Right of access by the data subject</w:t>
            </w:r>
          </w:p>
        </w:tc>
      </w:tr>
      <w:tr w:rsidR="0081489B" w14:paraId="7DB87F55" w14:textId="77777777">
        <w:tc>
          <w:tcPr>
            <w:tcW w:w="810" w:type="dxa"/>
            <w:shd w:val="clear" w:color="auto" w:fill="D9D9D9"/>
          </w:tcPr>
          <w:p w14:paraId="4BF74DB1" w14:textId="77777777" w:rsidR="0081489B" w:rsidRDefault="00000000">
            <w:pPr>
              <w:spacing w:line="276" w:lineRule="auto"/>
              <w:rPr>
                <w:sz w:val="18"/>
                <w:szCs w:val="18"/>
              </w:rPr>
            </w:pPr>
            <w:r>
              <w:rPr>
                <w:sz w:val="18"/>
                <w:szCs w:val="18"/>
              </w:rPr>
              <w:t>16</w:t>
            </w:r>
          </w:p>
        </w:tc>
        <w:tc>
          <w:tcPr>
            <w:tcW w:w="8206" w:type="dxa"/>
            <w:shd w:val="clear" w:color="auto" w:fill="D9D9D9"/>
          </w:tcPr>
          <w:p w14:paraId="696C6055" w14:textId="77777777" w:rsidR="0081489B" w:rsidRDefault="00000000">
            <w:pPr>
              <w:spacing w:line="276" w:lineRule="auto"/>
              <w:rPr>
                <w:sz w:val="18"/>
                <w:szCs w:val="18"/>
              </w:rPr>
            </w:pPr>
            <w:r>
              <w:rPr>
                <w:sz w:val="18"/>
                <w:szCs w:val="18"/>
              </w:rPr>
              <w:t xml:space="preserve">Right to rectification </w:t>
            </w:r>
          </w:p>
        </w:tc>
      </w:tr>
      <w:tr w:rsidR="0081489B" w14:paraId="5C7A3462" w14:textId="77777777">
        <w:tc>
          <w:tcPr>
            <w:tcW w:w="810" w:type="dxa"/>
            <w:shd w:val="clear" w:color="auto" w:fill="D9D9D9"/>
          </w:tcPr>
          <w:p w14:paraId="29F9D3A5" w14:textId="77777777" w:rsidR="0081489B" w:rsidRDefault="00000000">
            <w:pPr>
              <w:spacing w:line="276" w:lineRule="auto"/>
              <w:rPr>
                <w:sz w:val="18"/>
                <w:szCs w:val="18"/>
              </w:rPr>
            </w:pPr>
            <w:r>
              <w:rPr>
                <w:sz w:val="18"/>
                <w:szCs w:val="18"/>
              </w:rPr>
              <w:t>17</w:t>
            </w:r>
          </w:p>
        </w:tc>
        <w:tc>
          <w:tcPr>
            <w:tcW w:w="8206" w:type="dxa"/>
            <w:shd w:val="clear" w:color="auto" w:fill="D9D9D9"/>
          </w:tcPr>
          <w:p w14:paraId="70392CD7" w14:textId="77777777" w:rsidR="0081489B" w:rsidRDefault="00000000">
            <w:pPr>
              <w:spacing w:line="276" w:lineRule="auto"/>
              <w:rPr>
                <w:sz w:val="18"/>
                <w:szCs w:val="18"/>
              </w:rPr>
            </w:pPr>
            <w:r>
              <w:rPr>
                <w:sz w:val="18"/>
                <w:szCs w:val="18"/>
              </w:rPr>
              <w:t>Right to have one’s personal data erased</w:t>
            </w:r>
          </w:p>
        </w:tc>
      </w:tr>
      <w:tr w:rsidR="0081489B" w14:paraId="71D74958" w14:textId="77777777">
        <w:tc>
          <w:tcPr>
            <w:tcW w:w="810" w:type="dxa"/>
          </w:tcPr>
          <w:p w14:paraId="57386C3E" w14:textId="77777777" w:rsidR="0081489B" w:rsidRDefault="00000000">
            <w:pPr>
              <w:spacing w:line="276" w:lineRule="auto"/>
              <w:rPr>
                <w:sz w:val="18"/>
                <w:szCs w:val="18"/>
              </w:rPr>
            </w:pPr>
            <w:r>
              <w:rPr>
                <w:sz w:val="18"/>
                <w:szCs w:val="18"/>
              </w:rPr>
              <w:t>18</w:t>
            </w:r>
          </w:p>
        </w:tc>
        <w:tc>
          <w:tcPr>
            <w:tcW w:w="8206" w:type="dxa"/>
          </w:tcPr>
          <w:p w14:paraId="2A9D5BCB" w14:textId="77777777" w:rsidR="0081489B" w:rsidRDefault="00000000">
            <w:pPr>
              <w:spacing w:line="276" w:lineRule="auto"/>
              <w:rPr>
                <w:sz w:val="18"/>
                <w:szCs w:val="18"/>
              </w:rPr>
            </w:pPr>
            <w:r>
              <w:rPr>
                <w:sz w:val="18"/>
                <w:szCs w:val="18"/>
              </w:rPr>
              <w:t>Right to restriction of data processing</w:t>
            </w:r>
          </w:p>
        </w:tc>
      </w:tr>
      <w:tr w:rsidR="0081489B" w14:paraId="1A621431" w14:textId="77777777">
        <w:tc>
          <w:tcPr>
            <w:tcW w:w="810" w:type="dxa"/>
          </w:tcPr>
          <w:p w14:paraId="6B25A390" w14:textId="77777777" w:rsidR="0081489B" w:rsidRDefault="00000000">
            <w:pPr>
              <w:spacing w:line="276" w:lineRule="auto"/>
              <w:rPr>
                <w:sz w:val="18"/>
                <w:szCs w:val="18"/>
              </w:rPr>
            </w:pPr>
            <w:r>
              <w:rPr>
                <w:sz w:val="18"/>
                <w:szCs w:val="18"/>
              </w:rPr>
              <w:t>19</w:t>
            </w:r>
          </w:p>
        </w:tc>
        <w:tc>
          <w:tcPr>
            <w:tcW w:w="8206" w:type="dxa"/>
          </w:tcPr>
          <w:p w14:paraId="1E00A90D" w14:textId="77777777" w:rsidR="0081489B" w:rsidRDefault="00000000">
            <w:pPr>
              <w:spacing w:line="276" w:lineRule="auto"/>
              <w:rPr>
                <w:sz w:val="18"/>
                <w:szCs w:val="18"/>
              </w:rPr>
            </w:pPr>
            <w:r>
              <w:rPr>
                <w:sz w:val="18"/>
                <w:szCs w:val="18"/>
              </w:rPr>
              <w:t xml:space="preserve">Notification obligation concerning rectification or erasure of personal data or restriction of processing </w:t>
            </w:r>
          </w:p>
        </w:tc>
      </w:tr>
      <w:tr w:rsidR="0081489B" w14:paraId="1DA5E3EE" w14:textId="77777777">
        <w:tc>
          <w:tcPr>
            <w:tcW w:w="810" w:type="dxa"/>
          </w:tcPr>
          <w:p w14:paraId="3FAD65AE" w14:textId="77777777" w:rsidR="0081489B" w:rsidRDefault="00000000">
            <w:pPr>
              <w:spacing w:line="276" w:lineRule="auto"/>
              <w:rPr>
                <w:sz w:val="18"/>
                <w:szCs w:val="18"/>
              </w:rPr>
            </w:pPr>
            <w:r>
              <w:rPr>
                <w:sz w:val="18"/>
                <w:szCs w:val="18"/>
              </w:rPr>
              <w:t>20</w:t>
            </w:r>
          </w:p>
        </w:tc>
        <w:tc>
          <w:tcPr>
            <w:tcW w:w="8206" w:type="dxa"/>
          </w:tcPr>
          <w:p w14:paraId="7A22A1CB" w14:textId="77777777" w:rsidR="0081489B" w:rsidRDefault="00000000">
            <w:pPr>
              <w:spacing w:line="276" w:lineRule="auto"/>
              <w:rPr>
                <w:sz w:val="18"/>
                <w:szCs w:val="18"/>
              </w:rPr>
            </w:pPr>
            <w:r>
              <w:rPr>
                <w:sz w:val="18"/>
                <w:szCs w:val="18"/>
              </w:rPr>
              <w:t>Right to have one’s data ported to another data controller</w:t>
            </w:r>
          </w:p>
        </w:tc>
      </w:tr>
      <w:tr w:rsidR="0081489B" w14:paraId="0FB8A2C4" w14:textId="77777777">
        <w:tc>
          <w:tcPr>
            <w:tcW w:w="810" w:type="dxa"/>
          </w:tcPr>
          <w:p w14:paraId="0025EC9E" w14:textId="77777777" w:rsidR="0081489B" w:rsidRDefault="00000000">
            <w:pPr>
              <w:spacing w:line="276" w:lineRule="auto"/>
              <w:rPr>
                <w:sz w:val="18"/>
                <w:szCs w:val="18"/>
              </w:rPr>
            </w:pPr>
            <w:r>
              <w:rPr>
                <w:sz w:val="18"/>
                <w:szCs w:val="18"/>
              </w:rPr>
              <w:t>21</w:t>
            </w:r>
          </w:p>
        </w:tc>
        <w:tc>
          <w:tcPr>
            <w:tcW w:w="8206" w:type="dxa"/>
          </w:tcPr>
          <w:p w14:paraId="49F323FE" w14:textId="77777777" w:rsidR="0081489B" w:rsidRDefault="00000000">
            <w:pPr>
              <w:spacing w:line="276" w:lineRule="auto"/>
              <w:rPr>
                <w:sz w:val="18"/>
                <w:szCs w:val="18"/>
              </w:rPr>
            </w:pPr>
            <w:r>
              <w:rPr>
                <w:sz w:val="18"/>
                <w:szCs w:val="18"/>
              </w:rPr>
              <w:t>Right to object against data processing</w:t>
            </w:r>
          </w:p>
        </w:tc>
      </w:tr>
      <w:tr w:rsidR="0081489B" w14:paraId="06EC58A3" w14:textId="77777777">
        <w:tc>
          <w:tcPr>
            <w:tcW w:w="810" w:type="dxa"/>
            <w:shd w:val="clear" w:color="auto" w:fill="D9D9D9"/>
          </w:tcPr>
          <w:p w14:paraId="3948F2C0" w14:textId="77777777" w:rsidR="0081489B" w:rsidRDefault="00000000">
            <w:pPr>
              <w:spacing w:line="276" w:lineRule="auto"/>
              <w:rPr>
                <w:sz w:val="18"/>
                <w:szCs w:val="18"/>
              </w:rPr>
            </w:pPr>
            <w:r>
              <w:rPr>
                <w:sz w:val="18"/>
                <w:szCs w:val="18"/>
              </w:rPr>
              <w:t>22</w:t>
            </w:r>
          </w:p>
        </w:tc>
        <w:tc>
          <w:tcPr>
            <w:tcW w:w="8206" w:type="dxa"/>
            <w:shd w:val="clear" w:color="auto" w:fill="D9D9D9"/>
          </w:tcPr>
          <w:p w14:paraId="3E957668" w14:textId="77777777" w:rsidR="0081489B" w:rsidRDefault="00000000">
            <w:pPr>
              <w:spacing w:line="276" w:lineRule="auto"/>
              <w:rPr>
                <w:sz w:val="18"/>
                <w:szCs w:val="18"/>
              </w:rPr>
            </w:pPr>
            <w:r>
              <w:rPr>
                <w:sz w:val="18"/>
                <w:szCs w:val="18"/>
              </w:rPr>
              <w:t>Right not to undergo automated individual decision-making, including profiling</w:t>
            </w:r>
          </w:p>
        </w:tc>
      </w:tr>
    </w:tbl>
    <w:p w14:paraId="34112B6C" w14:textId="77777777" w:rsidR="0081489B" w:rsidRDefault="0081489B">
      <w:pPr>
        <w:spacing w:line="276" w:lineRule="auto"/>
      </w:pPr>
    </w:p>
    <w:p w14:paraId="11BBAFA5" w14:textId="77777777" w:rsidR="0081489B" w:rsidRDefault="00000000">
      <w:pPr>
        <w:pStyle w:val="Heading3"/>
        <w:spacing w:line="276" w:lineRule="auto"/>
      </w:pPr>
      <w:r>
        <w:t>2.5.1</w:t>
      </w:r>
      <w:r>
        <w:tab/>
        <w:t>Core rights in D3I context</w:t>
      </w:r>
    </w:p>
    <w:p w14:paraId="684E0583" w14:textId="77777777" w:rsidR="0081489B" w:rsidRDefault="0081489B">
      <w:pPr>
        <w:spacing w:line="276" w:lineRule="auto"/>
      </w:pPr>
    </w:p>
    <w:p w14:paraId="143651C0" w14:textId="77777777" w:rsidR="0081489B" w:rsidRDefault="00000000">
      <w:pPr>
        <w:spacing w:line="276" w:lineRule="auto"/>
      </w:pPr>
      <w:r>
        <w:t xml:space="preserve">The data rights particularly relevant in the context of D3I are highlighted in Table 1. </w:t>
      </w:r>
    </w:p>
    <w:p w14:paraId="2FDBE9DE" w14:textId="13480011" w:rsidR="003324DB" w:rsidRDefault="008041F5" w:rsidP="008041F5">
      <w:pPr>
        <w:pStyle w:val="ListParagraph"/>
        <w:numPr>
          <w:ilvl w:val="0"/>
          <w:numId w:val="5"/>
        </w:numPr>
        <w:spacing w:line="276" w:lineRule="auto"/>
      </w:pPr>
      <w:r>
        <w:t xml:space="preserve">Article 12 </w:t>
      </w:r>
      <w:r w:rsidR="006859B0">
        <w:t>–</w:t>
      </w:r>
      <w:r>
        <w:t xml:space="preserve"> </w:t>
      </w:r>
      <w:r w:rsidR="006859B0">
        <w:t>Transparent information, communication and modalities for data rights exercises</w:t>
      </w:r>
    </w:p>
    <w:p w14:paraId="7D66C8C9" w14:textId="7A8C5956" w:rsidR="006859B0" w:rsidRDefault="006859B0" w:rsidP="006859B0">
      <w:pPr>
        <w:spacing w:line="276" w:lineRule="auto"/>
      </w:pPr>
      <w:r>
        <w:t>The data</w:t>
      </w:r>
      <w:r w:rsidR="00551430">
        <w:t xml:space="preserve"> </w:t>
      </w:r>
      <w:r>
        <w:t xml:space="preserve">controller – i.e., the researcher, must take appropriate measures to </w:t>
      </w:r>
      <w:r w:rsidR="00C50D13" w:rsidRPr="00C50D13">
        <w:rPr>
          <w:b/>
          <w:bCs/>
        </w:rPr>
        <w:t>inform</w:t>
      </w:r>
      <w:r w:rsidR="00C50D13">
        <w:t xml:space="preserve"> the </w:t>
      </w:r>
      <w:r w:rsidR="00C50D13" w:rsidRPr="00C50D13">
        <w:rPr>
          <w:b/>
          <w:bCs/>
        </w:rPr>
        <w:t>participant</w:t>
      </w:r>
      <w:r w:rsidR="00C50D13">
        <w:t xml:space="preserve"> (see next, under Article 13)</w:t>
      </w:r>
      <w:r>
        <w:t xml:space="preserve"> and to </w:t>
      </w:r>
      <w:r w:rsidRPr="00C50D13">
        <w:rPr>
          <w:b/>
          <w:bCs/>
        </w:rPr>
        <w:t>communicate</w:t>
      </w:r>
      <w:r>
        <w:t xml:space="preserve"> </w:t>
      </w:r>
      <w:r w:rsidR="00C50D13">
        <w:t xml:space="preserve">that information in a </w:t>
      </w:r>
      <w:r w:rsidR="00C50D13" w:rsidRPr="00C50D13">
        <w:rPr>
          <w:b/>
          <w:bCs/>
        </w:rPr>
        <w:t>transparent</w:t>
      </w:r>
      <w:r w:rsidR="00C50D13">
        <w:t xml:space="preserve"> and </w:t>
      </w:r>
      <w:r w:rsidR="00C50D13" w:rsidRPr="00C50D13">
        <w:rPr>
          <w:b/>
          <w:bCs/>
        </w:rPr>
        <w:t>easily accessible form</w:t>
      </w:r>
      <w:r w:rsidR="00C50D13">
        <w:t xml:space="preserve">, using </w:t>
      </w:r>
      <w:r w:rsidR="00C50D13" w:rsidRPr="00C50D13">
        <w:rPr>
          <w:b/>
          <w:bCs/>
        </w:rPr>
        <w:t>clear</w:t>
      </w:r>
      <w:r w:rsidR="00C50D13">
        <w:t xml:space="preserve"> and </w:t>
      </w:r>
      <w:r w:rsidR="00C50D13" w:rsidRPr="00C50D13">
        <w:rPr>
          <w:b/>
          <w:bCs/>
        </w:rPr>
        <w:t>plain language</w:t>
      </w:r>
      <w:r w:rsidR="00C50D13">
        <w:t xml:space="preserve">. The researcher also </w:t>
      </w:r>
      <w:r w:rsidR="00C50D13" w:rsidRPr="00C50D13">
        <w:rPr>
          <w:b/>
          <w:bCs/>
        </w:rPr>
        <w:t>facilitates</w:t>
      </w:r>
      <w:r w:rsidR="00C50D13">
        <w:t xml:space="preserve"> the </w:t>
      </w:r>
      <w:r w:rsidR="00C50D13" w:rsidRPr="00C50D13">
        <w:rPr>
          <w:b/>
          <w:bCs/>
        </w:rPr>
        <w:t>exercises</w:t>
      </w:r>
      <w:r w:rsidR="00C50D13">
        <w:t xml:space="preserve"> of </w:t>
      </w:r>
      <w:r w:rsidR="00C50D13" w:rsidRPr="00C50D13">
        <w:rPr>
          <w:b/>
          <w:bCs/>
        </w:rPr>
        <w:t>data rights</w:t>
      </w:r>
      <w:r w:rsidR="00C50D13">
        <w:t xml:space="preserve"> (articles 15 – 22, see below). </w:t>
      </w:r>
    </w:p>
    <w:p w14:paraId="02EB0074" w14:textId="77777777" w:rsidR="0081489B" w:rsidRPr="006859B0" w:rsidRDefault="00000000">
      <w:pPr>
        <w:numPr>
          <w:ilvl w:val="0"/>
          <w:numId w:val="2"/>
        </w:numPr>
        <w:pBdr>
          <w:top w:val="nil"/>
          <w:left w:val="nil"/>
          <w:bottom w:val="nil"/>
          <w:right w:val="nil"/>
          <w:between w:val="nil"/>
        </w:pBdr>
        <w:spacing w:line="276" w:lineRule="auto"/>
        <w:rPr>
          <w:rFonts w:cstheme="majorHAnsi"/>
          <w:color w:val="000000"/>
        </w:rPr>
      </w:pPr>
      <w:r w:rsidRPr="006859B0">
        <w:rPr>
          <w:rFonts w:cstheme="majorHAnsi"/>
          <w:color w:val="000000"/>
        </w:rPr>
        <w:t xml:space="preserve">Article 13 – right to be </w:t>
      </w:r>
      <w:proofErr w:type="gramStart"/>
      <w:r w:rsidRPr="006859B0">
        <w:rPr>
          <w:rFonts w:cstheme="majorHAnsi"/>
          <w:color w:val="000000"/>
        </w:rPr>
        <w:t>informed</w:t>
      </w:r>
      <w:proofErr w:type="gramEnd"/>
      <w:r w:rsidRPr="006859B0">
        <w:rPr>
          <w:rFonts w:cstheme="majorHAnsi"/>
          <w:color w:val="000000"/>
        </w:rPr>
        <w:t xml:space="preserve"> </w:t>
      </w:r>
    </w:p>
    <w:p w14:paraId="0C7D237B" w14:textId="77777777" w:rsidR="0081489B" w:rsidRDefault="00000000">
      <w:pPr>
        <w:spacing w:line="276" w:lineRule="auto"/>
      </w:pPr>
      <w:r>
        <w:t xml:space="preserve">Individuals have the </w:t>
      </w:r>
      <w:r>
        <w:rPr>
          <w:b/>
        </w:rPr>
        <w:t>right to be informed</w:t>
      </w:r>
      <w:r>
        <w:t xml:space="preserve"> about the </w:t>
      </w:r>
      <w:r>
        <w:rPr>
          <w:b/>
        </w:rPr>
        <w:t>collection</w:t>
      </w:r>
      <w:r>
        <w:t xml:space="preserve"> and </w:t>
      </w:r>
      <w:r>
        <w:rPr>
          <w:b/>
        </w:rPr>
        <w:t>use of their personal data</w:t>
      </w:r>
      <w:r>
        <w:t xml:space="preserve">. They must be provided with information, including research purposes for processing their personal data and retention terms. This information should be made available to individuals </w:t>
      </w:r>
      <w:r>
        <w:rPr>
          <w:b/>
        </w:rPr>
        <w:t>at the time a researcher collects</w:t>
      </w:r>
      <w:r>
        <w:t xml:space="preserve"> their personal data. The information you provide to people must be </w:t>
      </w:r>
      <w:r>
        <w:rPr>
          <w:b/>
        </w:rPr>
        <w:t>concise</w:t>
      </w:r>
      <w:r>
        <w:t xml:space="preserve">, </w:t>
      </w:r>
      <w:r>
        <w:rPr>
          <w:b/>
        </w:rPr>
        <w:t>transparent</w:t>
      </w:r>
      <w:r>
        <w:t xml:space="preserve">, </w:t>
      </w:r>
      <w:r>
        <w:rPr>
          <w:b/>
        </w:rPr>
        <w:t>intelligible</w:t>
      </w:r>
      <w:r>
        <w:t xml:space="preserve">, </w:t>
      </w:r>
      <w:r>
        <w:rPr>
          <w:b/>
        </w:rPr>
        <w:t>easily accessible</w:t>
      </w:r>
      <w:r>
        <w:t xml:space="preserve">, and it must use </w:t>
      </w:r>
      <w:r>
        <w:rPr>
          <w:b/>
        </w:rPr>
        <w:t>clear</w:t>
      </w:r>
      <w:r>
        <w:t xml:space="preserve"> and </w:t>
      </w:r>
      <w:r>
        <w:rPr>
          <w:b/>
        </w:rPr>
        <w:t>plain language</w:t>
      </w:r>
      <w:r>
        <w:t>.</w:t>
      </w:r>
    </w:p>
    <w:p w14:paraId="37C6E826" w14:textId="77777777" w:rsidR="0081489B" w:rsidRDefault="00000000">
      <w:pPr>
        <w:spacing w:line="276" w:lineRule="auto"/>
      </w:pPr>
      <w:r>
        <w:lastRenderedPageBreak/>
        <w:t xml:space="preserve">Researchers in D3I will be provided with a </w:t>
      </w:r>
      <w:r>
        <w:rPr>
          <w:b/>
        </w:rPr>
        <w:t>template</w:t>
      </w:r>
      <w:r>
        <w:t xml:space="preserve"> for a </w:t>
      </w:r>
      <w:r>
        <w:rPr>
          <w:b/>
        </w:rPr>
        <w:t>privacy policy</w:t>
      </w:r>
      <w:r>
        <w:t xml:space="preserve"> that aims to </w:t>
      </w:r>
      <w:r>
        <w:rPr>
          <w:b/>
        </w:rPr>
        <w:t>inform potential research</w:t>
      </w:r>
      <w:r>
        <w:t xml:space="preserve"> </w:t>
      </w:r>
      <w:r>
        <w:rPr>
          <w:b/>
        </w:rPr>
        <w:t>participants</w:t>
      </w:r>
      <w:r>
        <w:t xml:space="preserve"> about what may be done with their data: the </w:t>
      </w:r>
      <w:r>
        <w:rPr>
          <w:b/>
        </w:rPr>
        <w:t>researcher</w:t>
      </w:r>
      <w:r>
        <w:t xml:space="preserve"> will </w:t>
      </w:r>
      <w:r>
        <w:rPr>
          <w:b/>
        </w:rPr>
        <w:t>share</w:t>
      </w:r>
      <w:r>
        <w:t xml:space="preserve"> this privacy policy in order to inform the individual about the topics mentioned in the previous paragraph. We (the legal support to the D3i project) will </w:t>
      </w:r>
      <w:r>
        <w:rPr>
          <w:b/>
        </w:rPr>
        <w:t>regularly review</w:t>
      </w:r>
      <w:r>
        <w:t xml:space="preserve">, and where necessary, </w:t>
      </w:r>
      <w:r>
        <w:rPr>
          <w:b/>
        </w:rPr>
        <w:t>update</w:t>
      </w:r>
      <w:r>
        <w:t xml:space="preserve"> the </w:t>
      </w:r>
      <w:r>
        <w:rPr>
          <w:b/>
        </w:rPr>
        <w:t>privacy policy template</w:t>
      </w:r>
      <w:r>
        <w:t xml:space="preserve">. Researchers also have to bring </w:t>
      </w:r>
      <w:r>
        <w:rPr>
          <w:b/>
        </w:rPr>
        <w:t>any new uses</w:t>
      </w:r>
      <w:r>
        <w:t xml:space="preserve"> of an individual’s personal data to their attention, before they can start the participant’s data processing. </w:t>
      </w:r>
    </w:p>
    <w:p w14:paraId="64C4C8B1" w14:textId="77777777" w:rsidR="0081489B" w:rsidRDefault="00000000">
      <w:pPr>
        <w:spacing w:line="276" w:lineRule="auto"/>
      </w:pPr>
      <w:r>
        <w:t xml:space="preserve">Getting the right to be informed correctly can help researchers to </w:t>
      </w:r>
      <w:r>
        <w:rPr>
          <w:b/>
        </w:rPr>
        <w:t>comply</w:t>
      </w:r>
      <w:r>
        <w:t xml:space="preserve"> with other aspects of the GDPR and </w:t>
      </w:r>
      <w:r>
        <w:rPr>
          <w:b/>
        </w:rPr>
        <w:t>build trust</w:t>
      </w:r>
      <w:r>
        <w:t xml:space="preserve"> with people. Getting it </w:t>
      </w:r>
      <w:r>
        <w:rPr>
          <w:b/>
        </w:rPr>
        <w:t>wrong</w:t>
      </w:r>
      <w:r>
        <w:t xml:space="preserve"> can leave you open to </w:t>
      </w:r>
      <w:r>
        <w:rPr>
          <w:b/>
        </w:rPr>
        <w:t>fines</w:t>
      </w:r>
      <w:r>
        <w:t xml:space="preserve"> and lead to </w:t>
      </w:r>
      <w:r>
        <w:rPr>
          <w:b/>
        </w:rPr>
        <w:t>reputational damage.</w:t>
      </w:r>
      <w:r>
        <w:t xml:space="preserve"> </w:t>
      </w:r>
    </w:p>
    <w:p w14:paraId="6C54297B" w14:textId="77777777" w:rsidR="0081489B" w:rsidRDefault="00000000">
      <w:pPr>
        <w:numPr>
          <w:ilvl w:val="0"/>
          <w:numId w:val="2"/>
        </w:numPr>
        <w:pBdr>
          <w:top w:val="nil"/>
          <w:left w:val="nil"/>
          <w:bottom w:val="nil"/>
          <w:right w:val="nil"/>
          <w:between w:val="nil"/>
        </w:pBdr>
        <w:spacing w:line="276" w:lineRule="auto"/>
        <w:rPr>
          <w:rFonts w:ascii="Calibri" w:hAnsi="Calibri"/>
          <w:color w:val="000000"/>
        </w:rPr>
      </w:pPr>
      <w:r>
        <w:rPr>
          <w:rFonts w:ascii="Calibri" w:hAnsi="Calibri"/>
          <w:color w:val="000000"/>
        </w:rPr>
        <w:t>Article 15 – data access</w:t>
      </w:r>
    </w:p>
    <w:p w14:paraId="73C84532" w14:textId="77777777" w:rsidR="0081489B" w:rsidRDefault="00000000">
      <w:pPr>
        <w:spacing w:line="276" w:lineRule="auto"/>
      </w:pPr>
      <w:r>
        <w:t xml:space="preserve">The right of access to one’s personal data gives individuals the </w:t>
      </w:r>
      <w:r>
        <w:rPr>
          <w:b/>
        </w:rPr>
        <w:t xml:space="preserve">right to obtain </w:t>
      </w:r>
      <w:r>
        <w:t>a</w:t>
      </w:r>
      <w:r>
        <w:rPr>
          <w:b/>
        </w:rPr>
        <w:t xml:space="preserve"> copy </w:t>
      </w:r>
      <w:r>
        <w:t xml:space="preserve">of their </w:t>
      </w:r>
      <w:r>
        <w:rPr>
          <w:b/>
        </w:rPr>
        <w:t>personal data</w:t>
      </w:r>
      <w:r>
        <w:t xml:space="preserve">, as well as other supplementary information. It helps them to </w:t>
      </w:r>
      <w:r>
        <w:rPr>
          <w:b/>
        </w:rPr>
        <w:t>understand</w:t>
      </w:r>
      <w:r>
        <w:t xml:space="preserve"> how and why a data controller – for instance, a company offering a search engine – is </w:t>
      </w:r>
      <w:r>
        <w:rPr>
          <w:b/>
        </w:rPr>
        <w:t>using</w:t>
      </w:r>
      <w:r>
        <w:t xml:space="preserve"> their data, and check </w:t>
      </w:r>
      <w:r>
        <w:rPr>
          <w:b/>
        </w:rPr>
        <w:t>whether</w:t>
      </w:r>
      <w:r>
        <w:t xml:space="preserve"> the </w:t>
      </w:r>
      <w:r>
        <w:rPr>
          <w:b/>
        </w:rPr>
        <w:t>data</w:t>
      </w:r>
      <w:r>
        <w:t xml:space="preserve"> is processed </w:t>
      </w:r>
      <w:r>
        <w:rPr>
          <w:b/>
        </w:rPr>
        <w:t>lawfully</w:t>
      </w:r>
      <w:r>
        <w:t>.</w:t>
      </w:r>
    </w:p>
    <w:p w14:paraId="6513968F" w14:textId="77777777" w:rsidR="0081489B" w:rsidRDefault="00000000">
      <w:pPr>
        <w:numPr>
          <w:ilvl w:val="0"/>
          <w:numId w:val="2"/>
        </w:numPr>
        <w:pBdr>
          <w:top w:val="nil"/>
          <w:left w:val="nil"/>
          <w:bottom w:val="nil"/>
          <w:right w:val="nil"/>
          <w:between w:val="nil"/>
        </w:pBdr>
        <w:spacing w:line="276" w:lineRule="auto"/>
        <w:rPr>
          <w:rFonts w:ascii="Calibri" w:hAnsi="Calibri"/>
          <w:color w:val="000000"/>
        </w:rPr>
      </w:pPr>
      <w:r>
        <w:rPr>
          <w:rFonts w:ascii="Calibri" w:hAnsi="Calibri"/>
          <w:color w:val="000000"/>
        </w:rPr>
        <w:t>Article 16 – rectification</w:t>
      </w:r>
    </w:p>
    <w:p w14:paraId="3B83CE7B" w14:textId="77777777" w:rsidR="0081489B" w:rsidRDefault="00000000">
      <w:pPr>
        <w:spacing w:before="280" w:after="280" w:line="276" w:lineRule="auto"/>
        <w:jc w:val="left"/>
      </w:pPr>
      <w:r>
        <w:rPr>
          <w:color w:val="000000"/>
        </w:rPr>
        <w:t xml:space="preserve">The GDPR includes a right for individuals </w:t>
      </w:r>
      <w:r>
        <w:rPr>
          <w:b/>
          <w:color w:val="000000"/>
        </w:rPr>
        <w:t>to have inaccurate personal data rectified</w:t>
      </w:r>
      <w:r>
        <w:rPr>
          <w:color w:val="000000"/>
        </w:rPr>
        <w:t xml:space="preserve">, or </w:t>
      </w:r>
      <w:r>
        <w:rPr>
          <w:b/>
          <w:color w:val="000000"/>
        </w:rPr>
        <w:t>completed</w:t>
      </w:r>
      <w:r>
        <w:rPr>
          <w:color w:val="000000"/>
        </w:rPr>
        <w:t xml:space="preserve"> if it is incomplete. This right is closely related to the controller’s obligation under the accuracy principle mentioned in §2.2. </w:t>
      </w:r>
    </w:p>
    <w:p w14:paraId="4A95190D" w14:textId="77777777" w:rsidR="0081489B" w:rsidRDefault="00000000">
      <w:pPr>
        <w:numPr>
          <w:ilvl w:val="0"/>
          <w:numId w:val="2"/>
        </w:numPr>
        <w:pBdr>
          <w:top w:val="nil"/>
          <w:left w:val="nil"/>
          <w:bottom w:val="nil"/>
          <w:right w:val="nil"/>
          <w:between w:val="nil"/>
        </w:pBdr>
        <w:spacing w:line="276" w:lineRule="auto"/>
        <w:rPr>
          <w:rFonts w:ascii="Calibri" w:hAnsi="Calibri"/>
          <w:color w:val="000000"/>
        </w:rPr>
      </w:pPr>
      <w:r>
        <w:rPr>
          <w:rFonts w:ascii="Calibri" w:hAnsi="Calibri"/>
          <w:color w:val="000000"/>
        </w:rPr>
        <w:t>Article 22 – automated decision-making and profiling</w:t>
      </w:r>
    </w:p>
    <w:p w14:paraId="54EEF5CB" w14:textId="77777777" w:rsidR="0081489B" w:rsidRDefault="00000000">
      <w:pPr>
        <w:spacing w:before="280" w:after="280" w:line="276" w:lineRule="auto"/>
        <w:jc w:val="left"/>
        <w:rPr>
          <w:color w:val="000000"/>
        </w:rPr>
      </w:pPr>
      <w:r>
        <w:rPr>
          <w:color w:val="000000"/>
        </w:rPr>
        <w:t xml:space="preserve">The GDPR applies </w:t>
      </w:r>
      <w:r>
        <w:rPr>
          <w:b/>
          <w:color w:val="000000"/>
        </w:rPr>
        <w:t>automated individual decision-making</w:t>
      </w:r>
      <w:r>
        <w:rPr>
          <w:color w:val="000000"/>
        </w:rPr>
        <w:t xml:space="preserve"> (</w:t>
      </w:r>
      <w:proofErr w:type="gramStart"/>
      <w:r>
        <w:rPr>
          <w:color w:val="000000"/>
        </w:rPr>
        <w:t>making a decision</w:t>
      </w:r>
      <w:proofErr w:type="gramEnd"/>
      <w:r>
        <w:rPr>
          <w:color w:val="000000"/>
        </w:rPr>
        <w:t xml:space="preserve"> solely by automated means without any human involvement) and on </w:t>
      </w:r>
      <w:r>
        <w:rPr>
          <w:b/>
          <w:color w:val="000000"/>
        </w:rPr>
        <w:t>profiling</w:t>
      </w:r>
      <w:r>
        <w:rPr>
          <w:color w:val="000000"/>
        </w:rPr>
        <w:t xml:space="preserve"> (automated processing of personal data to evaluate certain things about an individual). The GDPR has additional rules to protect individuals whenever a controller carries out solely automated decision-making that has </w:t>
      </w:r>
      <w:r>
        <w:rPr>
          <w:b/>
          <w:color w:val="000000"/>
        </w:rPr>
        <w:t>legal</w:t>
      </w:r>
      <w:r>
        <w:rPr>
          <w:color w:val="000000"/>
        </w:rPr>
        <w:t xml:space="preserve"> or </w:t>
      </w:r>
      <w:r>
        <w:rPr>
          <w:b/>
          <w:color w:val="000000"/>
        </w:rPr>
        <w:t>similarly significant effects</w:t>
      </w:r>
      <w:r>
        <w:rPr>
          <w:color w:val="000000"/>
        </w:rPr>
        <w:t xml:space="preserve"> on </w:t>
      </w:r>
      <w:r>
        <w:rPr>
          <w:b/>
          <w:color w:val="000000"/>
        </w:rPr>
        <w:t>individuals</w:t>
      </w:r>
      <w:r>
        <w:rPr>
          <w:color w:val="000000"/>
        </w:rPr>
        <w:t xml:space="preserve">. This type of decision-making can only be used by researchers </w:t>
      </w:r>
      <w:r>
        <w:t>in a D3I-</w:t>
      </w:r>
      <w:r>
        <w:rPr>
          <w:color w:val="000000"/>
        </w:rPr>
        <w:t xml:space="preserve"> context where the decision is based on the individual’s </w:t>
      </w:r>
      <w:r>
        <w:rPr>
          <w:b/>
          <w:color w:val="000000"/>
        </w:rPr>
        <w:t>explicit consent</w:t>
      </w:r>
      <w:r>
        <w:rPr>
          <w:color w:val="000000"/>
        </w:rPr>
        <w:t>.</w:t>
      </w:r>
    </w:p>
    <w:p w14:paraId="6E584010" w14:textId="77777777" w:rsidR="0081489B" w:rsidRDefault="00000000">
      <w:pPr>
        <w:spacing w:before="280" w:after="280" w:line="276" w:lineRule="auto"/>
        <w:jc w:val="left"/>
        <w:rPr>
          <w:color w:val="000000"/>
        </w:rPr>
      </w:pPr>
      <w:r>
        <w:rPr>
          <w:color w:val="000000"/>
        </w:rPr>
        <w:t xml:space="preserve">We however expect that </w:t>
      </w:r>
      <w:r>
        <w:rPr>
          <w:b/>
          <w:color w:val="000000"/>
        </w:rPr>
        <w:t xml:space="preserve">research </w:t>
      </w:r>
      <w:r>
        <w:rPr>
          <w:color w:val="000000"/>
        </w:rPr>
        <w:t>in the context of</w:t>
      </w:r>
      <w:r>
        <w:rPr>
          <w:b/>
          <w:color w:val="000000"/>
        </w:rPr>
        <w:t xml:space="preserve"> D3I</w:t>
      </w:r>
      <w:r>
        <w:rPr>
          <w:color w:val="000000"/>
        </w:rPr>
        <w:t xml:space="preserve"> will </w:t>
      </w:r>
      <w:r>
        <w:rPr>
          <w:b/>
          <w:color w:val="000000"/>
          <w:u w:val="single"/>
        </w:rPr>
        <w:t>not</w:t>
      </w:r>
      <w:r>
        <w:rPr>
          <w:color w:val="000000"/>
        </w:rPr>
        <w:t xml:space="preserve"> have </w:t>
      </w:r>
      <w:r>
        <w:rPr>
          <w:b/>
          <w:color w:val="000000"/>
        </w:rPr>
        <w:t>any legal</w:t>
      </w:r>
      <w:r>
        <w:rPr>
          <w:color w:val="000000"/>
        </w:rPr>
        <w:t xml:space="preserve"> or </w:t>
      </w:r>
      <w:r>
        <w:rPr>
          <w:b/>
          <w:color w:val="000000"/>
        </w:rPr>
        <w:t>similar</w:t>
      </w:r>
      <w:r>
        <w:rPr>
          <w:color w:val="000000"/>
        </w:rPr>
        <w:t xml:space="preserve">, </w:t>
      </w:r>
      <w:r>
        <w:rPr>
          <w:b/>
          <w:color w:val="000000"/>
        </w:rPr>
        <w:t>significant effect</w:t>
      </w:r>
      <w:r>
        <w:rPr>
          <w:color w:val="000000"/>
        </w:rPr>
        <w:t xml:space="preserve"> to the </w:t>
      </w:r>
      <w:r>
        <w:rPr>
          <w:b/>
          <w:color w:val="000000"/>
        </w:rPr>
        <w:t>participants</w:t>
      </w:r>
      <w:r>
        <w:rPr>
          <w:color w:val="000000"/>
        </w:rPr>
        <w:t xml:space="preserve"> involved in the </w:t>
      </w:r>
      <w:r>
        <w:rPr>
          <w:b/>
          <w:color w:val="000000"/>
        </w:rPr>
        <w:t>research</w:t>
      </w:r>
      <w:r>
        <w:rPr>
          <w:color w:val="000000"/>
        </w:rPr>
        <w:t>. When in doubt, the researcher should consult the Data Protection Officer (DPO) of their faculty/university.</w:t>
      </w:r>
    </w:p>
    <w:p w14:paraId="4A9EA56A" w14:textId="77777777" w:rsidR="0081489B" w:rsidRDefault="00000000">
      <w:pPr>
        <w:pStyle w:val="Heading3"/>
        <w:spacing w:line="276" w:lineRule="auto"/>
      </w:pPr>
      <w:r>
        <w:t>2.5.2</w:t>
      </w:r>
      <w:r>
        <w:tab/>
        <w:t>The key role of data rights exercises in D3!</w:t>
      </w:r>
    </w:p>
    <w:p w14:paraId="433CBA3C" w14:textId="77777777" w:rsidR="0081489B" w:rsidRDefault="0081489B">
      <w:pPr>
        <w:spacing w:line="276" w:lineRule="auto"/>
      </w:pPr>
    </w:p>
    <w:p w14:paraId="0BC16AC3" w14:textId="77777777" w:rsidR="0081489B" w:rsidRDefault="00000000">
      <w:pPr>
        <w:spacing w:line="276" w:lineRule="auto"/>
      </w:pPr>
      <w:r>
        <w:t xml:space="preserve">Data rights sit at the core of the D3I-initiative. </w:t>
      </w:r>
      <w:r>
        <w:rPr>
          <w:b/>
        </w:rPr>
        <w:t>Research participants</w:t>
      </w:r>
      <w:r>
        <w:t xml:space="preserve"> exercise their </w:t>
      </w:r>
      <w:r>
        <w:rPr>
          <w:b/>
        </w:rPr>
        <w:t>right of access</w:t>
      </w:r>
      <w:r>
        <w:t xml:space="preserve"> to their data towards </w:t>
      </w:r>
      <w:r>
        <w:rPr>
          <w:b/>
        </w:rPr>
        <w:t xml:space="preserve">social media providers </w:t>
      </w:r>
      <w:r>
        <w:t>and other</w:t>
      </w:r>
      <w:r>
        <w:rPr>
          <w:b/>
        </w:rPr>
        <w:t xml:space="preserve"> organisations </w:t>
      </w:r>
      <w:r>
        <w:t>holding their</w:t>
      </w:r>
      <w:r>
        <w:rPr>
          <w:b/>
        </w:rPr>
        <w:t xml:space="preserve"> personal data</w:t>
      </w:r>
      <w:r>
        <w:t xml:space="preserve">. These organisations, being data controllers, </w:t>
      </w:r>
      <w:r>
        <w:rPr>
          <w:b/>
        </w:rPr>
        <w:t>must comply</w:t>
      </w:r>
      <w:r>
        <w:t xml:space="preserve"> with such </w:t>
      </w:r>
      <w:r>
        <w:rPr>
          <w:b/>
        </w:rPr>
        <w:t>data access</w:t>
      </w:r>
      <w:r>
        <w:t xml:space="preserve"> </w:t>
      </w:r>
      <w:r>
        <w:rPr>
          <w:b/>
        </w:rPr>
        <w:t>requests</w:t>
      </w:r>
      <w:r>
        <w:t xml:space="preserve"> whenever they receive such a request, i.e., they have to respond to such requests within one month. Many organisations have some form of procedure in place that helps the organisation to identify and transmit the response to the data subject, i.e., the participant partaking in D3i-research. The </w:t>
      </w:r>
      <w:r>
        <w:rPr>
          <w:b/>
        </w:rPr>
        <w:t>transmits</w:t>
      </w:r>
      <w:r>
        <w:t xml:space="preserve"> the responses to the </w:t>
      </w:r>
      <w:r>
        <w:rPr>
          <w:b/>
        </w:rPr>
        <w:t>researcher</w:t>
      </w:r>
      <w:r>
        <w:t xml:space="preserve">. </w:t>
      </w:r>
    </w:p>
    <w:p w14:paraId="162981F3" w14:textId="77777777" w:rsidR="0081489B" w:rsidRDefault="0081489B">
      <w:pPr>
        <w:pStyle w:val="Heading3"/>
        <w:spacing w:line="276" w:lineRule="auto"/>
      </w:pPr>
    </w:p>
    <w:p w14:paraId="516B0937" w14:textId="77777777" w:rsidR="0081489B" w:rsidRDefault="00000000">
      <w:pPr>
        <w:pStyle w:val="Heading3"/>
        <w:spacing w:line="276" w:lineRule="auto"/>
      </w:pPr>
      <w:r>
        <w:t xml:space="preserve">2.5.3 </w:t>
      </w:r>
      <w:r>
        <w:tab/>
        <w:t>Exceptions for scientific research to data rights</w:t>
      </w:r>
    </w:p>
    <w:p w14:paraId="124D56D4" w14:textId="77777777" w:rsidR="0081489B" w:rsidRDefault="0081489B">
      <w:pPr>
        <w:spacing w:line="276" w:lineRule="auto"/>
      </w:pPr>
    </w:p>
    <w:p w14:paraId="3C08C04F" w14:textId="77777777" w:rsidR="0081489B" w:rsidRDefault="00000000">
      <w:pPr>
        <w:spacing w:line="276" w:lineRule="auto"/>
      </w:pPr>
      <w:r>
        <w:rPr>
          <w:b/>
        </w:rPr>
        <w:lastRenderedPageBreak/>
        <w:t>As a rule</w:t>
      </w:r>
      <w:r>
        <w:t xml:space="preserve">, GDPR’s data rights also apply to scientific researchers. Whenever a researcher receives a data access request, they must respond without delay and </w:t>
      </w:r>
      <w:r>
        <w:rPr>
          <w:b/>
        </w:rPr>
        <w:t>within one month of receipt</w:t>
      </w:r>
      <w:r>
        <w:t xml:space="preserve"> of the request. The response might be extended by a </w:t>
      </w:r>
      <w:r>
        <w:rPr>
          <w:b/>
        </w:rPr>
        <w:t>further two months</w:t>
      </w:r>
      <w:r>
        <w:t xml:space="preserve"> if the request is </w:t>
      </w:r>
      <w:r>
        <w:rPr>
          <w:b/>
        </w:rPr>
        <w:t>complex</w:t>
      </w:r>
      <w:r>
        <w:t xml:space="preserve"> or if the researcher receives </w:t>
      </w:r>
      <w:r>
        <w:rPr>
          <w:b/>
        </w:rPr>
        <w:t>a number of requests</w:t>
      </w:r>
      <w:r>
        <w:t xml:space="preserve"> from the </w:t>
      </w:r>
      <w:r>
        <w:rPr>
          <w:b/>
        </w:rPr>
        <w:t>individual</w:t>
      </w:r>
      <w:r>
        <w:t xml:space="preserve">. </w:t>
      </w:r>
    </w:p>
    <w:p w14:paraId="36C66081" w14:textId="77777777" w:rsidR="0081489B" w:rsidRDefault="00000000">
      <w:pPr>
        <w:spacing w:line="276" w:lineRule="auto"/>
      </w:pPr>
      <w:r>
        <w:t xml:space="preserve">The GDPR however outlines </w:t>
      </w:r>
      <w:r>
        <w:rPr>
          <w:b/>
        </w:rPr>
        <w:t>specific conditions</w:t>
      </w:r>
      <w:r>
        <w:t xml:space="preserve"> under which </w:t>
      </w:r>
      <w:r>
        <w:rPr>
          <w:b/>
        </w:rPr>
        <w:t>EU or Member State law</w:t>
      </w:r>
      <w:r>
        <w:t xml:space="preserve"> </w:t>
      </w:r>
      <w:r>
        <w:rPr>
          <w:b/>
        </w:rPr>
        <w:t>may derogate</w:t>
      </w:r>
      <w:r>
        <w:t xml:space="preserve"> from the data subject’s </w:t>
      </w:r>
      <w:r>
        <w:rPr>
          <w:b/>
        </w:rPr>
        <w:t xml:space="preserve">right of </w:t>
      </w:r>
      <w:r>
        <w:rPr>
          <w:b/>
          <w:u w:val="single"/>
        </w:rPr>
        <w:t>access</w:t>
      </w:r>
      <w:r>
        <w:t xml:space="preserve"> (Article 15), </w:t>
      </w:r>
      <w:r>
        <w:rPr>
          <w:b/>
        </w:rPr>
        <w:t xml:space="preserve">right to </w:t>
      </w:r>
      <w:r>
        <w:rPr>
          <w:b/>
          <w:u w:val="single"/>
        </w:rPr>
        <w:t>rectification</w:t>
      </w:r>
      <w:r>
        <w:t xml:space="preserve"> (Article 16), </w:t>
      </w:r>
      <w:r>
        <w:rPr>
          <w:b/>
        </w:rPr>
        <w:t>right to restriction</w:t>
      </w:r>
      <w:r>
        <w:t xml:space="preserve"> (Article 18) and </w:t>
      </w:r>
      <w:r>
        <w:rPr>
          <w:b/>
        </w:rPr>
        <w:t>right to object</w:t>
      </w:r>
      <w:r>
        <w:t xml:space="preserve"> (Article 21). In the context of </w:t>
      </w:r>
      <w:r>
        <w:rPr>
          <w:b/>
        </w:rPr>
        <w:t>research conducted in D3I</w:t>
      </w:r>
      <w:r>
        <w:t xml:space="preserve">, only the right of </w:t>
      </w:r>
      <w:r>
        <w:rPr>
          <w:b/>
        </w:rPr>
        <w:t>access</w:t>
      </w:r>
      <w:r>
        <w:t xml:space="preserve"> and the right to </w:t>
      </w:r>
      <w:r>
        <w:rPr>
          <w:b/>
        </w:rPr>
        <w:t>rectification</w:t>
      </w:r>
      <w:r>
        <w:t xml:space="preserve"> are relevant. Depending on what the </w:t>
      </w:r>
      <w:r>
        <w:rPr>
          <w:b/>
        </w:rPr>
        <w:t>national legislator determined</w:t>
      </w:r>
      <w:r>
        <w:t xml:space="preserve">, these derogations apply </w:t>
      </w:r>
      <w:r>
        <w:rPr>
          <w:b/>
        </w:rPr>
        <w:t>also</w:t>
      </w:r>
      <w:r>
        <w:t xml:space="preserve"> to </w:t>
      </w:r>
      <w:r>
        <w:rPr>
          <w:b/>
        </w:rPr>
        <w:t>scientific research</w:t>
      </w:r>
      <w:r>
        <w:t xml:space="preserve"> and thus to research carried out in the context of </w:t>
      </w:r>
      <w:r>
        <w:rPr>
          <w:b/>
        </w:rPr>
        <w:t>D3I</w:t>
      </w:r>
      <w:r>
        <w:t xml:space="preserve">. </w:t>
      </w:r>
    </w:p>
    <w:p w14:paraId="73710B7A" w14:textId="77777777" w:rsidR="0081489B" w:rsidRDefault="00000000">
      <w:pPr>
        <w:spacing w:line="276" w:lineRule="auto"/>
      </w:pPr>
      <w:r>
        <w:t xml:space="preserve">In the </w:t>
      </w:r>
      <w:r>
        <w:rPr>
          <w:b/>
        </w:rPr>
        <w:t>Netherlands</w:t>
      </w:r>
      <w:r>
        <w:t xml:space="preserve">, the legislator created a </w:t>
      </w:r>
      <w:r>
        <w:rPr>
          <w:b/>
        </w:rPr>
        <w:t>possibility</w:t>
      </w:r>
      <w:r>
        <w:t xml:space="preserve"> for researchers to </w:t>
      </w:r>
      <w:r>
        <w:rPr>
          <w:b/>
        </w:rPr>
        <w:t>derogate</w:t>
      </w:r>
      <w:r>
        <w:t xml:space="preserve"> from the data rights; however, it </w:t>
      </w:r>
      <w:r>
        <w:rPr>
          <w:b/>
        </w:rPr>
        <w:t>left</w:t>
      </w:r>
      <w:r>
        <w:t xml:space="preserve"> to the </w:t>
      </w:r>
      <w:r>
        <w:rPr>
          <w:b/>
        </w:rPr>
        <w:t>universities</w:t>
      </w:r>
      <w:r>
        <w:t xml:space="preserve"> how these derogations can be </w:t>
      </w:r>
      <w:r>
        <w:rPr>
          <w:b/>
        </w:rPr>
        <w:t>practically</w:t>
      </w:r>
      <w:r>
        <w:t xml:space="preserve"> implemented.</w:t>
      </w:r>
      <w:r>
        <w:rPr>
          <w:vertAlign w:val="superscript"/>
        </w:rPr>
        <w:footnoteReference w:id="11"/>
      </w:r>
      <w:r>
        <w:t xml:space="preserve"> The </w:t>
      </w:r>
      <w:r>
        <w:rPr>
          <w:b/>
        </w:rPr>
        <w:t>University of Amsterdam</w:t>
      </w:r>
      <w:r>
        <w:t xml:space="preserve"> leaves this </w:t>
      </w:r>
      <w:r>
        <w:rPr>
          <w:b/>
        </w:rPr>
        <w:t xml:space="preserve">choice </w:t>
      </w:r>
      <w:r>
        <w:t xml:space="preserve">to the </w:t>
      </w:r>
      <w:r>
        <w:rPr>
          <w:b/>
        </w:rPr>
        <w:t>individual researcher</w:t>
      </w:r>
      <w:r>
        <w:t xml:space="preserve">, but it </w:t>
      </w:r>
      <w:r>
        <w:rPr>
          <w:b/>
        </w:rPr>
        <w:t>encourages researchers</w:t>
      </w:r>
      <w:r>
        <w:t xml:space="preserve"> to </w:t>
      </w:r>
      <w:r>
        <w:rPr>
          <w:b/>
        </w:rPr>
        <w:t xml:space="preserve">comply </w:t>
      </w:r>
      <w:r>
        <w:t xml:space="preserve">with the </w:t>
      </w:r>
      <w:r>
        <w:rPr>
          <w:b/>
        </w:rPr>
        <w:t>requirements</w:t>
      </w:r>
      <w:r>
        <w:t xml:space="preserve"> (and to</w:t>
      </w:r>
      <w:r>
        <w:rPr>
          <w:b/>
        </w:rPr>
        <w:t xml:space="preserve"> not use</w:t>
      </w:r>
      <w:r>
        <w:t xml:space="preserve"> the </w:t>
      </w:r>
      <w:r>
        <w:rPr>
          <w:b/>
        </w:rPr>
        <w:t>derogation</w:t>
      </w:r>
      <w:r>
        <w:t>).</w:t>
      </w:r>
    </w:p>
    <w:p w14:paraId="52D2469F" w14:textId="77777777" w:rsidR="0081489B" w:rsidRDefault="00000000">
      <w:pPr>
        <w:spacing w:line="276" w:lineRule="auto"/>
      </w:pPr>
      <w:r>
        <w:t xml:space="preserve">It is important to realise that the </w:t>
      </w:r>
      <w:r>
        <w:rPr>
          <w:b/>
        </w:rPr>
        <w:t>rights of access</w:t>
      </w:r>
      <w:r>
        <w:t xml:space="preserve"> and </w:t>
      </w:r>
      <w:r>
        <w:rPr>
          <w:b/>
        </w:rPr>
        <w:t>rectification</w:t>
      </w:r>
      <w:r>
        <w:t xml:space="preserve"> are set out in the </w:t>
      </w:r>
      <w:r>
        <w:rPr>
          <w:b/>
        </w:rPr>
        <w:t>EU-Charter of fundamental rights</w:t>
      </w:r>
      <w:r>
        <w:t xml:space="preserve"> and that they are therefore generally considered </w:t>
      </w:r>
      <w:r>
        <w:rPr>
          <w:b/>
        </w:rPr>
        <w:t>essential elements</w:t>
      </w:r>
      <w:r>
        <w:t xml:space="preserve"> of the right to the </w:t>
      </w:r>
      <w:r>
        <w:rPr>
          <w:b/>
        </w:rPr>
        <w:t>protection of personal data</w:t>
      </w:r>
      <w:r>
        <w:t xml:space="preserve">. In other words, they have the </w:t>
      </w:r>
      <w:r>
        <w:rPr>
          <w:b/>
        </w:rPr>
        <w:t>status of fundamental rights</w:t>
      </w:r>
      <w:r>
        <w:t xml:space="preserve">, which generally require </w:t>
      </w:r>
      <w:r>
        <w:rPr>
          <w:b/>
        </w:rPr>
        <w:t>very weighty reasons to derogate from</w:t>
      </w:r>
      <w:r>
        <w:t xml:space="preserve">. </w:t>
      </w:r>
    </w:p>
    <w:p w14:paraId="67EC32FA" w14:textId="77777777" w:rsidR="0081489B" w:rsidRDefault="00000000">
      <w:pPr>
        <w:spacing w:line="276" w:lineRule="auto"/>
      </w:pPr>
      <w:r>
        <w:t xml:space="preserve">The </w:t>
      </w:r>
      <w:r>
        <w:rPr>
          <w:b/>
        </w:rPr>
        <w:t xml:space="preserve">right of </w:t>
      </w:r>
      <w:r>
        <w:rPr>
          <w:b/>
          <w:u w:val="single"/>
        </w:rPr>
        <w:t>access</w:t>
      </w:r>
      <w:r>
        <w:t xml:space="preserve"> is of particular </w:t>
      </w:r>
      <w:r>
        <w:rPr>
          <w:b/>
        </w:rPr>
        <w:t xml:space="preserve">importance </w:t>
      </w:r>
      <w:r>
        <w:t xml:space="preserve">as it </w:t>
      </w:r>
      <w:r>
        <w:rPr>
          <w:b/>
        </w:rPr>
        <w:t>enables the data subjects</w:t>
      </w:r>
      <w:r>
        <w:t xml:space="preserve"> to </w:t>
      </w:r>
      <w:r>
        <w:rPr>
          <w:b/>
          <w:u w:val="single"/>
        </w:rPr>
        <w:t>exercise all other data rights</w:t>
      </w:r>
      <w:r>
        <w:t xml:space="preserve"> provided for the GDPR. Therefore, </w:t>
      </w:r>
      <w:r>
        <w:rPr>
          <w:b/>
        </w:rPr>
        <w:t xml:space="preserve">any derogation </w:t>
      </w:r>
      <w:r>
        <w:t xml:space="preserve">from these essential data subject rights must be subject to a </w:t>
      </w:r>
      <w:r>
        <w:rPr>
          <w:b/>
        </w:rPr>
        <w:t>high level of scrutiny</w:t>
      </w:r>
      <w:r>
        <w:t xml:space="preserve">.  </w:t>
      </w:r>
    </w:p>
    <w:p w14:paraId="6B6C8C44" w14:textId="77777777" w:rsidR="0081489B" w:rsidRDefault="0081489B">
      <w:pPr>
        <w:spacing w:line="276" w:lineRule="auto"/>
      </w:pPr>
    </w:p>
    <w:p w14:paraId="3E4DF8AD" w14:textId="77777777" w:rsidR="0081489B" w:rsidRDefault="00000000">
      <w:pPr>
        <w:pStyle w:val="Heading2"/>
        <w:spacing w:line="276" w:lineRule="auto"/>
      </w:pPr>
      <w:r>
        <w:t>Annex 1 – text of Article 89 GDPR (derogations for scientific research)</w:t>
      </w:r>
    </w:p>
    <w:p w14:paraId="5049D4F2" w14:textId="77777777" w:rsidR="0081489B" w:rsidRDefault="0081489B">
      <w:pPr>
        <w:spacing w:line="276" w:lineRule="auto"/>
      </w:pPr>
    </w:p>
    <w:p w14:paraId="3B7B286C" w14:textId="77777777" w:rsidR="0081489B" w:rsidRDefault="00000000">
      <w:pPr>
        <w:spacing w:line="276" w:lineRule="auto"/>
      </w:pPr>
      <w:r>
        <w:t>Article 89 of the GDPR provides for flexibility in the obligations on controllers and an emphasis on safeguards and accountability:</w:t>
      </w:r>
    </w:p>
    <w:p w14:paraId="7ECA8F46" w14:textId="77777777" w:rsidR="0081489B" w:rsidRDefault="00000000">
      <w:pPr>
        <w:spacing w:line="276" w:lineRule="auto"/>
      </w:pPr>
      <w:r>
        <w:t>Article 89 GDPR</w:t>
      </w:r>
    </w:p>
    <w:p w14:paraId="3BE75AAE" w14:textId="77777777" w:rsidR="0081489B" w:rsidRDefault="00000000">
      <w:pPr>
        <w:spacing w:line="276" w:lineRule="auto"/>
      </w:pPr>
      <w:r>
        <w:t xml:space="preserve">1. </w:t>
      </w:r>
      <w:r>
        <w:rPr>
          <w:b/>
        </w:rPr>
        <w:t>Processing</w:t>
      </w:r>
      <w:r>
        <w:t xml:space="preserve"> for archiving purposes in the public interest, </w:t>
      </w:r>
      <w:r>
        <w:rPr>
          <w:b/>
        </w:rPr>
        <w:t xml:space="preserve">scientific </w:t>
      </w:r>
      <w:r>
        <w:t xml:space="preserve">or historical research purposes or statistical purposes, shall be subject to appropriate safeguards, in accordance with this Regulation, for the rights and freedoms of the data subject. Those safeguards shall ensure that </w:t>
      </w:r>
      <w:r>
        <w:rPr>
          <w:b/>
        </w:rPr>
        <w:t>technical and organisational</w:t>
      </w:r>
      <w:r>
        <w:t xml:space="preserve"> measures are in place in particular in order to ensure respect for the principle of </w:t>
      </w:r>
      <w:r>
        <w:rPr>
          <w:b/>
        </w:rPr>
        <w:t>data minimisation</w:t>
      </w:r>
      <w:r>
        <w:t xml:space="preserve">. Those measures may include </w:t>
      </w:r>
      <w:r>
        <w:rPr>
          <w:b/>
        </w:rPr>
        <w:t>pseudonymisation</w:t>
      </w:r>
      <w:r>
        <w:t xml:space="preserve"> provided that those purposes can be fulfilled in that manner. Where those purposes can be fulfilled by </w:t>
      </w:r>
      <w:r>
        <w:rPr>
          <w:b/>
        </w:rPr>
        <w:t>further processing</w:t>
      </w:r>
      <w:r>
        <w:t xml:space="preserve"> which does not permit or no </w:t>
      </w:r>
      <w:r>
        <w:rPr>
          <w:b/>
        </w:rPr>
        <w:t>longer permits the identification</w:t>
      </w:r>
      <w:r>
        <w:t xml:space="preserve"> of data subjects, those purposes shall be fulfilled in that manner.</w:t>
      </w:r>
    </w:p>
    <w:p w14:paraId="358E8E91" w14:textId="77777777" w:rsidR="0081489B" w:rsidRDefault="00000000">
      <w:pPr>
        <w:spacing w:line="276" w:lineRule="auto"/>
      </w:pPr>
      <w:r>
        <w:t xml:space="preserve">2. Where personal data are processed for scientific or historical research purposes or statistical purposes, Union or Member State law may provide for </w:t>
      </w:r>
      <w:r>
        <w:rPr>
          <w:b/>
        </w:rPr>
        <w:t>derogations</w:t>
      </w:r>
      <w:r>
        <w:t xml:space="preserve"> from the rights referred to in </w:t>
      </w:r>
      <w:r>
        <w:rPr>
          <w:b/>
        </w:rPr>
        <w:t>Articles 15, 16, 18</w:t>
      </w:r>
      <w:r>
        <w:t xml:space="preserve"> and </w:t>
      </w:r>
      <w:r>
        <w:rPr>
          <w:b/>
        </w:rPr>
        <w:t>21</w:t>
      </w:r>
      <w:r>
        <w:t xml:space="preserve"> subject to the </w:t>
      </w:r>
      <w:r>
        <w:rPr>
          <w:b/>
        </w:rPr>
        <w:t>conditions</w:t>
      </w:r>
      <w:r>
        <w:t xml:space="preserve"> and safeguards referred to in </w:t>
      </w:r>
      <w:r>
        <w:rPr>
          <w:b/>
        </w:rPr>
        <w:t>paragraph 1 of this Article</w:t>
      </w:r>
      <w:r>
        <w:t xml:space="preserve"> in so far as such rights are likely to render </w:t>
      </w:r>
      <w:r>
        <w:rPr>
          <w:b/>
        </w:rPr>
        <w:t>impossible</w:t>
      </w:r>
      <w:r>
        <w:t xml:space="preserve"> or </w:t>
      </w:r>
      <w:r>
        <w:rPr>
          <w:b/>
        </w:rPr>
        <w:t>seriously</w:t>
      </w:r>
      <w:r>
        <w:t xml:space="preserve"> </w:t>
      </w:r>
      <w:r>
        <w:rPr>
          <w:b/>
        </w:rPr>
        <w:t>impair the achievement of the specific purposes</w:t>
      </w:r>
      <w:r>
        <w:t xml:space="preserve">, and such derogations are </w:t>
      </w:r>
      <w:r>
        <w:rPr>
          <w:b/>
        </w:rPr>
        <w:t>necessary</w:t>
      </w:r>
      <w:r>
        <w:t xml:space="preserve"> for the </w:t>
      </w:r>
      <w:r>
        <w:rPr>
          <w:b/>
        </w:rPr>
        <w:t>fulfilment</w:t>
      </w:r>
      <w:r>
        <w:t xml:space="preserve"> of those purposes.</w:t>
      </w:r>
    </w:p>
    <w:p w14:paraId="390023D9" w14:textId="77777777" w:rsidR="0081489B" w:rsidRDefault="00000000">
      <w:pPr>
        <w:spacing w:line="276" w:lineRule="auto"/>
      </w:pPr>
      <w:r>
        <w:lastRenderedPageBreak/>
        <w:t xml:space="preserve">3. Where personal data are processed for </w:t>
      </w:r>
      <w:r>
        <w:rPr>
          <w:b/>
        </w:rPr>
        <w:t>archiving purposes</w:t>
      </w:r>
      <w:r>
        <w:t xml:space="preserve"> </w:t>
      </w:r>
      <w:r>
        <w:rPr>
          <w:b/>
        </w:rPr>
        <w:t>in the public interest</w:t>
      </w:r>
      <w:r>
        <w:t xml:space="preserve">, Union or Member State </w:t>
      </w:r>
      <w:r>
        <w:rPr>
          <w:b/>
        </w:rPr>
        <w:t>law</w:t>
      </w:r>
      <w:r>
        <w:t xml:space="preserve"> may provide for </w:t>
      </w:r>
      <w:r>
        <w:rPr>
          <w:b/>
        </w:rPr>
        <w:t>derogations</w:t>
      </w:r>
      <w:r>
        <w:t xml:space="preserve"> from the rights referred to in </w:t>
      </w:r>
      <w:r>
        <w:rPr>
          <w:b/>
        </w:rPr>
        <w:t>Articles 15, 16, 18, 19, 20</w:t>
      </w:r>
      <w:r>
        <w:t xml:space="preserve"> and </w:t>
      </w:r>
      <w:r>
        <w:rPr>
          <w:b/>
        </w:rPr>
        <w:t>21</w:t>
      </w:r>
      <w:r>
        <w:t xml:space="preserve"> subject to the </w:t>
      </w:r>
      <w:r>
        <w:rPr>
          <w:b/>
        </w:rPr>
        <w:t>conditions</w:t>
      </w:r>
      <w:r>
        <w:t xml:space="preserve"> and safeguards referred to in </w:t>
      </w:r>
      <w:r>
        <w:rPr>
          <w:b/>
        </w:rPr>
        <w:t>paragraph 1 of this Article</w:t>
      </w:r>
      <w:r>
        <w:t xml:space="preserve"> in so far as such rights are likely to render </w:t>
      </w:r>
      <w:r>
        <w:rPr>
          <w:b/>
        </w:rPr>
        <w:t>impossible</w:t>
      </w:r>
      <w:r>
        <w:t xml:space="preserve"> or seriously </w:t>
      </w:r>
      <w:r>
        <w:rPr>
          <w:b/>
        </w:rPr>
        <w:t>impair the achievement</w:t>
      </w:r>
      <w:r>
        <w:t xml:space="preserve"> of the specific </w:t>
      </w:r>
      <w:r>
        <w:rPr>
          <w:b/>
        </w:rPr>
        <w:t>purposes</w:t>
      </w:r>
      <w:r>
        <w:t xml:space="preserve">, and such derogations are </w:t>
      </w:r>
      <w:r>
        <w:rPr>
          <w:b/>
        </w:rPr>
        <w:t>necessary</w:t>
      </w:r>
      <w:r>
        <w:t xml:space="preserve"> for the </w:t>
      </w:r>
      <w:r>
        <w:rPr>
          <w:b/>
        </w:rPr>
        <w:t>fulfilment</w:t>
      </w:r>
      <w:r>
        <w:t xml:space="preserve"> of those purposes.</w:t>
      </w:r>
    </w:p>
    <w:p w14:paraId="556C0722" w14:textId="77777777" w:rsidR="0081489B" w:rsidRDefault="00000000">
      <w:pPr>
        <w:spacing w:line="276" w:lineRule="auto"/>
      </w:pPr>
      <w:r>
        <w:t xml:space="preserve">4. Where processing referred to in paragraphs 2 and 3 serves </w:t>
      </w:r>
      <w:r>
        <w:rPr>
          <w:b/>
        </w:rPr>
        <w:t>at the same time another purpose</w:t>
      </w:r>
      <w:r>
        <w:t xml:space="preserve">, the </w:t>
      </w:r>
      <w:r>
        <w:rPr>
          <w:b/>
        </w:rPr>
        <w:t>derogations</w:t>
      </w:r>
      <w:r>
        <w:t xml:space="preserve"> shall apply </w:t>
      </w:r>
      <w:r>
        <w:rPr>
          <w:b/>
        </w:rPr>
        <w:t>only</w:t>
      </w:r>
      <w:r>
        <w:t xml:space="preserve"> to processing for the </w:t>
      </w:r>
      <w:r>
        <w:rPr>
          <w:b/>
        </w:rPr>
        <w:t>purposes</w:t>
      </w:r>
      <w:r>
        <w:t xml:space="preserve"> referred to in </w:t>
      </w:r>
      <w:r>
        <w:rPr>
          <w:b/>
        </w:rPr>
        <w:t>those paragraphs</w:t>
      </w:r>
      <w:r>
        <w:t>.</w:t>
      </w:r>
    </w:p>
    <w:p w14:paraId="2C5A923F" w14:textId="77777777" w:rsidR="0081489B" w:rsidRDefault="0081489B">
      <w:pPr>
        <w:spacing w:before="40" w:after="0" w:line="276" w:lineRule="auto"/>
        <w:rPr>
          <w:color w:val="2F5496"/>
          <w:sz w:val="26"/>
          <w:szCs w:val="26"/>
        </w:rPr>
      </w:pPr>
    </w:p>
    <w:p w14:paraId="29A94E22" w14:textId="77777777" w:rsidR="0081489B" w:rsidRDefault="00000000">
      <w:pPr>
        <w:pBdr>
          <w:top w:val="single" w:sz="4" w:space="1" w:color="000000"/>
          <w:left w:val="single" w:sz="4" w:space="4" w:color="000000"/>
          <w:bottom w:val="single" w:sz="4" w:space="1" w:color="000000"/>
          <w:right w:val="single" w:sz="4" w:space="4" w:color="000000"/>
        </w:pBdr>
        <w:spacing w:before="40" w:after="0" w:line="276" w:lineRule="auto"/>
        <w:rPr>
          <w:color w:val="2F5496"/>
          <w:sz w:val="26"/>
          <w:szCs w:val="26"/>
        </w:rPr>
      </w:pPr>
      <w:r>
        <w:rPr>
          <w:color w:val="2F5496"/>
          <w:sz w:val="26"/>
          <w:szCs w:val="26"/>
        </w:rPr>
        <w:t>Annex 2 – Bibliography</w:t>
      </w:r>
    </w:p>
    <w:p w14:paraId="5F27409F" w14:textId="77777777" w:rsidR="0081489B" w:rsidRDefault="0081489B">
      <w:pPr>
        <w:tabs>
          <w:tab w:val="left" w:pos="3922"/>
        </w:tabs>
        <w:spacing w:line="276" w:lineRule="auto"/>
      </w:pPr>
    </w:p>
    <w:p w14:paraId="7FE6FE88" w14:textId="77777777" w:rsidR="0081489B" w:rsidRDefault="00000000">
      <w:pPr>
        <w:tabs>
          <w:tab w:val="left" w:pos="3922"/>
        </w:tabs>
        <w:spacing w:line="276" w:lineRule="auto"/>
      </w:pPr>
      <w:r>
        <w:rPr>
          <w:b/>
        </w:rPr>
        <w:t>Bibliography</w:t>
      </w:r>
      <w:r>
        <w:t xml:space="preserve"> on the derogation for scientific research of Article 89 GDPR:</w:t>
      </w:r>
    </w:p>
    <w:p w14:paraId="5BBFA163" w14:textId="77777777" w:rsidR="0081489B" w:rsidRDefault="00000000">
      <w:pPr>
        <w:tabs>
          <w:tab w:val="left" w:pos="3922"/>
        </w:tabs>
        <w:spacing w:line="276" w:lineRule="auto"/>
      </w:pPr>
      <w:r>
        <w:t xml:space="preserve">Dove, Edward S. ‘The EU General Data Protection Regulation: Implications for International Scientific Research in the Digital Era’. </w:t>
      </w:r>
      <w:r>
        <w:rPr>
          <w:i/>
        </w:rPr>
        <w:t>Journal of Law, Medicine &amp; Ethics</w:t>
      </w:r>
      <w:r>
        <w:t xml:space="preserve"> 46, no. 4 (1 December 2018): 1013–30.</w:t>
      </w:r>
    </w:p>
    <w:p w14:paraId="619F4813" w14:textId="77777777" w:rsidR="0081489B" w:rsidRDefault="00000000">
      <w:pPr>
        <w:tabs>
          <w:tab w:val="left" w:pos="3922"/>
        </w:tabs>
        <w:spacing w:line="276" w:lineRule="auto"/>
      </w:pPr>
      <w:proofErr w:type="spellStart"/>
      <w:r>
        <w:t>Ducato</w:t>
      </w:r>
      <w:proofErr w:type="spellEnd"/>
      <w:r>
        <w:t xml:space="preserve">, Rossana. ‘Data Protection, Scientific Research, and the Role of Information’. </w:t>
      </w:r>
      <w:r>
        <w:rPr>
          <w:i/>
        </w:rPr>
        <w:t>Computer Law &amp; Security Review</w:t>
      </w:r>
      <w:r>
        <w:t xml:space="preserve"> 37 (1 July 2020): 105412.</w:t>
      </w:r>
    </w:p>
    <w:p w14:paraId="369CFD6F" w14:textId="77777777" w:rsidR="0081489B" w:rsidRDefault="00000000">
      <w:pPr>
        <w:tabs>
          <w:tab w:val="left" w:pos="3922"/>
        </w:tabs>
        <w:spacing w:line="276" w:lineRule="auto"/>
      </w:pPr>
      <w:r>
        <w:t xml:space="preserve">European Data Protection Supervisor. </w:t>
      </w:r>
      <w:r>
        <w:rPr>
          <w:i/>
        </w:rPr>
        <w:t>A Preliminary Opinion on Data Protection and Scientific Research. Brussels.</w:t>
      </w:r>
      <w:r>
        <w:t xml:space="preserve"> EDPS. 6 January 2020.</w:t>
      </w:r>
    </w:p>
    <w:p w14:paraId="3FB360D1" w14:textId="77777777" w:rsidR="0081489B" w:rsidRDefault="00000000">
      <w:pPr>
        <w:tabs>
          <w:tab w:val="left" w:pos="3922"/>
        </w:tabs>
        <w:spacing w:line="276" w:lineRule="auto"/>
      </w:pPr>
      <w:proofErr w:type="spellStart"/>
      <w:r>
        <w:t>Vayena</w:t>
      </w:r>
      <w:proofErr w:type="spellEnd"/>
      <w:r>
        <w:t xml:space="preserve">, Effy. </w:t>
      </w:r>
      <w:r>
        <w:rPr>
          <w:i/>
        </w:rPr>
        <w:t>How the General Data Protection Regulation Changes the Rules for Scientific Research. Pdf Brussels</w:t>
      </w:r>
      <w:r>
        <w:t>, Study PE 634.447. European Parliamentary Research Service. July 2019.</w:t>
      </w:r>
    </w:p>
    <w:p w14:paraId="5F96156E" w14:textId="77777777" w:rsidR="0081489B" w:rsidRDefault="0081489B">
      <w:pPr>
        <w:tabs>
          <w:tab w:val="left" w:pos="3922"/>
        </w:tabs>
        <w:spacing w:line="276" w:lineRule="auto"/>
      </w:pPr>
    </w:p>
    <w:sectPr w:rsidR="0081489B">
      <w:footerReference w:type="even"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85124" w14:textId="77777777" w:rsidR="008D2FF7" w:rsidRDefault="008D2FF7">
      <w:pPr>
        <w:spacing w:after="0" w:line="240" w:lineRule="auto"/>
      </w:pPr>
      <w:r>
        <w:separator/>
      </w:r>
    </w:p>
  </w:endnote>
  <w:endnote w:type="continuationSeparator" w:id="0">
    <w:p w14:paraId="600A7391" w14:textId="77777777" w:rsidR="008D2FF7" w:rsidRDefault="008D2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C7CB4" w14:textId="77777777" w:rsidR="0081489B" w:rsidRDefault="00000000">
    <w:pPr>
      <w:pBdr>
        <w:top w:val="nil"/>
        <w:left w:val="nil"/>
        <w:bottom w:val="nil"/>
        <w:right w:val="nil"/>
        <w:between w:val="nil"/>
      </w:pBdr>
      <w:tabs>
        <w:tab w:val="center" w:pos="4680"/>
        <w:tab w:val="right" w:pos="9360"/>
      </w:tabs>
      <w:spacing w:after="0" w:line="240" w:lineRule="auto"/>
      <w:jc w:val="center"/>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Pr>
        <w:rFonts w:ascii="Calibri" w:hAnsi="Calibri"/>
        <w:color w:val="000000"/>
      </w:rPr>
      <w:fldChar w:fldCharType="end"/>
    </w:r>
  </w:p>
  <w:p w14:paraId="57990405" w14:textId="77777777" w:rsidR="0081489B" w:rsidRDefault="0081489B">
    <w:pPr>
      <w:pBdr>
        <w:top w:val="nil"/>
        <w:left w:val="nil"/>
        <w:bottom w:val="nil"/>
        <w:right w:val="nil"/>
        <w:between w:val="nil"/>
      </w:pBdr>
      <w:tabs>
        <w:tab w:val="center" w:pos="4680"/>
        <w:tab w:val="right" w:pos="9360"/>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23942" w14:textId="77777777" w:rsidR="0081489B" w:rsidRDefault="00000000">
    <w:pPr>
      <w:pBdr>
        <w:top w:val="nil"/>
        <w:left w:val="nil"/>
        <w:bottom w:val="nil"/>
        <w:right w:val="nil"/>
        <w:between w:val="nil"/>
      </w:pBdr>
      <w:tabs>
        <w:tab w:val="center" w:pos="4680"/>
        <w:tab w:val="right" w:pos="9360"/>
      </w:tabs>
      <w:spacing w:after="0" w:line="240" w:lineRule="auto"/>
      <w:jc w:val="center"/>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3324DB">
      <w:rPr>
        <w:rFonts w:ascii="Calibri" w:hAnsi="Calibri"/>
        <w:noProof/>
        <w:color w:val="000000"/>
      </w:rPr>
      <w:t>1</w:t>
    </w:r>
    <w:r>
      <w:rPr>
        <w:rFonts w:ascii="Calibri" w:hAnsi="Calibri"/>
        <w:color w:val="000000"/>
      </w:rPr>
      <w:fldChar w:fldCharType="end"/>
    </w:r>
  </w:p>
  <w:p w14:paraId="6C1B5717" w14:textId="77777777" w:rsidR="0081489B" w:rsidRDefault="0081489B">
    <w:pPr>
      <w:pBdr>
        <w:top w:val="nil"/>
        <w:left w:val="nil"/>
        <w:bottom w:val="nil"/>
        <w:right w:val="nil"/>
        <w:between w:val="nil"/>
      </w:pBdr>
      <w:tabs>
        <w:tab w:val="center" w:pos="4680"/>
        <w:tab w:val="right" w:pos="9360"/>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3968D" w14:textId="77777777" w:rsidR="008D2FF7" w:rsidRDefault="008D2FF7">
      <w:pPr>
        <w:spacing w:after="0" w:line="240" w:lineRule="auto"/>
      </w:pPr>
      <w:r>
        <w:separator/>
      </w:r>
    </w:p>
  </w:footnote>
  <w:footnote w:type="continuationSeparator" w:id="0">
    <w:p w14:paraId="02F432C1" w14:textId="77777777" w:rsidR="008D2FF7" w:rsidRDefault="008D2FF7">
      <w:pPr>
        <w:spacing w:after="0" w:line="240" w:lineRule="auto"/>
      </w:pPr>
      <w:r>
        <w:continuationSeparator/>
      </w:r>
    </w:p>
  </w:footnote>
  <w:footnote w:id="1">
    <w:p w14:paraId="0E60D6BD" w14:textId="77777777" w:rsidR="0081489B" w:rsidRDefault="00000000">
      <w:pPr>
        <w:pBdr>
          <w:top w:val="nil"/>
          <w:left w:val="nil"/>
          <w:bottom w:val="nil"/>
          <w:right w:val="nil"/>
          <w:between w:val="nil"/>
        </w:pBdr>
        <w:spacing w:after="0" w:line="240" w:lineRule="auto"/>
        <w:rPr>
          <w:rFonts w:ascii="Calibri" w:hAnsi="Calibri"/>
          <w:color w:val="000000"/>
          <w:sz w:val="18"/>
          <w:szCs w:val="18"/>
        </w:rPr>
      </w:pPr>
      <w:r>
        <w:rPr>
          <w:rStyle w:val="FootnoteReference"/>
        </w:rPr>
        <w:footnoteRef/>
      </w:r>
      <w:r>
        <w:rPr>
          <w:rFonts w:ascii="Calibri" w:hAnsi="Calibri"/>
          <w:color w:val="000000"/>
          <w:sz w:val="18"/>
          <w:szCs w:val="18"/>
        </w:rPr>
        <w:t xml:space="preserve"> This background document is based </w:t>
      </w:r>
      <w:r>
        <w:rPr>
          <w:sz w:val="18"/>
          <w:szCs w:val="18"/>
        </w:rPr>
        <w:t>on the European</w:t>
      </w:r>
      <w:r>
        <w:rPr>
          <w:rFonts w:ascii="Calibri" w:hAnsi="Calibri"/>
          <w:color w:val="000000"/>
          <w:sz w:val="18"/>
          <w:szCs w:val="18"/>
        </w:rPr>
        <w:t xml:space="preserve"> Data Protection Supervisor’s Preliminary Opinion on data protection and scientific research (6 January 2020).</w:t>
      </w:r>
    </w:p>
  </w:footnote>
  <w:footnote w:id="2">
    <w:p w14:paraId="341ABBAC" w14:textId="77777777" w:rsidR="0081489B" w:rsidRDefault="00000000">
      <w:pPr>
        <w:pBdr>
          <w:top w:val="nil"/>
          <w:left w:val="nil"/>
          <w:bottom w:val="nil"/>
          <w:right w:val="nil"/>
          <w:between w:val="nil"/>
        </w:pBdr>
        <w:spacing w:after="0" w:line="240" w:lineRule="auto"/>
        <w:rPr>
          <w:rFonts w:ascii="Calibri" w:hAnsi="Calibri"/>
          <w:color w:val="000000"/>
          <w:sz w:val="18"/>
          <w:szCs w:val="18"/>
        </w:rPr>
      </w:pPr>
      <w:r>
        <w:rPr>
          <w:rStyle w:val="FootnoteReference"/>
        </w:rPr>
        <w:footnoteRef/>
      </w:r>
      <w:r>
        <w:rPr>
          <w:rFonts w:ascii="Calibri" w:hAnsi="Calibri"/>
          <w:color w:val="000000"/>
          <w:sz w:val="18"/>
          <w:szCs w:val="18"/>
        </w:rPr>
        <w:t xml:space="preserve"> Recital 50 GDPR.</w:t>
      </w:r>
    </w:p>
  </w:footnote>
  <w:footnote w:id="3">
    <w:p w14:paraId="009E7301" w14:textId="77777777" w:rsidR="0081489B" w:rsidRDefault="00000000">
      <w:pPr>
        <w:pBdr>
          <w:top w:val="nil"/>
          <w:left w:val="nil"/>
          <w:bottom w:val="nil"/>
          <w:right w:val="nil"/>
          <w:between w:val="nil"/>
        </w:pBdr>
        <w:spacing w:after="0" w:line="240" w:lineRule="auto"/>
        <w:rPr>
          <w:rFonts w:ascii="Calibri" w:hAnsi="Calibri"/>
          <w:color w:val="000000"/>
          <w:sz w:val="18"/>
          <w:szCs w:val="18"/>
        </w:rPr>
      </w:pPr>
      <w:r>
        <w:rPr>
          <w:rStyle w:val="FootnoteReference"/>
        </w:rPr>
        <w:footnoteRef/>
      </w:r>
      <w:r>
        <w:rPr>
          <w:rFonts w:ascii="Calibri" w:hAnsi="Calibri"/>
          <w:color w:val="000000"/>
          <w:sz w:val="18"/>
          <w:szCs w:val="18"/>
        </w:rPr>
        <w:t xml:space="preserve"> Art. 89 (1) GDPR.</w:t>
      </w:r>
    </w:p>
  </w:footnote>
  <w:footnote w:id="4">
    <w:p w14:paraId="59AEA5B5" w14:textId="77777777" w:rsidR="0081489B" w:rsidRDefault="00000000">
      <w:pPr>
        <w:pBdr>
          <w:top w:val="nil"/>
          <w:left w:val="nil"/>
          <w:bottom w:val="nil"/>
          <w:right w:val="nil"/>
          <w:between w:val="nil"/>
        </w:pBdr>
        <w:spacing w:after="0" w:line="240" w:lineRule="auto"/>
        <w:rPr>
          <w:rFonts w:ascii="Calibri" w:hAnsi="Calibri"/>
          <w:color w:val="000000"/>
          <w:sz w:val="18"/>
          <w:szCs w:val="18"/>
        </w:rPr>
      </w:pPr>
      <w:r>
        <w:rPr>
          <w:rStyle w:val="FootnoteReference"/>
        </w:rPr>
        <w:footnoteRef/>
      </w:r>
      <w:r>
        <w:rPr>
          <w:rFonts w:ascii="Calibri" w:hAnsi="Calibri"/>
          <w:color w:val="000000"/>
          <w:sz w:val="18"/>
          <w:szCs w:val="18"/>
        </w:rPr>
        <w:t xml:space="preserve"> Art. 89 (1) GDPR.</w:t>
      </w:r>
    </w:p>
  </w:footnote>
  <w:footnote w:id="5">
    <w:p w14:paraId="1C180160" w14:textId="77777777" w:rsidR="0081489B" w:rsidRDefault="00000000">
      <w:pPr>
        <w:pBdr>
          <w:top w:val="nil"/>
          <w:left w:val="nil"/>
          <w:bottom w:val="nil"/>
          <w:right w:val="nil"/>
          <w:between w:val="nil"/>
        </w:pBdr>
        <w:spacing w:after="0" w:line="240" w:lineRule="auto"/>
        <w:rPr>
          <w:rFonts w:ascii="Calibri" w:hAnsi="Calibri"/>
          <w:color w:val="000000"/>
          <w:sz w:val="18"/>
          <w:szCs w:val="18"/>
        </w:rPr>
      </w:pPr>
      <w:r>
        <w:rPr>
          <w:rStyle w:val="FootnoteReference"/>
        </w:rPr>
        <w:footnoteRef/>
      </w:r>
      <w:r>
        <w:rPr>
          <w:rFonts w:ascii="Calibri" w:hAnsi="Calibri"/>
          <w:color w:val="000000"/>
          <w:sz w:val="18"/>
          <w:szCs w:val="18"/>
        </w:rPr>
        <w:t xml:space="preserve"> Art. 4 (11) GDPR.</w:t>
      </w:r>
    </w:p>
  </w:footnote>
  <w:footnote w:id="6">
    <w:p w14:paraId="5FF97F0A" w14:textId="77777777" w:rsidR="0081489B" w:rsidRDefault="00000000">
      <w:pPr>
        <w:pBdr>
          <w:top w:val="nil"/>
          <w:left w:val="nil"/>
          <w:bottom w:val="nil"/>
          <w:right w:val="nil"/>
          <w:between w:val="nil"/>
        </w:pBdr>
        <w:spacing w:after="0" w:line="240" w:lineRule="auto"/>
        <w:rPr>
          <w:rFonts w:ascii="Calibri" w:hAnsi="Calibri"/>
          <w:color w:val="000000"/>
          <w:sz w:val="20"/>
          <w:szCs w:val="20"/>
        </w:rPr>
      </w:pPr>
      <w:r>
        <w:rPr>
          <w:rStyle w:val="FootnoteReference"/>
        </w:rPr>
        <w:footnoteRef/>
      </w:r>
      <w:r>
        <w:rPr>
          <w:rFonts w:ascii="Calibri" w:hAnsi="Calibri"/>
          <w:color w:val="000000"/>
          <w:sz w:val="20"/>
          <w:szCs w:val="20"/>
        </w:rPr>
        <w:t xml:space="preserve"> Recital 33 GDPR.</w:t>
      </w:r>
    </w:p>
  </w:footnote>
  <w:footnote w:id="7">
    <w:p w14:paraId="018B8132" w14:textId="77777777" w:rsidR="0081489B" w:rsidRDefault="00000000">
      <w:pPr>
        <w:pBdr>
          <w:top w:val="nil"/>
          <w:left w:val="nil"/>
          <w:bottom w:val="nil"/>
          <w:right w:val="nil"/>
          <w:between w:val="nil"/>
        </w:pBdr>
        <w:spacing w:after="0" w:line="240" w:lineRule="auto"/>
        <w:rPr>
          <w:rFonts w:ascii="Calibri" w:hAnsi="Calibri"/>
          <w:color w:val="000000"/>
          <w:sz w:val="18"/>
          <w:szCs w:val="18"/>
        </w:rPr>
      </w:pPr>
      <w:r>
        <w:rPr>
          <w:rStyle w:val="FootnoteReference"/>
        </w:rPr>
        <w:footnoteRef/>
      </w:r>
      <w:r>
        <w:rPr>
          <w:rFonts w:ascii="Calibri" w:hAnsi="Calibri"/>
          <w:color w:val="000000"/>
          <w:sz w:val="18"/>
          <w:szCs w:val="18"/>
        </w:rPr>
        <w:t xml:space="preserve"> Recital 33 GDPR.</w:t>
      </w:r>
    </w:p>
  </w:footnote>
  <w:footnote w:id="8">
    <w:p w14:paraId="5FE8177B" w14:textId="77777777" w:rsidR="0081489B" w:rsidRDefault="00000000">
      <w:pPr>
        <w:pBdr>
          <w:top w:val="nil"/>
          <w:left w:val="nil"/>
          <w:bottom w:val="nil"/>
          <w:right w:val="nil"/>
          <w:between w:val="nil"/>
        </w:pBdr>
        <w:spacing w:after="0" w:line="240" w:lineRule="auto"/>
        <w:rPr>
          <w:rFonts w:ascii="Calibri" w:hAnsi="Calibri"/>
          <w:color w:val="000000"/>
          <w:sz w:val="18"/>
          <w:szCs w:val="18"/>
        </w:rPr>
      </w:pPr>
      <w:r>
        <w:rPr>
          <w:rStyle w:val="FootnoteReference"/>
        </w:rPr>
        <w:footnoteRef/>
      </w:r>
      <w:r>
        <w:rPr>
          <w:rFonts w:ascii="Calibri" w:hAnsi="Calibri"/>
          <w:color w:val="000000"/>
          <w:sz w:val="18"/>
          <w:szCs w:val="18"/>
        </w:rPr>
        <w:t xml:space="preserve"> Art. 9(1) GDPR: "Processing of personal data revealing racial or ethnic origin, political opinions, religious or philosophical beliefs, or trade union membership, and the processing of generic data, biometric data for the purpose of uniquely identifying a natural person, data concerning health or </w:t>
      </w:r>
      <w:r>
        <w:rPr>
          <w:sz w:val="18"/>
          <w:szCs w:val="18"/>
        </w:rPr>
        <w:t>concerning</w:t>
      </w:r>
      <w:r>
        <w:rPr>
          <w:rFonts w:ascii="Calibri" w:hAnsi="Calibri"/>
          <w:color w:val="000000"/>
          <w:sz w:val="18"/>
          <w:szCs w:val="18"/>
        </w:rPr>
        <w:t xml:space="preserve"> a natural's person's sex life or sexual orientation shall be prohibited". </w:t>
      </w:r>
    </w:p>
  </w:footnote>
  <w:footnote w:id="9">
    <w:p w14:paraId="65D9ABFD" w14:textId="77777777" w:rsidR="0081489B" w:rsidRDefault="00000000">
      <w:pPr>
        <w:pBdr>
          <w:top w:val="nil"/>
          <w:left w:val="nil"/>
          <w:bottom w:val="nil"/>
          <w:right w:val="nil"/>
          <w:between w:val="nil"/>
        </w:pBdr>
        <w:spacing w:after="0" w:line="240" w:lineRule="auto"/>
        <w:rPr>
          <w:rFonts w:ascii="Calibri" w:hAnsi="Calibri"/>
          <w:color w:val="000000"/>
          <w:sz w:val="18"/>
          <w:szCs w:val="18"/>
        </w:rPr>
      </w:pPr>
      <w:r>
        <w:rPr>
          <w:rStyle w:val="FootnoteReference"/>
        </w:rPr>
        <w:footnoteRef/>
      </w:r>
      <w:r>
        <w:rPr>
          <w:rFonts w:ascii="Calibri" w:hAnsi="Calibri"/>
          <w:color w:val="000000"/>
          <w:sz w:val="18"/>
          <w:szCs w:val="18"/>
        </w:rPr>
        <w:t xml:space="preserve"> See footnote 8.</w:t>
      </w:r>
    </w:p>
  </w:footnote>
  <w:footnote w:id="10">
    <w:p w14:paraId="6AA7FA33" w14:textId="77777777" w:rsidR="0081489B" w:rsidRDefault="00000000">
      <w:pPr>
        <w:pBdr>
          <w:top w:val="nil"/>
          <w:left w:val="nil"/>
          <w:bottom w:val="nil"/>
          <w:right w:val="nil"/>
          <w:between w:val="nil"/>
        </w:pBdr>
        <w:spacing w:after="0" w:line="240" w:lineRule="auto"/>
        <w:rPr>
          <w:rFonts w:ascii="Calibri" w:hAnsi="Calibri"/>
          <w:color w:val="000000"/>
          <w:sz w:val="18"/>
          <w:szCs w:val="18"/>
        </w:rPr>
      </w:pPr>
      <w:r>
        <w:rPr>
          <w:rStyle w:val="FootnoteReference"/>
        </w:rPr>
        <w:footnoteRef/>
      </w:r>
      <w:r>
        <w:rPr>
          <w:rFonts w:ascii="Calibri" w:hAnsi="Calibri"/>
          <w:color w:val="000000"/>
          <w:sz w:val="18"/>
          <w:szCs w:val="18"/>
        </w:rPr>
        <w:t xml:space="preserve"> Art. 7 (3) GDPR: "The data subject shall have the right to withdraw his or her consent at any time. The withdrawal of consent shall not affect the lawfulness of processing based on consent before its withdrawal. Prior to giving consent, the data subject shall be informed thereof. It shall be as easy to withdraw consent as to give consent.” </w:t>
      </w:r>
    </w:p>
  </w:footnote>
  <w:footnote w:id="11">
    <w:p w14:paraId="493668F1" w14:textId="77777777" w:rsidR="0081489B" w:rsidRDefault="00000000">
      <w:pPr>
        <w:pBdr>
          <w:top w:val="nil"/>
          <w:left w:val="nil"/>
          <w:bottom w:val="nil"/>
          <w:right w:val="nil"/>
          <w:between w:val="nil"/>
        </w:pBdr>
        <w:spacing w:after="0" w:line="240" w:lineRule="auto"/>
        <w:rPr>
          <w:rFonts w:ascii="Calibri" w:hAnsi="Calibri"/>
          <w:color w:val="000000"/>
          <w:sz w:val="18"/>
          <w:szCs w:val="18"/>
        </w:rPr>
      </w:pPr>
      <w:r>
        <w:rPr>
          <w:rStyle w:val="FootnoteReference"/>
        </w:rPr>
        <w:footnoteRef/>
      </w:r>
      <w:r>
        <w:rPr>
          <w:rFonts w:ascii="Calibri" w:hAnsi="Calibri"/>
          <w:color w:val="000000"/>
          <w:sz w:val="18"/>
          <w:szCs w:val="18"/>
        </w:rPr>
        <w:t xml:space="preserve"> Art. 44 UAVG.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27884"/>
    <w:multiLevelType w:val="multilevel"/>
    <w:tmpl w:val="6B2620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7D71BC"/>
    <w:multiLevelType w:val="multilevel"/>
    <w:tmpl w:val="F0D0E2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D8078BC"/>
    <w:multiLevelType w:val="hybridMultilevel"/>
    <w:tmpl w:val="11F2D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0D5DE2"/>
    <w:multiLevelType w:val="multilevel"/>
    <w:tmpl w:val="CEFAD7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B074812"/>
    <w:multiLevelType w:val="multilevel"/>
    <w:tmpl w:val="446EBA3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160997870">
    <w:abstractNumId w:val="1"/>
  </w:num>
  <w:num w:numId="2" w16cid:durableId="415902687">
    <w:abstractNumId w:val="0"/>
  </w:num>
  <w:num w:numId="3" w16cid:durableId="1887639756">
    <w:abstractNumId w:val="3"/>
  </w:num>
  <w:num w:numId="4" w16cid:durableId="579607082">
    <w:abstractNumId w:val="4"/>
  </w:num>
  <w:num w:numId="5" w16cid:durableId="405493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89B"/>
    <w:rsid w:val="003324DB"/>
    <w:rsid w:val="00551430"/>
    <w:rsid w:val="006859B0"/>
    <w:rsid w:val="008041F5"/>
    <w:rsid w:val="0081489B"/>
    <w:rsid w:val="008D2FF7"/>
    <w:rsid w:val="00C50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46FFF2"/>
  <w15:docId w15:val="{C3A28409-EFBC-6B47-A13A-9185DD81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GB"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A5D"/>
    <w:rPr>
      <w:rFonts w:asciiTheme="majorHAnsi" w:hAnsiTheme="majorHAnsi"/>
    </w:rPr>
  </w:style>
  <w:style w:type="paragraph" w:styleId="Heading1">
    <w:name w:val="heading 1"/>
    <w:basedOn w:val="Normal"/>
    <w:next w:val="Normal"/>
    <w:link w:val="Heading1Char"/>
    <w:uiPriority w:val="9"/>
    <w:qFormat/>
    <w:rsid w:val="00932B3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30A6"/>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0BE"/>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7A5D"/>
    <w:pPr>
      <w:spacing w:after="0" w:line="240" w:lineRule="auto"/>
      <w:contextualSpacing/>
    </w:pPr>
    <w:rPr>
      <w:rFonts w:eastAsiaTheme="majorEastAsia" w:cstheme="majorBidi"/>
      <w:spacing w:val="-10"/>
      <w:kern w:val="28"/>
      <w:sz w:val="56"/>
      <w:szCs w:val="56"/>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semiHidden/>
    <w:unhideWhenUsed/>
    <w:rsid w:val="005738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3843"/>
  </w:style>
  <w:style w:type="paragraph" w:styleId="Footer">
    <w:name w:val="footer"/>
    <w:basedOn w:val="Normal"/>
    <w:link w:val="FooterChar"/>
    <w:uiPriority w:val="99"/>
    <w:unhideWhenUsed/>
    <w:rsid w:val="00573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843"/>
  </w:style>
  <w:style w:type="table" w:styleId="TableGrid">
    <w:name w:val="Table Grid"/>
    <w:basedOn w:val="TableNormal"/>
    <w:uiPriority w:val="39"/>
    <w:rsid w:val="006D4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2B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30A6"/>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rsid w:val="00637A5D"/>
    <w:rPr>
      <w:rFonts w:asciiTheme="majorHAnsi" w:eastAsiaTheme="majorEastAsia" w:hAnsiTheme="majorHAnsi" w:cstheme="majorBidi"/>
      <w:spacing w:val="-10"/>
      <w:kern w:val="28"/>
      <w:sz w:val="56"/>
      <w:szCs w:val="56"/>
    </w:rPr>
  </w:style>
  <w:style w:type="paragraph" w:customStyle="1" w:styleId="Style1">
    <w:name w:val="Style1"/>
    <w:basedOn w:val="Heading2"/>
    <w:qFormat/>
    <w:rsid w:val="005A25EB"/>
    <w:rPr>
      <w:b/>
    </w:rPr>
  </w:style>
  <w:style w:type="character" w:customStyle="1" w:styleId="Heading3Char">
    <w:name w:val="Heading 3 Char"/>
    <w:basedOn w:val="DefaultParagraphFont"/>
    <w:link w:val="Heading3"/>
    <w:uiPriority w:val="9"/>
    <w:rsid w:val="00BE30BE"/>
    <w:rPr>
      <w:rFonts w:asciiTheme="majorHAnsi" w:eastAsiaTheme="majorEastAsia" w:hAnsiTheme="majorHAnsi" w:cstheme="majorBidi"/>
      <w:color w:val="1F3763" w:themeColor="accent1" w:themeShade="7F"/>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heme="majorHAnsi" w:hAnsiTheme="majorHAnsi"/>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C6243C"/>
    <w:pPr>
      <w:spacing w:after="0" w:line="240" w:lineRule="auto"/>
    </w:pPr>
    <w:rPr>
      <w:rFonts w:asciiTheme="majorHAnsi" w:hAnsiTheme="majorHAnsi"/>
    </w:rPr>
  </w:style>
  <w:style w:type="character" w:styleId="PageNumber">
    <w:name w:val="page number"/>
    <w:basedOn w:val="DefaultParagraphFont"/>
    <w:uiPriority w:val="99"/>
    <w:semiHidden/>
    <w:unhideWhenUsed/>
    <w:rsid w:val="00740DA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6NorosEyoG4UfEat1O19hP6Uqmg==">AMUW2mWo+uZsOeOVQEpifPfIR0IP7BL8gwmx8Z6P+Y9i9vzkGDTVXaHV+aTxlJjPp0QZIGDMDJqejx35oXsMVFD3ZoI5jhbi+MIV7E8ljQrL4q0KFnvVouI=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3818</Words>
  <Characters>21765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Heleen Janssen</dc:creator>
  <cp:lastModifiedBy>Heleen Janssen</cp:lastModifiedBy>
  <cp:revision>4</cp:revision>
  <dcterms:created xsi:type="dcterms:W3CDTF">2023-04-07T12:25:00Z</dcterms:created>
  <dcterms:modified xsi:type="dcterms:W3CDTF">2023-04-07T13:13:00Z</dcterms:modified>
</cp:coreProperties>
</file>