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London</w:t>
      </w:r>
      <w:r>
        <w:t xml:space="preserve"> </w:t>
      </w:r>
      <w:r>
        <w:t xml:space="preserve">SDE</w:t>
      </w:r>
      <w:r>
        <w:t xml:space="preserve"> </w:t>
      </w:r>
      <w:r>
        <w:t xml:space="preserve">/</w:t>
      </w:r>
      <w:r>
        <w:t xml:space="preserve"> </w:t>
      </w:r>
      <w:r>
        <w:t xml:space="preserve">AI</w:t>
      </w:r>
      <w:r>
        <w:t xml:space="preserve"> </w:t>
      </w:r>
      <w:r>
        <w:t xml:space="preserve">Centre</w:t>
      </w:r>
      <w:r>
        <w:t xml:space="preserve"> </w:t>
      </w:r>
      <w:r>
        <w:t xml:space="preserve">Programme</w:t>
      </w:r>
    </w:p>
    <w:bookmarkStart w:id="20" w:name="introduction"/>
    <w:p>
      <w:pPr>
        <w:pStyle w:val="Heading2"/>
      </w:pPr>
      <w:r>
        <w:t xml:space="preserve">Introduction</w:t>
      </w:r>
    </w:p>
    <w:bookmarkEnd w:id="20"/>
    <w:bookmarkStart w:id="26" w:name="what-is-the-london-sde"/>
    <w:p>
      <w:pPr>
        <w:pStyle w:val="Heading2"/>
      </w:pPr>
      <w:r>
        <w:t xml:space="preserve">What is the London SDE?</w:t>
      </w:r>
    </w:p>
    <w:p>
      <w:pPr>
        <w:pStyle w:val="FirstParagraph"/>
      </w:pPr>
      <w:r>
        <w:t xml:space="preserve">The London Secure Data Environment (SDE) programme is part of a national effort to enable secure and more powerful analytics for NHS, academic, and commercial users. Uniquely amongst regional peers, the London SDE does not focus on a single research platform. Rather, it places a focus on developing pan-London data infrastructure and capabilities that can deliver value to patients, care providers, and commissioners. This is in addition to building data environments that support commercial research and development partnerships.</w:t>
      </w:r>
    </w:p>
    <w:p>
      <w:pPr>
        <w:pStyle w:val="BodyText"/>
      </w:pPr>
      <w:r>
        <w:t xml:space="preserve">The SDE is presently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federated analytics, and deployment of machine learning tools, as well as expertise in health data and advanced analytics.</w:t>
      </w:r>
    </w:p>
    <w:tbl>
      <w:tblPr>
        <w:tblStyle w:val="Table"/>
        <w:tblW w:type="pct" w:w="5000"/>
        <w:tblLook w:firstRow="0" w:lastRow="0" w:firstColumn="0" w:lastColumn="0" w:noHBand="0" w:noVBand="0" w:val="0000"/>
        <w:jc w:val="start"/>
        <w:tblLayout w:type="fixed"/>
      </w:tblPr>
      <w:tblGrid>
        <w:gridCol w:w="7920"/>
      </w:tblGrid>
      <w:tr>
        <w:tc>
          <w:tcPr/>
          <w:bookmarkStart w:id="24" w:name="fig-sde-summary"/>
          <w:p>
            <w:pPr>
              <w:jc w:val="center"/>
            </w:pPr>
            <w:r>
              <w:drawing>
                <wp:inline>
                  <wp:extent cx="5334000" cy="3855334"/>
                  <wp:effectExtent b="0" l="0" r="0" t="0"/>
                  <wp:docPr descr="" title="" id="22" name="Picture"/>
                  <a:graphic>
                    <a:graphicData uri="http://schemas.openxmlformats.org/drawingml/2006/picture">
                      <pic:pic>
                        <pic:nvPicPr>
                          <pic:cNvPr descr="index_files/figure-docx/mermaid-figure-1.png" id="23" name="Picture"/>
                          <pic:cNvPicPr>
                            <a:picLocks noChangeArrowheads="1" noChangeAspect="1"/>
                          </pic:cNvPicPr>
                        </pic:nvPicPr>
                        <pic:blipFill>
                          <a:blip r:embed="rId21"/>
                          <a:stretch>
                            <a:fillRect/>
                          </a:stretch>
                        </pic:blipFill>
                        <pic:spPr bwMode="auto">
                          <a:xfrm>
                            <a:off x="0" y="0"/>
                            <a:ext cx="5334000" cy="38553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4"/>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26"/>
    <w:bookmarkStart w:id="27" w:name="role-of-the-london-ai-centre"/>
    <w:p>
      <w:pPr>
        <w:pStyle w:val="Heading2"/>
      </w:pPr>
      <w:r>
        <w:t xml:space="preserve">Role of the London AI Centre</w:t>
      </w:r>
    </w:p>
    <w:bookmarkEnd w:id="27"/>
    <w:bookmarkStart w:id="28" w:name="ways-of-working"/>
    <w:p>
      <w:pPr>
        <w:pStyle w:val="Heading2"/>
      </w:pPr>
      <w:r>
        <w:t xml:space="preserve">Ways of working</w:t>
      </w:r>
    </w:p>
    <w:bookmarkEnd w:id="28"/>
    <w:bookmarkStart w:id="29" w:name="broad-objectives-and-work-packages"/>
    <w:p>
      <w:pPr>
        <w:pStyle w:val="Heading2"/>
      </w:pPr>
      <w:r>
        <w:t xml:space="preserve">Broad objectives and work packages</w:t>
      </w:r>
    </w:p>
    <w:bookmarkEnd w:id="29"/>
    <w:bookmarkStart w:id="30" w:name="proposed-use-cases"/>
    <w:p>
      <w:pPr>
        <w:pStyle w:val="Heading2"/>
      </w:pPr>
      <w:r>
        <w:t xml:space="preserve">Proposed use-cases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https://d3london.github.io/sde_aic_docs/index.qmd.html" TargetMode="External" /></Relationships>
</file>

<file path=word/_rels/footnotes.xml.rels><?xml version="1.0" encoding="UTF-8"?><Relationships xmlns="http://schemas.openxmlformats.org/package/2006/relationships"><Relationship Type="http://schemas.openxmlformats.org/officeDocument/2006/relationships/hyperlink" Id="rId25" Target="https://d3london.github.io/sde_aic_docs/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London SDE / AI Centre Programme</dc:title>
  <dc:creator/>
  <cp:keywords/>
  <dcterms:created xsi:type="dcterms:W3CDTF">2024-04-07T18:17:18Z</dcterms:created>
  <dcterms:modified xsi:type="dcterms:W3CDTF">2024-04-07T18:17:18Z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