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drawing>
          <wp:inline distT="0" distB="0" distL="0" distR="0">
            <wp:extent cx="3333750" cy="1057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0F1B2D"/>
          <w:sz w:val="44"/>
          <w:szCs w:val="44"/>
        </w:rPr>
        <w:t>Αναφορά Αξιολόγησης EASM</w:t>
      </w:r>
    </w:p>
    <w:p>
      <w:pPr>
        <w:pBdr>
          <w:bottom w:val="single" w:color="00B4D8" w:sz="4" w:space="1"/>
        </w:pBdr>
        <w:spacing w:after="400"/>
        <w:jc w:val="center"/>
      </w:pPr>
      <w:r>
        <w:rPr>
          <w:rFonts w:ascii="Arial" w:cs="Arial" w:eastAsia="Arial" w:hAnsi="Arial"/>
          <w:color w:val="00B4D8"/>
          <w:sz w:val="28"/>
          <w:szCs w:val="28"/>
        </w:rPr>
        <w:t>Επίπεδο Gold</w:t>
      </w:r>
    </w:p>
    <w:p>
      <w:pPr>
        <w:spacing w:before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Όνομα Πελάτη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[CLIENT NAME]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Αναγνωριστικό Εμπλοκής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RAVEN-EASM-[YYYY]-[NNN]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Ημερομηνία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[DATE]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Prepared By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[ANALYST NAME]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Classification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ΕΜΠΙΣΤΕΥΤΙΚΟ</w:t>
            </w:r>
          </w:p>
        </w:tc>
      </w:tr>
    </w:tbl>
    <w:p>
      <w:pPr>
        <w:sectPr>
          <w:headerReference w:type="default" r:id="rId11"/>
          <w:footerReference w:type="default" r:id="rId12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>1. Εκτελεστική Περίληψη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>[2–3 page strategic summary for C-suite and board. Include: threat landscape context, overall risk posture, key exposure areas, strategic recommendations with estimated investment, comparison to industry benchmarks]</w:t>
      </w:r>
    </w:p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>2. Περίληψη Πεδίου Εφαρμογής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Παράμετρος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Λεπτομέρειες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Οργανισμός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Αξιολογήθηκαν Τομείς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Subsidiaries/Acquisitions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Partner Integrations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Total Assets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Assessment Period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Μεθοδολογία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RAVEN EASM Gold</w:t>
            </w:r>
          </w:p>
        </w:tc>
      </w:tr>
    </w:tbl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>3. Επισκόπηση Επιφάνειας Επίθεσης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>[Attack surface heat map or visualization showing exposure points and risk concentrations. Include diagram/screenshot here]</w:t>
      </w:r>
    </w:p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>4. Καταγραφή Στοιχείων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>Complete inventory: RAVEN_Asset_Inventory.xlsx</w:t>
      </w:r>
    </w:p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>5. Ευρήματα Ευπαθειών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>5.1 Κατανομή Σοβαρότητας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Σοβαρότητα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Πλήθος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Επικυρώθηκε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Εκμεταλλεύσιμο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Επιχειρηματικός Κίνδυνος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Κρίσιμο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Υψηλό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Μεσαίο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Χαμηλό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50" w:before="150"/>
      </w:pP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>5.2 Αναλυτικά Ευρήματα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>[Each finding with full manual analysis, business impact, and PoC]</w:t>
      </w:r>
    </w:p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>6. Αφηγήσεις Επιθέσεων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>[Βήμα-by-step attack chain walkthroughs showing how an adversary could chain vulnerabilities. Include screenshots, evidence, and impact analysis for each path]</w:t>
      </w:r>
    </w:p>
    <w:p>
      <w:pPr>
        <w:spacing w:after="150" w:before="150"/>
      </w:pP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>Attack Path 1: [Τίτλος]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680"/>
        <w:gridCol w:w="268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Βήμα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Ενέργεια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Εύρημα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Αντίκτυπος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3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>7. Κίνδυνος Τρίτων &amp; Εφοδιαστικής Αλυσίδας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>[Vendor portals, partner integrations, shared infrastructure risks, and supply chain exposure analysis]</w:t>
      </w:r>
    </w:p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>8. Έκθεση Cloud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>[Comprehensive cloud assessment across all providers]</w:t>
      </w:r>
    </w:p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>9. Έκθεση Διαπιστευτηρίων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>[Full breach/dark web credential analysis with rotation recommendations]</w:t>
      </w:r>
    </w:p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>10. Στρατηγικός Οδικός Χάρτης Αποκατάστασης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060"/>
        <w:gridCol w:w="2100"/>
        <w:gridCol w:w="2100"/>
      </w:tblGrid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Χρονικό Πλαίσιο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Ενέργειες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Πόροι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Επένδυση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0–30 days (Άμεσο)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31–60 days (Βραχυπρόθεσμο)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61–90 days (Μεσοπρόθεσμο)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90+ days (Strategic)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>11. Μεθοδολογία &amp; Παράρτημα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Παράρτημα A: Full asset inventory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Παράρτημα B: Αποκατάσταση matrix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Παράρτημα C: Attack chain evidence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Παράρτημα D: Εργαλείο configurations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Παράρτημα E: Board deck (RAVEN_Board_Deck.pptx)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>RAVEN Cybersecurity IKE — Αναφορά Αξιολόγησης EASM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F1B2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0B4D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808b277fc08e1831540d1686616b5899638ddfc.jpg"/><Relationship Id="rId10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2026-03-01T11:40:40.564Z</dcterms:created>
  <dcterms:modified xsi:type="dcterms:W3CDTF">2026-03-01T11:40:40.564Z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