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  <w:jc w:val="center"/>
      </w:pPr>
      <w:r>
        <w:drawing>
          <wp:inline distT="0" distB="0" distL="0" distR="0">
            <wp:extent cx="3333750" cy="1057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0"/>
      </w:pP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0F1B2D"/>
          <w:sz w:val="44"/>
          <w:szCs w:val="44"/>
        </w:rPr>
        <w:t xml:space="preserve">EASM Assessment Report</w:t>
      </w:r>
    </w:p>
    <w:p>
      <w:pPr>
        <w:pBdr>
          <w:bottom w:val="single" w:color="00B4D8" w:sz="4" w:space="1"/>
        </w:pBdr>
        <w:spacing w:after="400"/>
        <w:jc w:val="center"/>
      </w:pPr>
      <w:r>
        <w:rPr>
          <w:rFonts w:ascii="Arial" w:cs="Arial" w:eastAsia="Arial" w:hAnsi="Arial"/>
          <w:color w:val="00B4D8"/>
          <w:sz w:val="28"/>
          <w:szCs w:val="28"/>
        </w:rPr>
        <w:t xml:space="preserve">Silver Tier</w:t>
      </w:r>
    </w:p>
    <w:p>
      <w:pPr>
        <w:spacing w:before="6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Client Name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[CLIENT NAME]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Engagement ID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RAVEN-EASM-[YYYY]-[NNN]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Date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[DATE]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[ANALYST NAME]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CONFIDENTIAL</w:t>
            </w:r>
          </w:p>
        </w:tc>
      </w:tr>
    </w:tbl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60" w:before="300"/>
      </w:pPr>
      <w:r>
        <w:rPr>
          <w:rFonts w:ascii="Arial" w:cs="Arial" w:eastAsia="Arial" w:hAnsi="Arial"/>
        </w:rPr>
        <w:t xml:space="preserve">1. Executive Summary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[1–2 page non-technical overview for leadership: key risks, overall posture assessment, top 5 priority recommendations]</w:t>
      </w:r>
    </w:p>
    <w:p>
      <w:pPr>
        <w:spacing w:after="150" w:before="150"/>
      </w:pPr>
    </w:p>
    <w:p>
      <w:pPr>
        <w:pStyle w:val="Heading1"/>
        <w:spacing w:after="160" w:before="300"/>
      </w:pPr>
      <w:r>
        <w:rPr>
          <w:rFonts w:ascii="Arial" w:cs="Arial" w:eastAsia="Arial" w:hAnsi="Arial"/>
        </w:rPr>
        <w:t xml:space="preserve">2. Scope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Domains Assessed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Subsidiaries Included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Total Assets Discovered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Assessment Period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Methodology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RAVEN EASM Silver</w:t>
            </w:r>
          </w:p>
        </w:tc>
      </w:tr>
    </w:tbl>
    <w:p>
      <w:pPr>
        <w:spacing w:after="150" w:before="150"/>
      </w:pPr>
    </w:p>
    <w:p>
      <w:pPr>
        <w:pStyle w:val="Heading1"/>
        <w:spacing w:after="160" w:before="300"/>
      </w:pPr>
      <w:r>
        <w:rPr>
          <w:rFonts w:ascii="Arial" w:cs="Arial" w:eastAsia="Arial" w:hAnsi="Arial"/>
        </w:rPr>
        <w:t xml:space="preserve">3. Asset Inventory Summary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Complete inventory: RAVEN_Asset_Inventory.xlsx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Total Subdomains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Live Hosts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Web Applications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Cloud Assets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API Endpoints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Code Repositories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</w:tr>
    </w:tbl>
    <w:p>
      <w:pPr>
        <w:spacing w:after="150" w:before="150"/>
      </w:pPr>
    </w:p>
    <w:p>
      <w:pPr>
        <w:pStyle w:val="Heading1"/>
        <w:spacing w:after="160" w:before="300"/>
      </w:pPr>
      <w:r>
        <w:rPr>
          <w:rFonts w:ascii="Arial" w:cs="Arial" w:eastAsia="Arial" w:hAnsi="Arial"/>
        </w:rPr>
        <w:t xml:space="preserve">4. Vulnerability Findings</w:t>
      </w:r>
    </w:p>
    <w:p>
      <w:pPr>
        <w:pStyle w:val="Heading2"/>
        <w:spacing w:after="160" w:before="300"/>
      </w:pPr>
      <w:r>
        <w:rPr>
          <w:rFonts w:ascii="Arial" w:cs="Arial" w:eastAsia="Arial" w:hAnsi="Arial"/>
        </w:rPr>
        <w:t xml:space="preserve">4.1 Severity Distribution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Validated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Critical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Low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</w:tr>
    </w:tbl>
    <w:p>
      <w:pPr>
        <w:spacing w:after="150" w:before="150"/>
      </w:pPr>
    </w:p>
    <w:p>
      <w:pPr>
        <w:pStyle w:val="Heading2"/>
        <w:spacing w:after="160" w:before="300"/>
      </w:pPr>
      <w:r>
        <w:rPr>
          <w:rFonts w:ascii="Arial" w:cs="Arial" w:eastAsia="Arial" w:hAnsi="Arial"/>
        </w:rPr>
        <w:t xml:space="preserve">4.2 Risk-Scored Findings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[Each finding includes business context, exploitability rating (EPSS), and risk score]</w:t>
      </w:r>
    </w:p>
    <w:p>
      <w:pPr>
        <w:spacing w:after="150" w:before="150"/>
      </w:pPr>
    </w:p>
    <w:p>
      <w:pPr>
        <w:pStyle w:val="Heading3"/>
        <w:spacing w:after="160" w:before="300"/>
      </w:pPr>
      <w:r>
        <w:rPr>
          <w:rFonts w:ascii="Arial" w:cs="Arial" w:eastAsia="Arial" w:hAnsi="Arial"/>
        </w:rPr>
        <w:t xml:space="preserve">Finding: [RAVEN-EASM-NNN] [Title]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Severity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Business Risk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EPSS Score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Affected Asset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CVE Reference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Business Impact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Evidence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Remediation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Verification Status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Manually Validated</w:t>
            </w:r>
          </w:p>
        </w:tc>
      </w:tr>
    </w:tbl>
    <w:p>
      <w:pPr>
        <w:spacing w:after="150" w:before="150"/>
      </w:pPr>
    </w:p>
    <w:p>
      <w:pPr>
        <w:pStyle w:val="Heading1"/>
        <w:spacing w:after="160" w:before="300"/>
      </w:pPr>
      <w:r>
        <w:rPr>
          <w:rFonts w:ascii="Arial" w:cs="Arial" w:eastAsia="Arial" w:hAnsi="Arial"/>
        </w:rPr>
        <w:t xml:space="preserve">5. Cloud Exposure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[Cloud-specific findings: misconfigured storage, exposed APIs, shadow IT assets]</w:t>
      </w:r>
    </w:p>
    <w:p>
      <w:pPr>
        <w:spacing w:after="150" w:before="150"/>
      </w:pPr>
    </w:p>
    <w:p>
      <w:pPr>
        <w:pStyle w:val="Heading1"/>
        <w:spacing w:after="160" w:before="300"/>
      </w:pPr>
      <w:r>
        <w:rPr>
          <w:rFonts w:ascii="Arial" w:cs="Arial" w:eastAsia="Arial" w:hAnsi="Arial"/>
        </w:rPr>
        <w:t xml:space="preserve">6. Credential Exposure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[Breach-sourced accounts mapped to the organization. Include breach source, date, and rotation status]</w:t>
      </w:r>
    </w:p>
    <w:p>
      <w:pPr>
        <w:spacing w:after="150" w:before="150"/>
      </w:pPr>
    </w:p>
    <w:p>
      <w:pPr>
        <w:pStyle w:val="Heading1"/>
        <w:spacing w:after="160" w:before="300"/>
      </w:pPr>
      <w:r>
        <w:rPr>
          <w:rFonts w:ascii="Arial" w:cs="Arial" w:eastAsia="Arial" w:hAnsi="Arial"/>
        </w:rPr>
        <w:t xml:space="preserve">7. Remediation Priority Matrix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See RAVEN_Remediation_Matrix.xlsx for the full prioritized remediation plan.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100"/>
        <w:gridCol w:w="3060"/>
        <w:gridCol w:w="2100"/>
      </w:tblGrid>
      <w:tr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Items</w:t>
            </w:r>
          </w:p>
        </w:tc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</w:tr>
      <w:tr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Immediate (0–14 days)</w:t>
            </w:r>
          </w:p>
        </w:tc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Short-term (15–30 days)</w:t>
            </w:r>
          </w:p>
        </w:tc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Medium-term (31–90 days)</w:t>
            </w:r>
          </w:p>
        </w:tc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Strategic (90+ days)</w:t>
            </w:r>
          </w:p>
        </w:tc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</w:tr>
    </w:tbl>
    <w:p>
      <w:pPr>
        <w:spacing w:after="150" w:before="150"/>
      </w:pPr>
    </w:p>
    <w:p>
      <w:pPr>
        <w:pStyle w:val="Heading1"/>
        <w:spacing w:after="160" w:before="300"/>
      </w:pPr>
      <w:r>
        <w:rPr>
          <w:rFonts w:ascii="Arial" w:cs="Arial" w:eastAsia="Arial" w:hAnsi="Arial"/>
        </w:rPr>
        <w:t xml:space="preserve">8. DNS &amp; Email Security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SPF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DKIM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DMARC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Zone Transfer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</w:tr>
    </w:tbl>
    <w:p>
      <w:pPr>
        <w:spacing w:after="150" w:before="150"/>
      </w:pPr>
    </w:p>
    <w:p>
      <w:pPr>
        <w:pStyle w:val="Heading1"/>
        <w:spacing w:after="160" w:before="300"/>
      </w:pPr>
      <w:r>
        <w:rPr>
          <w:rFonts w:ascii="Arial" w:cs="Arial" w:eastAsia="Arial" w:hAnsi="Arial"/>
        </w:rPr>
        <w:t xml:space="preserve">9. Methodology &amp; Appendix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Appendix A: Full asset inventory (RAVEN_Asset_Inventory.xlsx)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Appendix B: Remediation matrix (RAVEN_Remediation_Matrix.xlsx)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Appendix C: Tool versions, scan configurations, and raw data references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RAVEN Cybersecurity IKE — EASM Assessment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0F1B2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00B4D8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1808b277fc08e1831540d1686616b5899638ddfc.jp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2026-03-01T11:40:40.555Z</dcterms:created>
  <dcterms:modified xsi:type="dcterms:W3CDTF">2026-03-01T11:40:40.555Z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