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3333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1B2D"/>
          <w:sz w:val="44"/>
          <w:szCs w:val="44"/>
        </w:rPr>
        <w:t>Αναφορά Αξιολόγησης EASM</w:t>
      </w:r>
    </w:p>
    <w:p>
      <w:pPr>
        <w:pBdr>
          <w:bottom w:val="single" w:color="00B4D8" w:sz="4" w:space="1"/>
        </w:pBdr>
        <w:spacing w:after="40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>Επίπεδο Silver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Όνομα Πελάτη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[CLIENT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Αναγνωριστικό Εμπλοκής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RAVEN-EASM-[YYYY]-[NNN]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Ημερομηνία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[DATE]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Prepared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[ANALYST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Classification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ΕΜΠΙΣΤΕΥΤΙΚΟ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1. Εκτελεστική Περίληψη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[1–2 page non-technical overview for leadership: key risks, overall posture assessment, top 5 priority recommendations]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2. Περίληψη Πεδίου Εφαρμογής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Παράμετρος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Λεπτομέρειες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Αξιολογήθηκαν Τομείς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Συμπεριλήφθηκαν Θυγατρικές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Total Assets Discovered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Assessment Period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Μεθοδολογία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RAVEN EASM Silver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3. Περίληψη Καταγραφής Στοιχείων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>Complete inventory: RAVEN_Asset_Inventory.xlsx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Μέτρηση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Πλήθος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Σύνολο Υποτομέων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Ενεργοί Φιλοξενητές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Web Applications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Cloud Assets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API Endpoints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Code Repositories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4. Ευρήματα Ευπαθειών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>4.1 Κατανομή Σοβαρότητας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Σοβαρότητα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Πλήθος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Επικυρώθηκε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Κρίσιμο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Υψηλό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Μεσαίο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Χαμηλό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>4.2 Ευρήματα με Βαθμολογία Κινδύνου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[Each finding includes business context, exploitability rating (EPSS), and risk score]</w:t>
      </w:r>
    </w:p>
    <w:p>
      <w:pPr>
        <w:spacing w:after="150" w:before="150"/>
      </w:pPr>
    </w:p>
    <w:p>
      <w:pPr>
        <w:pStyle w:val="Heading3"/>
        <w:spacing w:after="160" w:before="300"/>
      </w:pPr>
      <w:r>
        <w:rPr>
          <w:rFonts w:ascii="Arial" w:cs="Arial" w:eastAsia="Arial" w:hAnsi="Arial"/>
        </w:rPr>
        <w:t>Εύρημα: [RAVEN-EASM-NNN] [Τίτλος]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Πεδίο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Λεπτομέρειες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Σοβαρότητα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Επιχειρηματικός Κίνδυνος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EPSS Score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Επηρεαζόμενο Στοιχείο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CVE Reference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Περιγραφή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Επιχειρηματικός Αντίκτυπος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Αποδεικτικά Στοιχεία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Αποκατάσταση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Verification Κατάσταση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Manually Επικυρώθηκε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5. Έκθεση Cloud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[Cloud-specific findings: misconfigured storage, exposed APIs, shadow IT assets]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6. Έκθεση Διαπιστευτηρίων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[Breach-sourced accounts mapped to the organization. Include breach source, date, and rotation status]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7. Πίνακας Προτεραιότητας Αποκατάστασης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>See RAVEN_Αποκατάσταση_Matrix.xlsx for the full prioritized remediation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3060"/>
        <w:gridCol w:w="2100"/>
      </w:tblGrid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Προτεραιότητα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Κατηγορία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Στοιχεία Ενέργειας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Προσπάθεια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Άμεσο (0–14 days)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Βραχυπρόθεσμο (15–30 days)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Μεσοπρόθεσμο (31–90 days)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Strategic (90+ days)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8. Ασφάλεια DNS &amp;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Έλεγχος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Κατάσταση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Λεπτομέρειες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SPF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DKIM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DMARC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Zone Transfer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9. Μεθοδολογία &amp; Παράρτημα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Παράρτημα A: Full asset inventory (RAVEN_Asset_Inventory.xlsx)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Παράρτημα B: Αποκατάσταση matrix (RAVEN_Αποκατάσταση_Matrix.xlsx)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Παράρτημα C: Εργαλείο versions, scan configurations, and raw data references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>RAVEN Cybersecurity IKE — Αναφορά Αξιολόγησης EASM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B4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8b277fc08e1831540d1686616b5899638ddfc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2026-03-01T11:40:40.555Z</dcterms:created>
  <dcterms:modified xsi:type="dcterms:W3CDTF">2026-03-01T11:40:40.555Z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