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jc w:val="center"/>
      </w:pPr>
      <w:r>
        <w:drawing>
          <wp:inline distT="0" distB="0" distL="0" distR="0">
            <wp:extent cx="3333750" cy="1057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333750" cy="1057275"/>
                    </a:xfrm>
                    <a:prstGeom prst="rect">
                      <a:avLst/>
                    </a:prstGeom>
                  </pic:spPr>
                </pic:pic>
              </a:graphicData>
            </a:graphic>
          </wp:inline>
        </w:drawing>
      </w:r>
    </w:p>
    <w:p>
      <w:pPr>
        <w:spacing w:before="600"/>
      </w:pPr>
    </w:p>
    <w:p>
      <w:pPr>
        <w:spacing w:after="160"/>
        <w:jc w:val="center"/>
      </w:pPr>
      <w:r>
        <w:rPr>
          <w:rFonts w:ascii="Arial" w:cs="Arial" w:eastAsia="Arial" w:hAnsi="Arial"/>
          <w:b/>
          <w:bCs/>
          <w:color w:val="0F1B2D"/>
          <w:sz w:val="44"/>
          <w:szCs w:val="44"/>
        </w:rPr>
        <w:t xml:space="preserve">Rules of Engagement</w:t>
      </w:r>
    </w:p>
    <w:p>
      <w:pPr>
        <w:pBdr>
          <w:bottom w:val="single" w:color="00B4D8" w:sz="4" w:space="1"/>
        </w:pBdr>
        <w:spacing w:after="400"/>
        <w:jc w:val="center"/>
      </w:pPr>
      <w:r>
        <w:rPr>
          <w:rFonts w:ascii="Arial" w:cs="Arial" w:eastAsia="Arial" w:hAnsi="Arial"/>
          <w:color w:val="00B4D8"/>
          <w:sz w:val="28"/>
          <w:szCs w:val="28"/>
        </w:rPr>
        <w:t xml:space="preserve">External Attack Surface Mapping</w:t>
      </w:r>
    </w:p>
    <w:p>
      <w:pPr>
        <w:spacing w:before="6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bCs/>
                <w:color w:val="1A1A2E"/>
                <w:sz w:val="20"/>
                <w:szCs w:val="20"/>
              </w:rPr>
              <w:t xml:space="preserve">Client Name</w:t>
            </w:r>
          </w:p>
        </w:tc>
        <w:tc>
          <w:tcPr>
            <w:tcW w:type="dxa" w:w="63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[CLIENT NAME]</w:t>
            </w:r>
          </w:p>
        </w:tc>
      </w:tr>
      <w:tr>
        <w:tc>
          <w:tcPr>
            <w:tcW w:type="dxa" w:w="3000"/>
            <w:tcBorders>
              <w:top w:val="single" w:color="D1D5DB" w:sz="1"/>
              <w:left w:val="single" w:color="D1D5DB" w:sz="1"/>
              <w:bottom w:val="single" w:color="D1D5DB" w:sz="1"/>
              <w:right w:val="single" w:color="D1D5DB" w:sz="1"/>
            </w:tcBorders>
            <w:shd w:fill="F0F6FA" w:val="clear"/>
            <w:tcMar>
              <w:top w:type="dxa" w:w="80"/>
              <w:left w:type="dxa" w:w="120"/>
              <w:bottom w:type="dxa" w:w="80"/>
              <w:right w:type="dxa" w:w="120"/>
            </w:tcMar>
            <w:vAlign w:val="center"/>
          </w:tcPr>
          <w:p>
            <w:r>
              <w:rPr>
                <w:rFonts w:ascii="Arial" w:cs="Arial" w:eastAsia="Arial" w:hAnsi="Arial"/>
                <w:b/>
                <w:bCs/>
                <w:color w:val="1A1A2E"/>
                <w:sz w:val="20"/>
                <w:szCs w:val="20"/>
              </w:rPr>
              <w:t xml:space="preserve">Engagement ID</w:t>
            </w:r>
          </w:p>
        </w:tc>
        <w:tc>
          <w:tcPr>
            <w:tcW w:type="dxa" w:w="6360"/>
            <w:tcBorders>
              <w:top w:val="single" w:color="D1D5DB" w:sz="1"/>
              <w:left w:val="single" w:color="D1D5DB" w:sz="1"/>
              <w:bottom w:val="single" w:color="D1D5DB" w:sz="1"/>
              <w:right w:val="single" w:color="D1D5DB" w:sz="1"/>
            </w:tcBorders>
            <w:shd w:fill="F0F6FA"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RAVEN-EASM-[YYYY]-[NNN]</w:t>
            </w:r>
          </w:p>
        </w:tc>
      </w:tr>
      <w:tr>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bCs/>
                <w:color w:val="1A1A2E"/>
                <w:sz w:val="20"/>
                <w:szCs w:val="20"/>
              </w:rPr>
              <w:t xml:space="preserve">Date</w:t>
            </w:r>
          </w:p>
        </w:tc>
        <w:tc>
          <w:tcPr>
            <w:tcW w:type="dxa" w:w="63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[DATE]</w:t>
            </w:r>
          </w:p>
        </w:tc>
      </w:tr>
      <w:tr>
        <w:tc>
          <w:tcPr>
            <w:tcW w:type="dxa" w:w="3000"/>
            <w:tcBorders>
              <w:top w:val="single" w:color="D1D5DB" w:sz="1"/>
              <w:left w:val="single" w:color="D1D5DB" w:sz="1"/>
              <w:bottom w:val="single" w:color="D1D5DB" w:sz="1"/>
              <w:right w:val="single" w:color="D1D5DB" w:sz="1"/>
            </w:tcBorders>
            <w:shd w:fill="F0F6FA" w:val="clear"/>
            <w:tcMar>
              <w:top w:type="dxa" w:w="80"/>
              <w:left w:type="dxa" w:w="120"/>
              <w:bottom w:type="dxa" w:w="80"/>
              <w:right w:type="dxa" w:w="120"/>
            </w:tcMar>
            <w:vAlign w:val="center"/>
          </w:tcPr>
          <w:p>
            <w:r>
              <w:rPr>
                <w:rFonts w:ascii="Arial" w:cs="Arial" w:eastAsia="Arial" w:hAnsi="Arial"/>
                <w:b/>
                <w:bCs/>
                <w:color w:val="1A1A2E"/>
                <w:sz w:val="20"/>
                <w:szCs w:val="20"/>
              </w:rPr>
              <w:t xml:space="preserve">Prepared By</w:t>
            </w:r>
          </w:p>
        </w:tc>
        <w:tc>
          <w:tcPr>
            <w:tcW w:type="dxa" w:w="6360"/>
            <w:tcBorders>
              <w:top w:val="single" w:color="D1D5DB" w:sz="1"/>
              <w:left w:val="single" w:color="D1D5DB" w:sz="1"/>
              <w:bottom w:val="single" w:color="D1D5DB" w:sz="1"/>
              <w:right w:val="single" w:color="D1D5DB" w:sz="1"/>
            </w:tcBorders>
            <w:shd w:fill="F0F6FA"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[ANALYST NAME]</w:t>
            </w:r>
          </w:p>
        </w:tc>
      </w:tr>
      <w:tr>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bCs/>
                <w:color w:val="1A1A2E"/>
                <w:sz w:val="20"/>
                <w:szCs w:val="20"/>
              </w:rPr>
              <w:t xml:space="preserve">Classification</w:t>
            </w:r>
          </w:p>
        </w:tc>
        <w:tc>
          <w:tcPr>
            <w:tcW w:type="dxa" w:w="63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CONFIDENTIAL</w:t>
            </w:r>
          </w:p>
        </w:tc>
      </w:tr>
    </w:tbl>
    <w:p>
      <w:pPr>
        <w:sectPr>
          <w:pgSz w:w="12240" w:h="15840" w:orient="portrait"/>
          <w:pgMar w:top="1440" w:right="1440" w:bottom="1440" w:left="1440" w:header="708" w:footer="708" w:gutter="0"/>
          <w:pgNumType/>
          <w:docGrid w:linePitch="360"/>
        </w:sectPr>
      </w:pPr>
    </w:p>
    <w:p>
      <w:pPr>
        <w:pStyle w:val="Heading1"/>
        <w:spacing w:after="160" w:before="300"/>
      </w:pPr>
      <w:r>
        <w:rPr>
          <w:rFonts w:ascii="Arial" w:cs="Arial" w:eastAsia="Arial" w:hAnsi="Arial"/>
        </w:rPr>
        <w:t xml:space="preserve">1. Engagement Overview</w:t>
      </w:r>
    </w:p>
    <w:p>
      <w:pPr>
        <w:spacing w:after="80" w:before="80"/>
      </w:pPr>
      <w:r>
        <w:rPr>
          <w:rFonts w:ascii="Arial" w:cs="Arial" w:eastAsia="Arial" w:hAnsi="Arial"/>
          <w:sz w:val="22"/>
          <w:szCs w:val="22"/>
        </w:rPr>
        <w:t xml:space="preserve">This document defines the rules, scope, and constraints for the External Attack Surface Mapping (EASM) engagement between RAVEN Cybersecurity IKE (“Provider”) and the client organization (“Client”).</w:t>
      </w:r>
    </w:p>
    <w:p>
      <w:pPr>
        <w:spacing w:after="150" w:before="150"/>
      </w:pPr>
    </w:p>
    <w:p>
      <w:pPr>
        <w:pStyle w:val="Heading1"/>
        <w:spacing w:after="160" w:before="300"/>
      </w:pPr>
      <w:r>
        <w:rPr>
          <w:rFonts w:ascii="Arial" w:cs="Arial" w:eastAsia="Arial" w:hAnsi="Arial"/>
        </w:rPr>
        <w:t xml:space="preserve">2. Scope Definition</w:t>
      </w:r>
    </w:p>
    <w:p>
      <w:pPr>
        <w:pStyle w:val="Heading2"/>
        <w:spacing w:after="160" w:before="300"/>
      </w:pPr>
      <w:r>
        <w:rPr>
          <w:rFonts w:ascii="Arial" w:cs="Arial" w:eastAsia="Arial" w:hAnsi="Arial"/>
        </w:rPr>
        <w:t xml:space="preserve">2.1 In-Scope Assets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160"/>
        <w:gridCol w:w="2800"/>
      </w:tblGrid>
      <w:tr>
        <w:tc>
          <w:tcPr>
            <w:tcW w:type="dxa" w:w="2400"/>
            <w:tcBorders>
              <w:top w:val="single" w:color="D1D5DB" w:sz="1"/>
              <w:left w:val="single" w:color="D1D5DB" w:sz="1"/>
              <w:bottom w:val="single" w:color="D1D5DB" w:sz="1"/>
              <w:right w:val="single" w:color="D1D5DB" w:sz="1"/>
            </w:tcBorders>
            <w:shd w:fill="0F1B2D" w:val="clear"/>
            <w:tcMar>
              <w:top w:type="dxa" w:w="80"/>
              <w:left w:type="dxa" w:w="120"/>
              <w:bottom w:type="dxa" w:w="80"/>
              <w:right w:type="dxa" w:w="120"/>
            </w:tcMar>
            <w:vAlign w:val="center"/>
          </w:tcPr>
          <w:p>
            <w:r>
              <w:rPr>
                <w:rFonts w:ascii="Arial" w:cs="Arial" w:eastAsia="Arial" w:hAnsi="Arial"/>
                <w:b/>
                <w:bCs/>
                <w:color w:val="FFFFFF"/>
                <w:sz w:val="20"/>
                <w:szCs w:val="20"/>
              </w:rPr>
              <w:t xml:space="preserve">Asset Type</w:t>
            </w:r>
          </w:p>
        </w:tc>
        <w:tc>
          <w:tcPr>
            <w:tcW w:type="dxa" w:w="4160"/>
            <w:tcBorders>
              <w:top w:val="single" w:color="D1D5DB" w:sz="1"/>
              <w:left w:val="single" w:color="D1D5DB" w:sz="1"/>
              <w:bottom w:val="single" w:color="D1D5DB" w:sz="1"/>
              <w:right w:val="single" w:color="D1D5DB" w:sz="1"/>
            </w:tcBorders>
            <w:shd w:fill="0F1B2D"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Details</w:t>
            </w:r>
          </w:p>
        </w:tc>
        <w:tc>
          <w:tcPr>
            <w:tcW w:type="dxa" w:w="2800"/>
            <w:tcBorders>
              <w:top w:val="single" w:color="D1D5DB" w:sz="1"/>
              <w:left w:val="single" w:color="D1D5DB" w:sz="1"/>
              <w:bottom w:val="single" w:color="D1D5DB" w:sz="1"/>
              <w:right w:val="single" w:color="D1D5DB" w:sz="1"/>
            </w:tcBorders>
            <w:shd w:fill="0F1B2D"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Primary Domain(s)</w:t>
            </w:r>
          </w:p>
        </w:tc>
        <w:tc>
          <w:tcPr>
            <w:tcW w:type="dxa" w:w="4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6B7280"/>
                <w:sz w:val="20"/>
                <w:szCs w:val="20"/>
              </w:rPr>
              <w:t xml:space="preserve"> </w:t>
            </w:r>
          </w:p>
        </w:tc>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6B7280"/>
                <w:sz w:val="20"/>
                <w:szCs w:val="20"/>
              </w:rPr>
              <w:t xml:space="preserve"> </w:t>
            </w:r>
          </w:p>
        </w:tc>
      </w:tr>
      <w:tr>
        <w:tc>
          <w:tcPr>
            <w:tcW w:type="dxa" w:w="2400"/>
            <w:tcBorders>
              <w:top w:val="single" w:color="D1D5DB" w:sz="1"/>
              <w:left w:val="single" w:color="D1D5DB" w:sz="1"/>
              <w:bottom w:val="single" w:color="D1D5DB" w:sz="1"/>
              <w:right w:val="single" w:color="D1D5DB" w:sz="1"/>
            </w:tcBorders>
            <w:shd w:fill="F0F6FA"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Additional Domains</w:t>
            </w:r>
          </w:p>
        </w:tc>
        <w:tc>
          <w:tcPr>
            <w:tcW w:type="dxa" w:w="4160"/>
            <w:tcBorders>
              <w:top w:val="single" w:color="D1D5DB" w:sz="1"/>
              <w:left w:val="single" w:color="D1D5DB" w:sz="1"/>
              <w:bottom w:val="single" w:color="D1D5DB" w:sz="1"/>
              <w:right w:val="single" w:color="D1D5DB" w:sz="1"/>
            </w:tcBorders>
            <w:shd w:fill="F0F6FA" w:val="clear"/>
            <w:tcMar>
              <w:top w:type="dxa" w:w="80"/>
              <w:left w:type="dxa" w:w="120"/>
              <w:bottom w:type="dxa" w:w="80"/>
              <w:right w:type="dxa" w:w="120"/>
            </w:tcMar>
          </w:tcPr>
          <w:p>
            <w:r>
              <w:rPr>
                <w:rFonts w:ascii="Arial" w:cs="Arial" w:eastAsia="Arial" w:hAnsi="Arial"/>
                <w:color w:val="6B7280"/>
                <w:sz w:val="20"/>
                <w:szCs w:val="20"/>
              </w:rPr>
              <w:t xml:space="preserve"> </w:t>
            </w:r>
          </w:p>
        </w:tc>
        <w:tc>
          <w:tcPr>
            <w:tcW w:type="dxa" w:w="2800"/>
            <w:tcBorders>
              <w:top w:val="single" w:color="D1D5DB" w:sz="1"/>
              <w:left w:val="single" w:color="D1D5DB" w:sz="1"/>
              <w:bottom w:val="single" w:color="D1D5DB" w:sz="1"/>
              <w:right w:val="single" w:color="D1D5DB" w:sz="1"/>
            </w:tcBorders>
            <w:shd w:fill="F0F6FA" w:val="clear"/>
            <w:tcMar>
              <w:top w:type="dxa" w:w="80"/>
              <w:left w:type="dxa" w:w="120"/>
              <w:bottom w:type="dxa" w:w="80"/>
              <w:right w:type="dxa" w:w="120"/>
            </w:tcMar>
          </w:tcPr>
          <w:p>
            <w:r>
              <w:rPr>
                <w:rFonts w:ascii="Arial" w:cs="Arial" w:eastAsia="Arial" w:hAnsi="Arial"/>
                <w:color w:val="6B7280"/>
                <w:sz w:val="20"/>
                <w:szCs w:val="20"/>
              </w:rPr>
              <w:t xml:space="preserve"> </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IP Ranges / CIDRs</w:t>
            </w:r>
          </w:p>
        </w:tc>
        <w:tc>
          <w:tcPr>
            <w:tcW w:type="dxa" w:w="4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6B7280"/>
                <w:sz w:val="20"/>
                <w:szCs w:val="20"/>
              </w:rPr>
              <w:t xml:space="preserve"> </w:t>
            </w:r>
          </w:p>
        </w:tc>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6B7280"/>
                <w:sz w:val="20"/>
                <w:szCs w:val="20"/>
              </w:rPr>
              <w:t xml:space="preserve"> </w:t>
            </w:r>
          </w:p>
        </w:tc>
      </w:tr>
      <w:tr>
        <w:tc>
          <w:tcPr>
            <w:tcW w:type="dxa" w:w="2400"/>
            <w:tcBorders>
              <w:top w:val="single" w:color="D1D5DB" w:sz="1"/>
              <w:left w:val="single" w:color="D1D5DB" w:sz="1"/>
              <w:bottom w:val="single" w:color="D1D5DB" w:sz="1"/>
              <w:right w:val="single" w:color="D1D5DB" w:sz="1"/>
            </w:tcBorders>
            <w:shd w:fill="F0F6FA"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Cloud Environments</w:t>
            </w:r>
          </w:p>
        </w:tc>
        <w:tc>
          <w:tcPr>
            <w:tcW w:type="dxa" w:w="4160"/>
            <w:tcBorders>
              <w:top w:val="single" w:color="D1D5DB" w:sz="1"/>
              <w:left w:val="single" w:color="D1D5DB" w:sz="1"/>
              <w:bottom w:val="single" w:color="D1D5DB" w:sz="1"/>
              <w:right w:val="single" w:color="D1D5DB" w:sz="1"/>
            </w:tcBorders>
            <w:shd w:fill="F0F6FA" w:val="clear"/>
            <w:tcMar>
              <w:top w:type="dxa" w:w="80"/>
              <w:left w:type="dxa" w:w="120"/>
              <w:bottom w:type="dxa" w:w="80"/>
              <w:right w:type="dxa" w:w="120"/>
            </w:tcMar>
          </w:tcPr>
          <w:p>
            <w:r>
              <w:rPr>
                <w:rFonts w:ascii="Arial" w:cs="Arial" w:eastAsia="Arial" w:hAnsi="Arial"/>
                <w:color w:val="6B7280"/>
                <w:sz w:val="20"/>
                <w:szCs w:val="20"/>
              </w:rPr>
              <w:t xml:space="preserve"> </w:t>
            </w:r>
          </w:p>
        </w:tc>
        <w:tc>
          <w:tcPr>
            <w:tcW w:type="dxa" w:w="2800"/>
            <w:tcBorders>
              <w:top w:val="single" w:color="D1D5DB" w:sz="1"/>
              <w:left w:val="single" w:color="D1D5DB" w:sz="1"/>
              <w:bottom w:val="single" w:color="D1D5DB" w:sz="1"/>
              <w:right w:val="single" w:color="D1D5DB" w:sz="1"/>
            </w:tcBorders>
            <w:shd w:fill="F0F6FA" w:val="clear"/>
            <w:tcMar>
              <w:top w:type="dxa" w:w="80"/>
              <w:left w:type="dxa" w:w="120"/>
              <w:bottom w:type="dxa" w:w="80"/>
              <w:right w:type="dxa" w:w="120"/>
            </w:tcMar>
          </w:tcPr>
          <w:p>
            <w:r>
              <w:rPr>
                <w:rFonts w:ascii="Arial" w:cs="Arial" w:eastAsia="Arial" w:hAnsi="Arial"/>
                <w:color w:val="6B7280"/>
                <w:sz w:val="20"/>
                <w:szCs w:val="20"/>
              </w:rPr>
              <w:t xml:space="preserve"> </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Subsidiaries</w:t>
            </w:r>
          </w:p>
        </w:tc>
        <w:tc>
          <w:tcPr>
            <w:tcW w:type="dxa" w:w="4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6B7280"/>
                <w:sz w:val="20"/>
                <w:szCs w:val="20"/>
              </w:rPr>
              <w:t xml:space="preserve"> </w:t>
            </w:r>
          </w:p>
        </w:tc>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6B7280"/>
                <w:sz w:val="20"/>
                <w:szCs w:val="20"/>
              </w:rPr>
              <w:t xml:space="preserve"> </w:t>
            </w:r>
          </w:p>
        </w:tc>
      </w:tr>
    </w:tbl>
    <w:p>
      <w:pPr>
        <w:spacing w:after="150" w:before="150"/>
      </w:pPr>
    </w:p>
    <w:p>
      <w:pPr>
        <w:pStyle w:val="Heading2"/>
        <w:spacing w:after="160" w:before="300"/>
      </w:pPr>
      <w:r>
        <w:rPr>
          <w:rFonts w:ascii="Arial" w:cs="Arial" w:eastAsia="Arial" w:hAnsi="Arial"/>
        </w:rPr>
        <w:t xml:space="preserve">2.2 Out-of-Scope Assets</w:t>
      </w:r>
    </w:p>
    <w:p>
      <w:pPr>
        <w:spacing w:after="80" w:before="80"/>
      </w:pPr>
      <w:r>
        <w:rPr>
          <w:rFonts w:ascii="Arial" w:cs="Arial" w:eastAsia="Arial" w:hAnsi="Arial"/>
          <w:i/>
          <w:iCs/>
          <w:color w:val="6B7280"/>
          <w:sz w:val="22"/>
          <w:szCs w:val="22"/>
        </w:rPr>
        <w:t xml:space="preserve">[List any assets, IP ranges, domains, or environments explicitly excluded from testing]</w:t>
      </w:r>
    </w:p>
    <w:p>
      <w:pPr>
        <w:spacing w:after="150" w:before="150"/>
      </w:pPr>
    </w:p>
    <w:p>
      <w:pPr>
        <w:pStyle w:val="Heading2"/>
        <w:spacing w:after="160" w:before="300"/>
      </w:pPr>
      <w:r>
        <w:rPr>
          <w:rFonts w:ascii="Arial" w:cs="Arial" w:eastAsia="Arial" w:hAnsi="Arial"/>
        </w:rPr>
        <w:t xml:space="preserve">2.3 Service Tier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1D5DB" w:sz="1"/>
              <w:left w:val="single" w:color="D1D5DB" w:sz="1"/>
              <w:bottom w:val="single" w:color="D1D5DB" w:sz="1"/>
              <w:right w:val="single" w:color="D1D5DB" w:sz="1"/>
            </w:tcBorders>
            <w:shd w:fill="0F1B2D" w:val="clear"/>
            <w:tcMar>
              <w:top w:type="dxa" w:w="80"/>
              <w:left w:type="dxa" w:w="120"/>
              <w:bottom w:type="dxa" w:w="80"/>
              <w:right w:type="dxa" w:w="120"/>
            </w:tcMar>
            <w:vAlign w:val="center"/>
          </w:tcPr>
          <w:p>
            <w:r>
              <w:rPr>
                <w:rFonts w:ascii="Arial" w:cs="Arial" w:eastAsia="Arial" w:hAnsi="Arial"/>
                <w:b/>
                <w:bCs/>
                <w:color w:val="FFFFFF"/>
                <w:sz w:val="20"/>
                <w:szCs w:val="20"/>
              </w:rPr>
              <w:t xml:space="preserve">Tier</w:t>
            </w:r>
          </w:p>
        </w:tc>
        <w:tc>
          <w:tcPr>
            <w:tcW w:type="dxa" w:w="4680"/>
            <w:tcBorders>
              <w:top w:val="single" w:color="D1D5DB" w:sz="1"/>
              <w:left w:val="single" w:color="D1D5DB" w:sz="1"/>
              <w:bottom w:val="single" w:color="D1D5DB" w:sz="1"/>
              <w:right w:val="single" w:color="D1D5DB" w:sz="1"/>
            </w:tcBorders>
            <w:shd w:fill="0F1B2D" w:val="clear"/>
            <w:tcMar>
              <w:top w:type="dxa" w:w="80"/>
              <w:left w:type="dxa" w:w="120"/>
              <w:bottom w:type="dxa" w:w="80"/>
              <w:right w:type="dxa" w:w="120"/>
            </w:tcMar>
            <w:vAlign w:val="center"/>
          </w:tcPr>
          <w:p>
            <w:r>
              <w:rPr>
                <w:rFonts w:ascii="Arial" w:cs="Arial" w:eastAsia="Arial" w:hAnsi="Arial"/>
                <w:b/>
                <w:bCs/>
                <w:color w:val="FFFFFF"/>
                <w:sz w:val="20"/>
                <w:szCs w:val="20"/>
              </w:rPr>
              <w:t xml:space="preserve">Selected</w:t>
            </w:r>
          </w:p>
        </w:tc>
      </w:tr>
      <w:tr>
        <w:tc>
          <w:tcPr>
            <w:tcW w:type="dxa" w:w="468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Bronze</w:t>
            </w:r>
          </w:p>
        </w:tc>
        <w:tc>
          <w:tcPr>
            <w:tcW w:type="dxa" w:w="46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6B7280"/>
                <w:sz w:val="20"/>
                <w:szCs w:val="20"/>
              </w:rPr>
              <w:t xml:space="preserve"> </w:t>
            </w:r>
          </w:p>
        </w:tc>
      </w:tr>
      <w:tr>
        <w:tc>
          <w:tcPr>
            <w:tcW w:type="dxa" w:w="4680"/>
            <w:tcBorders>
              <w:top w:val="single" w:color="D1D5DB" w:sz="1"/>
              <w:left w:val="single" w:color="D1D5DB" w:sz="1"/>
              <w:bottom w:val="single" w:color="D1D5DB" w:sz="1"/>
              <w:right w:val="single" w:color="D1D5DB" w:sz="1"/>
            </w:tcBorders>
            <w:shd w:fill="F0F6FA"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Silver</w:t>
            </w:r>
          </w:p>
        </w:tc>
        <w:tc>
          <w:tcPr>
            <w:tcW w:type="dxa" w:w="4680"/>
            <w:tcBorders>
              <w:top w:val="single" w:color="D1D5DB" w:sz="1"/>
              <w:left w:val="single" w:color="D1D5DB" w:sz="1"/>
              <w:bottom w:val="single" w:color="D1D5DB" w:sz="1"/>
              <w:right w:val="single" w:color="D1D5DB" w:sz="1"/>
            </w:tcBorders>
            <w:shd w:fill="F0F6FA" w:val="clear"/>
            <w:tcMar>
              <w:top w:type="dxa" w:w="80"/>
              <w:left w:type="dxa" w:w="120"/>
              <w:bottom w:type="dxa" w:w="80"/>
              <w:right w:type="dxa" w:w="120"/>
            </w:tcMar>
          </w:tcPr>
          <w:p>
            <w:r>
              <w:rPr>
                <w:rFonts w:ascii="Arial" w:cs="Arial" w:eastAsia="Arial" w:hAnsi="Arial"/>
                <w:color w:val="6B7280"/>
                <w:sz w:val="20"/>
                <w:szCs w:val="20"/>
              </w:rPr>
              <w:t xml:space="preserve"> </w:t>
            </w:r>
          </w:p>
        </w:tc>
      </w:tr>
      <w:tr>
        <w:tc>
          <w:tcPr>
            <w:tcW w:type="dxa" w:w="468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Gold</w:t>
            </w:r>
          </w:p>
        </w:tc>
        <w:tc>
          <w:tcPr>
            <w:tcW w:type="dxa" w:w="46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6B7280"/>
                <w:sz w:val="20"/>
                <w:szCs w:val="20"/>
              </w:rPr>
              <w:t xml:space="preserve"> </w:t>
            </w:r>
          </w:p>
        </w:tc>
      </w:tr>
    </w:tbl>
    <w:p>
      <w:pPr>
        <w:spacing w:after="150" w:before="150"/>
      </w:pPr>
    </w:p>
    <w:p>
      <w:pPr>
        <w:pStyle w:val="Heading1"/>
        <w:spacing w:after="160" w:before="300"/>
      </w:pPr>
      <w:r>
        <w:rPr>
          <w:rFonts w:ascii="Arial" w:cs="Arial" w:eastAsia="Arial" w:hAnsi="Arial"/>
        </w:rPr>
        <w:t xml:space="preserve">3. Authorized Activities</w:t>
      </w:r>
    </w:p>
    <w:p>
      <w:pPr>
        <w:pStyle w:val="Heading2"/>
        <w:spacing w:after="160" w:before="300"/>
      </w:pPr>
      <w:r>
        <w:rPr>
          <w:rFonts w:ascii="Arial" w:cs="Arial" w:eastAsia="Arial" w:hAnsi="Arial"/>
        </w:rPr>
        <w:t xml:space="preserve">3.1 Permitted Activities</w:t>
      </w:r>
    </w:p>
    <w:p>
      <w:pPr>
        <w:pStyle w:val="ListParagraph"/>
        <w:numPr>
          <w:ilvl w:val="0"/>
          <w:numId w:val="2"/>
        </w:numPr>
        <w:spacing w:after="40" w:before="40"/>
      </w:pPr>
      <w:r>
        <w:rPr>
          <w:rFonts w:ascii="Arial" w:cs="Arial" w:eastAsia="Arial" w:hAnsi="Arial"/>
          <w:sz w:val="22"/>
          <w:szCs w:val="22"/>
        </w:rPr>
        <w:t xml:space="preserve">Passive reconnaissance: DNS lookups, WHOIS queries, certificate transparency, public OSINT.</w:t>
      </w:r>
    </w:p>
    <w:p>
      <w:pPr>
        <w:pStyle w:val="ListParagraph"/>
        <w:numPr>
          <w:ilvl w:val="0"/>
          <w:numId w:val="2"/>
        </w:numPr>
        <w:spacing w:after="40" w:before="40"/>
      </w:pPr>
      <w:r>
        <w:rPr>
          <w:rFonts w:ascii="Arial" w:cs="Arial" w:eastAsia="Arial" w:hAnsi="Arial"/>
          <w:sz w:val="22"/>
          <w:szCs w:val="22"/>
        </w:rPr>
        <w:t xml:space="preserve">Active scanning: port scanning, service enumeration, vulnerability scanning against in-scope assets.</w:t>
      </w:r>
    </w:p>
    <w:p>
      <w:pPr>
        <w:pStyle w:val="ListParagraph"/>
        <w:numPr>
          <w:ilvl w:val="0"/>
          <w:numId w:val="2"/>
        </w:numPr>
        <w:spacing w:after="40" w:before="40"/>
      </w:pPr>
      <w:r>
        <w:rPr>
          <w:rFonts w:ascii="Arial" w:cs="Arial" w:eastAsia="Arial" w:hAnsi="Arial"/>
          <w:sz w:val="22"/>
          <w:szCs w:val="22"/>
        </w:rPr>
        <w:t xml:space="preserve">Web application probing: technology fingerprinting, directory enumeration, HTTP header analysis.</w:t>
      </w:r>
    </w:p>
    <w:p>
      <w:pPr>
        <w:pStyle w:val="ListParagraph"/>
        <w:numPr>
          <w:ilvl w:val="0"/>
          <w:numId w:val="2"/>
        </w:numPr>
        <w:spacing w:after="40" w:before="40"/>
      </w:pPr>
      <w:r>
        <w:rPr>
          <w:rFonts w:ascii="Arial" w:cs="Arial" w:eastAsia="Arial" w:hAnsi="Arial"/>
          <w:sz w:val="22"/>
          <w:szCs w:val="22"/>
        </w:rPr>
        <w:t xml:space="preserve">Cloud asset discovery: public bucket/storage enumeration, misconfiguration checking.</w:t>
      </w:r>
    </w:p>
    <w:p>
      <w:pPr>
        <w:pStyle w:val="ListParagraph"/>
        <w:numPr>
          <w:ilvl w:val="0"/>
          <w:numId w:val="2"/>
        </w:numPr>
        <w:spacing w:after="40" w:before="40"/>
      </w:pPr>
      <w:r>
        <w:rPr>
          <w:rFonts w:ascii="Arial" w:cs="Arial" w:eastAsia="Arial" w:hAnsi="Arial"/>
          <w:sz w:val="22"/>
          <w:szCs w:val="22"/>
        </w:rPr>
        <w:t xml:space="preserve">Credential exposure checking: breach database correlation for organizational accounts.</w:t>
      </w:r>
    </w:p>
    <w:p>
      <w:pPr>
        <w:spacing w:after="150" w:before="150"/>
      </w:pPr>
    </w:p>
    <w:p>
      <w:pPr>
        <w:pStyle w:val="Heading2"/>
        <w:spacing w:after="160" w:before="300"/>
      </w:pPr>
      <w:r>
        <w:rPr>
          <w:rFonts w:ascii="Arial" w:cs="Arial" w:eastAsia="Arial" w:hAnsi="Arial"/>
        </w:rPr>
        <w:t xml:space="preserve">3.2 Prohibited Activities</w:t>
      </w:r>
    </w:p>
    <w:p>
      <w:pPr>
        <w:pStyle w:val="ListParagraph"/>
        <w:numPr>
          <w:ilvl w:val="0"/>
          <w:numId w:val="2"/>
        </w:numPr>
        <w:spacing w:after="40" w:before="40"/>
      </w:pPr>
      <w:r>
        <w:rPr>
          <w:rFonts w:ascii="Arial" w:cs="Arial" w:eastAsia="Arial" w:hAnsi="Arial"/>
          <w:sz w:val="22"/>
          <w:szCs w:val="22"/>
        </w:rPr>
        <w:t xml:space="preserve">Exploitation of vulnerabilities (unless Gold tier with explicit written approval in Section 5).</w:t>
      </w:r>
    </w:p>
    <w:p>
      <w:pPr>
        <w:pStyle w:val="ListParagraph"/>
        <w:numPr>
          <w:ilvl w:val="0"/>
          <w:numId w:val="2"/>
        </w:numPr>
        <w:spacing w:after="40" w:before="40"/>
      </w:pPr>
      <w:r>
        <w:rPr>
          <w:rFonts w:ascii="Arial" w:cs="Arial" w:eastAsia="Arial" w:hAnsi="Arial"/>
          <w:sz w:val="22"/>
          <w:szCs w:val="22"/>
        </w:rPr>
        <w:t xml:space="preserve">Denial of service testing or intentional service disruption.</w:t>
      </w:r>
    </w:p>
    <w:p>
      <w:pPr>
        <w:pStyle w:val="ListParagraph"/>
        <w:numPr>
          <w:ilvl w:val="0"/>
          <w:numId w:val="2"/>
        </w:numPr>
        <w:spacing w:after="40" w:before="40"/>
      </w:pPr>
      <w:r>
        <w:rPr>
          <w:rFonts w:ascii="Arial" w:cs="Arial" w:eastAsia="Arial" w:hAnsi="Arial"/>
          <w:sz w:val="22"/>
          <w:szCs w:val="22"/>
        </w:rPr>
        <w:t xml:space="preserve">Social engineering against client employees.</w:t>
      </w:r>
    </w:p>
    <w:p>
      <w:pPr>
        <w:pStyle w:val="ListParagraph"/>
        <w:numPr>
          <w:ilvl w:val="0"/>
          <w:numId w:val="2"/>
        </w:numPr>
        <w:spacing w:after="40" w:before="40"/>
      </w:pPr>
      <w:r>
        <w:rPr>
          <w:rFonts w:ascii="Arial" w:cs="Arial" w:eastAsia="Arial" w:hAnsi="Arial"/>
          <w:sz w:val="22"/>
          <w:szCs w:val="22"/>
        </w:rPr>
        <w:t xml:space="preserve">Physical security testing.</w:t>
      </w:r>
    </w:p>
    <w:p>
      <w:pPr>
        <w:pStyle w:val="ListParagraph"/>
        <w:numPr>
          <w:ilvl w:val="0"/>
          <w:numId w:val="2"/>
        </w:numPr>
        <w:spacing w:after="40" w:before="40"/>
      </w:pPr>
      <w:r>
        <w:rPr>
          <w:rFonts w:ascii="Arial" w:cs="Arial" w:eastAsia="Arial" w:hAnsi="Arial"/>
          <w:sz w:val="22"/>
          <w:szCs w:val="22"/>
        </w:rPr>
        <w:t xml:space="preserve">Accessing, modifying, or exfiltrating any client data.</w:t>
      </w:r>
    </w:p>
    <w:p>
      <w:pPr>
        <w:pStyle w:val="ListParagraph"/>
        <w:numPr>
          <w:ilvl w:val="0"/>
          <w:numId w:val="2"/>
        </w:numPr>
        <w:spacing w:after="40" w:before="40"/>
      </w:pPr>
      <w:r>
        <w:rPr>
          <w:rFonts w:ascii="Arial" w:cs="Arial" w:eastAsia="Arial" w:hAnsi="Arial"/>
          <w:sz w:val="22"/>
          <w:szCs w:val="22"/>
        </w:rPr>
        <w:t xml:space="preserve">Testing against out-of-scope assets.</w:t>
      </w:r>
    </w:p>
    <w:p>
      <w:pPr>
        <w:spacing w:after="150" w:before="150"/>
      </w:pPr>
    </w:p>
    <w:p>
      <w:pPr>
        <w:pStyle w:val="Heading1"/>
        <w:spacing w:after="160" w:before="300"/>
      </w:pPr>
      <w:r>
        <w:rPr>
          <w:rFonts w:ascii="Arial" w:cs="Arial" w:eastAsia="Arial" w:hAnsi="Arial"/>
        </w:rPr>
        <w:t xml:space="preserve">4. Testing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1D5DB" w:sz="1"/>
              <w:left w:val="single" w:color="D1D5DB" w:sz="1"/>
              <w:bottom w:val="single" w:color="D1D5DB" w:sz="1"/>
              <w:right w:val="single" w:color="D1D5DB" w:sz="1"/>
            </w:tcBorders>
            <w:shd w:fill="0F1B2D" w:val="clear"/>
            <w:tcMar>
              <w:top w:type="dxa" w:w="80"/>
              <w:left w:type="dxa" w:w="120"/>
              <w:bottom w:type="dxa" w:w="80"/>
              <w:right w:type="dxa" w:w="120"/>
            </w:tcMar>
            <w:vAlign w:val="center"/>
          </w:tcPr>
          <w:p>
            <w:r>
              <w:rPr>
                <w:rFonts w:ascii="Arial" w:cs="Arial" w:eastAsia="Arial" w:hAnsi="Arial"/>
                <w:b/>
                <w:bCs/>
                <w:color w:val="FFFFFF"/>
                <w:sz w:val="20"/>
                <w:szCs w:val="20"/>
              </w:rPr>
              <w:t xml:space="preserve">Parameter</w:t>
            </w:r>
          </w:p>
        </w:tc>
        <w:tc>
          <w:tcPr>
            <w:tcW w:type="dxa" w:w="6360"/>
            <w:tcBorders>
              <w:top w:val="single" w:color="D1D5DB" w:sz="1"/>
              <w:left w:val="single" w:color="D1D5DB" w:sz="1"/>
              <w:bottom w:val="single" w:color="D1D5DB" w:sz="1"/>
              <w:right w:val="single" w:color="D1D5DB" w:sz="1"/>
            </w:tcBorders>
            <w:shd w:fill="0F1B2D"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Details</w:t>
            </w:r>
          </w:p>
        </w:tc>
      </w:tr>
      <w:tr>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Start Date</w:t>
            </w:r>
          </w:p>
        </w:tc>
        <w:tc>
          <w:tcPr>
            <w:tcW w:type="dxa" w:w="6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6B7280"/>
                <w:sz w:val="20"/>
                <w:szCs w:val="20"/>
              </w:rPr>
              <w:t xml:space="preserve"> </w:t>
            </w:r>
          </w:p>
        </w:tc>
      </w:tr>
      <w:tr>
        <w:tc>
          <w:tcPr>
            <w:tcW w:type="dxa" w:w="3000"/>
            <w:tcBorders>
              <w:top w:val="single" w:color="D1D5DB" w:sz="1"/>
              <w:left w:val="single" w:color="D1D5DB" w:sz="1"/>
              <w:bottom w:val="single" w:color="D1D5DB" w:sz="1"/>
              <w:right w:val="single" w:color="D1D5DB" w:sz="1"/>
            </w:tcBorders>
            <w:shd w:fill="F0F6FA"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End Date</w:t>
            </w:r>
          </w:p>
        </w:tc>
        <w:tc>
          <w:tcPr>
            <w:tcW w:type="dxa" w:w="6360"/>
            <w:tcBorders>
              <w:top w:val="single" w:color="D1D5DB" w:sz="1"/>
              <w:left w:val="single" w:color="D1D5DB" w:sz="1"/>
              <w:bottom w:val="single" w:color="D1D5DB" w:sz="1"/>
              <w:right w:val="single" w:color="D1D5DB" w:sz="1"/>
            </w:tcBorders>
            <w:shd w:fill="F0F6FA" w:val="clear"/>
            <w:tcMar>
              <w:top w:type="dxa" w:w="80"/>
              <w:left w:type="dxa" w:w="120"/>
              <w:bottom w:type="dxa" w:w="80"/>
              <w:right w:type="dxa" w:w="120"/>
            </w:tcMar>
          </w:tcPr>
          <w:p>
            <w:r>
              <w:rPr>
                <w:rFonts w:ascii="Arial" w:cs="Arial" w:eastAsia="Arial" w:hAnsi="Arial"/>
                <w:color w:val="6B7280"/>
                <w:sz w:val="20"/>
                <w:szCs w:val="20"/>
              </w:rPr>
              <w:t xml:space="preserve"> </w:t>
            </w:r>
          </w:p>
        </w:tc>
      </w:tr>
      <w:tr>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Permitted Testing Hours</w:t>
            </w:r>
          </w:p>
        </w:tc>
        <w:tc>
          <w:tcPr>
            <w:tcW w:type="dxa" w:w="6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6B7280"/>
                <w:sz w:val="20"/>
                <w:szCs w:val="20"/>
              </w:rPr>
              <w:t xml:space="preserve"> </w:t>
            </w:r>
          </w:p>
        </w:tc>
      </w:tr>
      <w:tr>
        <w:tc>
          <w:tcPr>
            <w:tcW w:type="dxa" w:w="3000"/>
            <w:tcBorders>
              <w:top w:val="single" w:color="D1D5DB" w:sz="1"/>
              <w:left w:val="single" w:color="D1D5DB" w:sz="1"/>
              <w:bottom w:val="single" w:color="D1D5DB" w:sz="1"/>
              <w:right w:val="single" w:color="D1D5DB" w:sz="1"/>
            </w:tcBorders>
            <w:shd w:fill="F0F6FA"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Blackout Periods</w:t>
            </w:r>
          </w:p>
        </w:tc>
        <w:tc>
          <w:tcPr>
            <w:tcW w:type="dxa" w:w="6360"/>
            <w:tcBorders>
              <w:top w:val="single" w:color="D1D5DB" w:sz="1"/>
              <w:left w:val="single" w:color="D1D5DB" w:sz="1"/>
              <w:bottom w:val="single" w:color="D1D5DB" w:sz="1"/>
              <w:right w:val="single" w:color="D1D5DB" w:sz="1"/>
            </w:tcBorders>
            <w:shd w:fill="F0F6FA" w:val="clear"/>
            <w:tcMar>
              <w:top w:type="dxa" w:w="80"/>
              <w:left w:type="dxa" w:w="120"/>
              <w:bottom w:type="dxa" w:w="80"/>
              <w:right w:type="dxa" w:w="120"/>
            </w:tcMar>
          </w:tcPr>
          <w:p>
            <w:r>
              <w:rPr>
                <w:rFonts w:ascii="Arial" w:cs="Arial" w:eastAsia="Arial" w:hAnsi="Arial"/>
                <w:color w:val="6B7280"/>
                <w:sz w:val="20"/>
                <w:szCs w:val="20"/>
              </w:rPr>
              <w:t xml:space="preserve"> </w:t>
            </w:r>
          </w:p>
        </w:tc>
      </w:tr>
      <w:tr>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Retest Window</w:t>
            </w:r>
          </w:p>
        </w:tc>
        <w:tc>
          <w:tcPr>
            <w:tcW w:type="dxa" w:w="6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6B7280"/>
                <w:sz w:val="20"/>
                <w:szCs w:val="20"/>
              </w:rPr>
              <w:t xml:space="preserve"> </w:t>
            </w:r>
          </w:p>
        </w:tc>
      </w:tr>
    </w:tbl>
    <w:p>
      <w:pPr>
        <w:spacing w:after="150" w:before="150"/>
      </w:pPr>
    </w:p>
    <w:p>
      <w:pPr>
        <w:pStyle w:val="Heading1"/>
        <w:spacing w:after="160" w:before="300"/>
      </w:pPr>
      <w:r>
        <w:rPr>
          <w:rFonts w:ascii="Arial" w:cs="Arial" w:eastAsia="Arial" w:hAnsi="Arial"/>
        </w:rPr>
        <w:t xml:space="preserve">5. Gold Tier: Active Exploitation Authorization</w:t>
      </w:r>
    </w:p>
    <w:p>
      <w:pPr>
        <w:spacing w:after="80" w:before="80"/>
      </w:pPr>
      <w:r>
        <w:rPr>
          <w:rFonts w:ascii="Arial" w:cs="Arial" w:eastAsia="Arial" w:hAnsi="Arial"/>
          <w:sz w:val="22"/>
          <w:szCs w:val="22"/>
        </w:rPr>
        <w:t xml:space="preserve">(Complete only for Gold tier engagements)</w:t>
      </w:r>
    </w:p>
    <w:p>
      <w:pPr>
        <w:spacing w:after="80" w:before="80"/>
      </w:pPr>
      <w:r>
        <w:rPr>
          <w:rFonts w:ascii="Arial" w:cs="Arial" w:eastAsia="Arial" w:hAnsi="Arial"/>
          <w:sz w:val="22"/>
          <w:szCs w:val="22"/>
        </w:rPr>
        <w:t xml:space="preserve">The Client authorizes RAVEN Cybersecurity IKE to perform limited, controlled exploitation of confirmed vulnerabilities under the following constraints:</w:t>
      </w:r>
    </w:p>
    <w:p>
      <w:pPr>
        <w:pStyle w:val="ListParagraph"/>
        <w:numPr>
          <w:ilvl w:val="0"/>
          <w:numId w:val="2"/>
        </w:numPr>
        <w:spacing w:after="40" w:before="40"/>
      </w:pPr>
      <w:r>
        <w:rPr>
          <w:rFonts w:ascii="Arial" w:cs="Arial" w:eastAsia="Arial" w:hAnsi="Arial"/>
          <w:sz w:val="22"/>
          <w:szCs w:val="22"/>
        </w:rPr>
        <w:t xml:space="preserve">Read-only, non-destructive techniques only.</w:t>
      </w:r>
    </w:p>
    <w:p>
      <w:pPr>
        <w:pStyle w:val="ListParagraph"/>
        <w:numPr>
          <w:ilvl w:val="0"/>
          <w:numId w:val="2"/>
        </w:numPr>
        <w:spacing w:after="40" w:before="40"/>
      </w:pPr>
      <w:r>
        <w:rPr>
          <w:rFonts w:ascii="Arial" w:cs="Arial" w:eastAsia="Arial" w:hAnsi="Arial"/>
          <w:sz w:val="22"/>
          <w:szCs w:val="22"/>
        </w:rPr>
        <w:t xml:space="preserve">No lateral movement beyond initial proof-of-concept.</w:t>
      </w:r>
    </w:p>
    <w:p>
      <w:pPr>
        <w:pStyle w:val="ListParagraph"/>
        <w:numPr>
          <w:ilvl w:val="0"/>
          <w:numId w:val="2"/>
        </w:numPr>
        <w:spacing w:after="40" w:before="40"/>
      </w:pPr>
      <w:r>
        <w:rPr>
          <w:rFonts w:ascii="Arial" w:cs="Arial" w:eastAsia="Arial" w:hAnsi="Arial"/>
          <w:sz w:val="22"/>
          <w:szCs w:val="22"/>
        </w:rPr>
        <w:t xml:space="preserve">No data exfiltration or modification.</w:t>
      </w:r>
    </w:p>
    <w:p>
      <w:pPr>
        <w:pStyle w:val="ListParagraph"/>
        <w:numPr>
          <w:ilvl w:val="0"/>
          <w:numId w:val="2"/>
        </w:numPr>
        <w:spacing w:after="40" w:before="40"/>
      </w:pPr>
      <w:r>
        <w:rPr>
          <w:rFonts w:ascii="Arial" w:cs="Arial" w:eastAsia="Arial" w:hAnsi="Arial"/>
          <w:sz w:val="22"/>
          <w:szCs w:val="22"/>
        </w:rPr>
        <w:t xml:space="preserve">Immediate notification to Client upon successful exploitation.</w:t>
      </w:r>
    </w:p>
    <w:p>
      <w:pPr>
        <w:spacing w:after="150" w:before="150"/>
      </w:pPr>
    </w:p>
    <w:p>
      <w:pPr>
        <w:pStyle w:val="Heading1"/>
        <w:spacing w:after="160" w:before="300"/>
      </w:pPr>
      <w:r>
        <w:rPr>
          <w:rFonts w:ascii="Arial" w:cs="Arial" w:eastAsia="Arial" w:hAnsi="Arial"/>
        </w:rPr>
        <w:t xml:space="preserve">6. Communication &amp; Escalation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800"/>
        <w:gridCol w:w="1960"/>
      </w:tblGrid>
      <w:tr>
        <w:tc>
          <w:tcPr>
            <w:tcW w:type="dxa" w:w="2200"/>
            <w:tcBorders>
              <w:top w:val="single" w:color="D1D5DB" w:sz="1"/>
              <w:left w:val="single" w:color="D1D5DB" w:sz="1"/>
              <w:bottom w:val="single" w:color="D1D5DB" w:sz="1"/>
              <w:right w:val="single" w:color="D1D5DB" w:sz="1"/>
            </w:tcBorders>
            <w:shd w:fill="0F1B2D" w:val="clear"/>
            <w:tcMar>
              <w:top w:type="dxa" w:w="80"/>
              <w:left w:type="dxa" w:w="120"/>
              <w:bottom w:type="dxa" w:w="80"/>
              <w:right w:type="dxa" w:w="120"/>
            </w:tcMar>
            <w:vAlign w:val="center"/>
          </w:tcPr>
          <w:p>
            <w:r>
              <w:rPr>
                <w:rFonts w:ascii="Arial" w:cs="Arial" w:eastAsia="Arial" w:hAnsi="Arial"/>
                <w:b/>
                <w:bCs/>
                <w:color w:val="FFFFFF"/>
                <w:sz w:val="20"/>
                <w:szCs w:val="20"/>
              </w:rPr>
              <w:t xml:space="preserve">Role</w:t>
            </w:r>
          </w:p>
        </w:tc>
        <w:tc>
          <w:tcPr>
            <w:tcW w:type="dxa" w:w="2400"/>
            <w:tcBorders>
              <w:top w:val="single" w:color="D1D5DB" w:sz="1"/>
              <w:left w:val="single" w:color="D1D5DB" w:sz="1"/>
              <w:bottom w:val="single" w:color="D1D5DB" w:sz="1"/>
              <w:right w:val="single" w:color="D1D5DB" w:sz="1"/>
            </w:tcBorders>
            <w:shd w:fill="0F1B2D" w:val="clear"/>
            <w:tcMar>
              <w:top w:type="dxa" w:w="80"/>
              <w:left w:type="dxa" w:w="120"/>
              <w:bottom w:type="dxa" w:w="80"/>
              <w:right w:type="dxa" w:w="120"/>
            </w:tcMar>
            <w:vAlign w:val="center"/>
          </w:tcPr>
          <w:p>
            <w:r>
              <w:rPr>
                <w:rFonts w:ascii="Arial" w:cs="Arial" w:eastAsia="Arial" w:hAnsi="Arial"/>
                <w:b/>
                <w:bCs/>
                <w:color w:val="FFFFFF"/>
                <w:sz w:val="20"/>
                <w:szCs w:val="20"/>
              </w:rPr>
              <w:t xml:space="preserve">Name</w:t>
            </w:r>
          </w:p>
        </w:tc>
        <w:tc>
          <w:tcPr>
            <w:tcW w:type="dxa" w:w="2800"/>
            <w:tcBorders>
              <w:top w:val="single" w:color="D1D5DB" w:sz="1"/>
              <w:left w:val="single" w:color="D1D5DB" w:sz="1"/>
              <w:bottom w:val="single" w:color="D1D5DB" w:sz="1"/>
              <w:right w:val="single" w:color="D1D5DB" w:sz="1"/>
            </w:tcBorders>
            <w:shd w:fill="0F1B2D" w:val="clear"/>
            <w:tcMar>
              <w:top w:type="dxa" w:w="80"/>
              <w:left w:type="dxa" w:w="120"/>
              <w:bottom w:type="dxa" w:w="80"/>
              <w:right w:type="dxa" w:w="120"/>
            </w:tcMar>
            <w:vAlign w:val="center"/>
          </w:tcPr>
          <w:p>
            <w:r>
              <w:rPr>
                <w:rFonts w:ascii="Arial" w:cs="Arial" w:eastAsia="Arial" w:hAnsi="Arial"/>
                <w:b/>
                <w:bCs/>
                <w:color w:val="FFFFFF"/>
                <w:sz w:val="20"/>
                <w:szCs w:val="20"/>
              </w:rPr>
              <w:t xml:space="preserve">Email</w:t>
            </w:r>
          </w:p>
        </w:tc>
        <w:tc>
          <w:tcPr>
            <w:tcW w:type="dxa" w:w="1960"/>
            <w:tcBorders>
              <w:top w:val="single" w:color="D1D5DB" w:sz="1"/>
              <w:left w:val="single" w:color="D1D5DB" w:sz="1"/>
              <w:bottom w:val="single" w:color="D1D5DB" w:sz="1"/>
              <w:right w:val="single" w:color="D1D5DB" w:sz="1"/>
            </w:tcBorders>
            <w:shd w:fill="0F1B2D" w:val="clear"/>
            <w:tcMar>
              <w:top w:type="dxa" w:w="80"/>
              <w:left w:type="dxa" w:w="120"/>
              <w:bottom w:type="dxa" w:w="80"/>
              <w:right w:type="dxa" w:w="120"/>
            </w:tcMar>
            <w:vAlign w:val="center"/>
          </w:tcPr>
          <w:p>
            <w:r>
              <w:rPr>
                <w:rFonts w:ascii="Arial" w:cs="Arial" w:eastAsia="Arial" w:hAnsi="Arial"/>
                <w:b/>
                <w:bCs/>
                <w:color w:val="FFFFFF"/>
                <w:sz w:val="20"/>
                <w:szCs w:val="20"/>
              </w:rPr>
              <w:t xml:space="preserve">Phone</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RAVEN Engagement Lead</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6B7280"/>
                <w:sz w:val="20"/>
                <w:szCs w:val="20"/>
              </w:rPr>
              <w:t xml:space="preserve"> </w:t>
            </w:r>
          </w:p>
        </w:tc>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6B7280"/>
                <w:sz w:val="20"/>
                <w:szCs w:val="20"/>
              </w:rPr>
              <w:t xml:space="preserve"> </w:t>
            </w:r>
          </w:p>
        </w:tc>
        <w:tc>
          <w:tcPr>
            <w:tcW w:type="dxa" w:w="1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6B7280"/>
                <w:sz w:val="20"/>
                <w:szCs w:val="20"/>
              </w:rPr>
              <w:t xml:space="preserve"> </w:t>
            </w:r>
          </w:p>
        </w:tc>
      </w:tr>
      <w:tr>
        <w:tc>
          <w:tcPr>
            <w:tcW w:type="dxa" w:w="2200"/>
            <w:tcBorders>
              <w:top w:val="single" w:color="D1D5DB" w:sz="1"/>
              <w:left w:val="single" w:color="D1D5DB" w:sz="1"/>
              <w:bottom w:val="single" w:color="D1D5DB" w:sz="1"/>
              <w:right w:val="single" w:color="D1D5DB" w:sz="1"/>
            </w:tcBorders>
            <w:shd w:fill="F0F6FA"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RAVEN Technical Analyst</w:t>
            </w:r>
          </w:p>
        </w:tc>
        <w:tc>
          <w:tcPr>
            <w:tcW w:type="dxa" w:w="2400"/>
            <w:tcBorders>
              <w:top w:val="single" w:color="D1D5DB" w:sz="1"/>
              <w:left w:val="single" w:color="D1D5DB" w:sz="1"/>
              <w:bottom w:val="single" w:color="D1D5DB" w:sz="1"/>
              <w:right w:val="single" w:color="D1D5DB" w:sz="1"/>
            </w:tcBorders>
            <w:shd w:fill="F0F6FA" w:val="clear"/>
            <w:tcMar>
              <w:top w:type="dxa" w:w="80"/>
              <w:left w:type="dxa" w:w="120"/>
              <w:bottom w:type="dxa" w:w="80"/>
              <w:right w:type="dxa" w:w="120"/>
            </w:tcMar>
          </w:tcPr>
          <w:p>
            <w:r>
              <w:rPr>
                <w:rFonts w:ascii="Arial" w:cs="Arial" w:eastAsia="Arial" w:hAnsi="Arial"/>
                <w:color w:val="6B7280"/>
                <w:sz w:val="20"/>
                <w:szCs w:val="20"/>
              </w:rPr>
              <w:t xml:space="preserve"> </w:t>
            </w:r>
          </w:p>
        </w:tc>
        <w:tc>
          <w:tcPr>
            <w:tcW w:type="dxa" w:w="2800"/>
            <w:tcBorders>
              <w:top w:val="single" w:color="D1D5DB" w:sz="1"/>
              <w:left w:val="single" w:color="D1D5DB" w:sz="1"/>
              <w:bottom w:val="single" w:color="D1D5DB" w:sz="1"/>
              <w:right w:val="single" w:color="D1D5DB" w:sz="1"/>
            </w:tcBorders>
            <w:shd w:fill="F0F6FA" w:val="clear"/>
            <w:tcMar>
              <w:top w:type="dxa" w:w="80"/>
              <w:left w:type="dxa" w:w="120"/>
              <w:bottom w:type="dxa" w:w="80"/>
              <w:right w:type="dxa" w:w="120"/>
            </w:tcMar>
          </w:tcPr>
          <w:p>
            <w:r>
              <w:rPr>
                <w:rFonts w:ascii="Arial" w:cs="Arial" w:eastAsia="Arial" w:hAnsi="Arial"/>
                <w:color w:val="6B7280"/>
                <w:sz w:val="20"/>
                <w:szCs w:val="20"/>
              </w:rPr>
              <w:t xml:space="preserve"> </w:t>
            </w:r>
          </w:p>
        </w:tc>
        <w:tc>
          <w:tcPr>
            <w:tcW w:type="dxa" w:w="1960"/>
            <w:tcBorders>
              <w:top w:val="single" w:color="D1D5DB" w:sz="1"/>
              <w:left w:val="single" w:color="D1D5DB" w:sz="1"/>
              <w:bottom w:val="single" w:color="D1D5DB" w:sz="1"/>
              <w:right w:val="single" w:color="D1D5DB" w:sz="1"/>
            </w:tcBorders>
            <w:shd w:fill="F0F6FA" w:val="clear"/>
            <w:tcMar>
              <w:top w:type="dxa" w:w="80"/>
              <w:left w:type="dxa" w:w="120"/>
              <w:bottom w:type="dxa" w:w="80"/>
              <w:right w:type="dxa" w:w="120"/>
            </w:tcMar>
          </w:tcPr>
          <w:p>
            <w:r>
              <w:rPr>
                <w:rFonts w:ascii="Arial" w:cs="Arial" w:eastAsia="Arial" w:hAnsi="Arial"/>
                <w:color w:val="6B7280"/>
                <w:sz w:val="20"/>
                <w:szCs w:val="20"/>
              </w:rPr>
              <w:t xml:space="preserve"> </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Client Primary Contact</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6B7280"/>
                <w:sz w:val="20"/>
                <w:szCs w:val="20"/>
              </w:rPr>
              <w:t xml:space="preserve"> </w:t>
            </w:r>
          </w:p>
        </w:tc>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6B7280"/>
                <w:sz w:val="20"/>
                <w:szCs w:val="20"/>
              </w:rPr>
              <w:t xml:space="preserve"> </w:t>
            </w:r>
          </w:p>
        </w:tc>
        <w:tc>
          <w:tcPr>
            <w:tcW w:type="dxa" w:w="1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6B7280"/>
                <w:sz w:val="20"/>
                <w:szCs w:val="20"/>
              </w:rPr>
              <w:t xml:space="preserve"> </w:t>
            </w:r>
          </w:p>
        </w:tc>
      </w:tr>
      <w:tr>
        <w:tc>
          <w:tcPr>
            <w:tcW w:type="dxa" w:w="2200"/>
            <w:tcBorders>
              <w:top w:val="single" w:color="D1D5DB" w:sz="1"/>
              <w:left w:val="single" w:color="D1D5DB" w:sz="1"/>
              <w:bottom w:val="single" w:color="D1D5DB" w:sz="1"/>
              <w:right w:val="single" w:color="D1D5DB" w:sz="1"/>
            </w:tcBorders>
            <w:shd w:fill="F0F6FA"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Client Technical Contact</w:t>
            </w:r>
          </w:p>
        </w:tc>
        <w:tc>
          <w:tcPr>
            <w:tcW w:type="dxa" w:w="2400"/>
            <w:tcBorders>
              <w:top w:val="single" w:color="D1D5DB" w:sz="1"/>
              <w:left w:val="single" w:color="D1D5DB" w:sz="1"/>
              <w:bottom w:val="single" w:color="D1D5DB" w:sz="1"/>
              <w:right w:val="single" w:color="D1D5DB" w:sz="1"/>
            </w:tcBorders>
            <w:shd w:fill="F0F6FA" w:val="clear"/>
            <w:tcMar>
              <w:top w:type="dxa" w:w="80"/>
              <w:left w:type="dxa" w:w="120"/>
              <w:bottom w:type="dxa" w:w="80"/>
              <w:right w:type="dxa" w:w="120"/>
            </w:tcMar>
          </w:tcPr>
          <w:p>
            <w:r>
              <w:rPr>
                <w:rFonts w:ascii="Arial" w:cs="Arial" w:eastAsia="Arial" w:hAnsi="Arial"/>
                <w:color w:val="6B7280"/>
                <w:sz w:val="20"/>
                <w:szCs w:val="20"/>
              </w:rPr>
              <w:t xml:space="preserve"> </w:t>
            </w:r>
          </w:p>
        </w:tc>
        <w:tc>
          <w:tcPr>
            <w:tcW w:type="dxa" w:w="2800"/>
            <w:tcBorders>
              <w:top w:val="single" w:color="D1D5DB" w:sz="1"/>
              <w:left w:val="single" w:color="D1D5DB" w:sz="1"/>
              <w:bottom w:val="single" w:color="D1D5DB" w:sz="1"/>
              <w:right w:val="single" w:color="D1D5DB" w:sz="1"/>
            </w:tcBorders>
            <w:shd w:fill="F0F6FA" w:val="clear"/>
            <w:tcMar>
              <w:top w:type="dxa" w:w="80"/>
              <w:left w:type="dxa" w:w="120"/>
              <w:bottom w:type="dxa" w:w="80"/>
              <w:right w:type="dxa" w:w="120"/>
            </w:tcMar>
          </w:tcPr>
          <w:p>
            <w:r>
              <w:rPr>
                <w:rFonts w:ascii="Arial" w:cs="Arial" w:eastAsia="Arial" w:hAnsi="Arial"/>
                <w:color w:val="6B7280"/>
                <w:sz w:val="20"/>
                <w:szCs w:val="20"/>
              </w:rPr>
              <w:t xml:space="preserve"> </w:t>
            </w:r>
          </w:p>
        </w:tc>
        <w:tc>
          <w:tcPr>
            <w:tcW w:type="dxa" w:w="1960"/>
            <w:tcBorders>
              <w:top w:val="single" w:color="D1D5DB" w:sz="1"/>
              <w:left w:val="single" w:color="D1D5DB" w:sz="1"/>
              <w:bottom w:val="single" w:color="D1D5DB" w:sz="1"/>
              <w:right w:val="single" w:color="D1D5DB" w:sz="1"/>
            </w:tcBorders>
            <w:shd w:fill="F0F6FA" w:val="clear"/>
            <w:tcMar>
              <w:top w:type="dxa" w:w="80"/>
              <w:left w:type="dxa" w:w="120"/>
              <w:bottom w:type="dxa" w:w="80"/>
              <w:right w:type="dxa" w:w="120"/>
            </w:tcMar>
          </w:tcPr>
          <w:p>
            <w:r>
              <w:rPr>
                <w:rFonts w:ascii="Arial" w:cs="Arial" w:eastAsia="Arial" w:hAnsi="Arial"/>
                <w:color w:val="6B7280"/>
                <w:sz w:val="20"/>
                <w:szCs w:val="20"/>
              </w:rPr>
              <w:t xml:space="preserve"> </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Client Emergency Contact</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6B7280"/>
                <w:sz w:val="20"/>
                <w:szCs w:val="20"/>
              </w:rPr>
              <w:t xml:space="preserve"> </w:t>
            </w:r>
          </w:p>
        </w:tc>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6B7280"/>
                <w:sz w:val="20"/>
                <w:szCs w:val="20"/>
              </w:rPr>
              <w:t xml:space="preserve"> </w:t>
            </w:r>
          </w:p>
        </w:tc>
        <w:tc>
          <w:tcPr>
            <w:tcW w:type="dxa" w:w="1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6B7280"/>
                <w:sz w:val="20"/>
                <w:szCs w:val="20"/>
              </w:rPr>
              <w:t xml:space="preserve"> </w:t>
            </w:r>
          </w:p>
        </w:tc>
      </w:tr>
    </w:tbl>
    <w:p>
      <w:pPr>
        <w:spacing w:after="150" w:before="150"/>
      </w:pPr>
    </w:p>
    <w:p>
      <w:pPr>
        <w:spacing w:after="80" w:before="80"/>
      </w:pPr>
      <w:r>
        <w:rPr>
          <w:rFonts w:ascii="Arial" w:cs="Arial" w:eastAsia="Arial" w:hAnsi="Arial"/>
          <w:sz w:val="22"/>
          <w:szCs w:val="22"/>
        </w:rPr>
        <w:t xml:space="preserve">Critical findings will be escalated to the Client within 24 hours of discovery via encrypted communication.</w:t>
      </w:r>
    </w:p>
    <w:p>
      <w:pPr>
        <w:spacing w:after="150" w:before="150"/>
      </w:pPr>
    </w:p>
    <w:p>
      <w:pPr>
        <w:pStyle w:val="Heading1"/>
        <w:spacing w:after="160" w:before="300"/>
      </w:pPr>
      <w:r>
        <w:rPr>
          <w:rFonts w:ascii="Arial" w:cs="Arial" w:eastAsia="Arial" w:hAnsi="Arial"/>
        </w:rPr>
        <w:t xml:space="preserve">7. Data Handling</w:t>
      </w:r>
    </w:p>
    <w:p>
      <w:pPr>
        <w:pStyle w:val="ListParagraph"/>
        <w:numPr>
          <w:ilvl w:val="0"/>
          <w:numId w:val="2"/>
        </w:numPr>
        <w:spacing w:after="40" w:before="40"/>
      </w:pPr>
      <w:r>
        <w:rPr>
          <w:rFonts w:ascii="Arial" w:cs="Arial" w:eastAsia="Arial" w:hAnsi="Arial"/>
          <w:sz w:val="22"/>
          <w:szCs w:val="22"/>
        </w:rPr>
        <w:t xml:space="preserve">All engagement data will be encrypted at rest (AES-256) and in transit (TLS 1.3).</w:t>
      </w:r>
    </w:p>
    <w:p>
      <w:pPr>
        <w:pStyle w:val="ListParagraph"/>
        <w:numPr>
          <w:ilvl w:val="0"/>
          <w:numId w:val="2"/>
        </w:numPr>
        <w:spacing w:after="40" w:before="40"/>
      </w:pPr>
      <w:r>
        <w:rPr>
          <w:rFonts w:ascii="Arial" w:cs="Arial" w:eastAsia="Arial" w:hAnsi="Arial"/>
          <w:sz w:val="22"/>
          <w:szCs w:val="22"/>
        </w:rPr>
        <w:t xml:space="preserve">Raw scan data will be retained for 90 days post-engagement, then securely destroyed.</w:t>
      </w:r>
    </w:p>
    <w:p>
      <w:pPr>
        <w:pStyle w:val="ListParagraph"/>
        <w:numPr>
          <w:ilvl w:val="0"/>
          <w:numId w:val="2"/>
        </w:numPr>
        <w:spacing w:after="40" w:before="40"/>
      </w:pPr>
      <w:r>
        <w:rPr>
          <w:rFonts w:ascii="Arial" w:cs="Arial" w:eastAsia="Arial" w:hAnsi="Arial"/>
          <w:sz w:val="22"/>
          <w:szCs w:val="22"/>
        </w:rPr>
        <w:t xml:space="preserve">Final reports will be delivered via the agreed secure channel.</w:t>
      </w:r>
    </w:p>
    <w:p>
      <w:pPr>
        <w:pStyle w:val="ListParagraph"/>
        <w:numPr>
          <w:ilvl w:val="0"/>
          <w:numId w:val="2"/>
        </w:numPr>
        <w:spacing w:after="40" w:before="40"/>
      </w:pPr>
      <w:r>
        <w:rPr>
          <w:rFonts w:ascii="Arial" w:cs="Arial" w:eastAsia="Arial" w:hAnsi="Arial"/>
          <w:sz w:val="22"/>
          <w:szCs w:val="22"/>
        </w:rPr>
        <w:t xml:space="preserve">No client data will be stored on personal devices or unencrypted storage.</w:t>
      </w:r>
    </w:p>
    <w:p>
      <w:pPr>
        <w:spacing w:after="150" w:before="150"/>
      </w:pPr>
    </w:p>
    <w:p>
      <w:pPr>
        <w:pStyle w:val="Heading1"/>
        <w:spacing w:after="160" w:before="300"/>
      </w:pPr>
      <w:r>
        <w:rPr>
          <w:rFonts w:ascii="Arial" w:cs="Arial" w:eastAsia="Arial" w:hAnsi="Arial"/>
        </w:rPr>
        <w:t xml:space="preserve">8. Liability &amp; Indemnification</w:t>
      </w:r>
    </w:p>
    <w:p>
      <w:pPr>
        <w:spacing w:after="80" w:before="80"/>
      </w:pPr>
      <w:r>
        <w:rPr>
          <w:rFonts w:ascii="Arial" w:cs="Arial" w:eastAsia="Arial" w:hAnsi="Arial"/>
          <w:sz w:val="22"/>
          <w:szCs w:val="22"/>
        </w:rPr>
        <w:t xml:space="preserve">RAVEN Cybersecurity IKE will exercise professional due care during all testing activities. The Client acknowledges that security testing inherently carries risk and agrees to hold RAVEN harmless for any incidental impacts occurring within the authorized scope of this engagement.</w:t>
      </w:r>
    </w:p>
    <w:p>
      <w:pPr>
        <w:spacing w:after="150" w:before="150"/>
      </w:pPr>
    </w:p>
    <w:p>
      <w:pPr>
        <w:pStyle w:val="Heading1"/>
        <w:spacing w:after="160" w:before="300"/>
      </w:pPr>
      <w:r>
        <w:rPr>
          <w:rFonts w:ascii="Arial" w:cs="Arial" w:eastAsia="Arial" w:hAnsi="Arial"/>
        </w:rPr>
        <w:t xml:space="preserve">9. Authorization Signatures</w:t>
      </w:r>
    </w:p>
    <w:p>
      <w:pPr>
        <w:spacing w:after="150" w:before="1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D1D5DB" w:sz="1"/>
              <w:left w:val="single" w:color="D1D5DB" w:sz="1"/>
              <w:bottom w:val="single" w:color="D1D5DB" w:sz="1"/>
              <w:right w:val="single" w:color="D1D5DB" w:sz="1"/>
            </w:tcBorders>
            <w:shd w:fill="0F1B2D" w:val="clear"/>
            <w:tcMar>
              <w:top w:type="dxa" w:w="80"/>
              <w:left w:type="dxa" w:w="120"/>
              <w:bottom w:type="dxa" w:w="80"/>
              <w:right w:type="dxa" w:w="120"/>
            </w:tcMar>
            <w:vAlign w:val="center"/>
          </w:tcPr>
          <w:p>
            <w:r>
              <w:rPr>
                <w:rFonts w:ascii="Arial" w:cs="Arial" w:eastAsia="Arial" w:hAnsi="Arial"/>
                <w:b/>
                <w:bCs/>
                <w:color w:val="FFFFFF"/>
                <w:sz w:val="20"/>
                <w:szCs w:val="20"/>
              </w:rPr>
              <w:t xml:space="preserve"/>
            </w:r>
          </w:p>
        </w:tc>
        <w:tc>
          <w:tcPr>
            <w:tcW w:type="dxa" w:w="3580"/>
            <w:tcBorders>
              <w:top w:val="single" w:color="D1D5DB" w:sz="1"/>
              <w:left w:val="single" w:color="D1D5DB" w:sz="1"/>
              <w:bottom w:val="single" w:color="D1D5DB" w:sz="1"/>
              <w:right w:val="single" w:color="D1D5DB" w:sz="1"/>
            </w:tcBorders>
            <w:shd w:fill="0F1B2D" w:val="clear"/>
            <w:tcMar>
              <w:top w:type="dxa" w:w="80"/>
              <w:left w:type="dxa" w:w="120"/>
              <w:bottom w:type="dxa" w:w="80"/>
              <w:right w:type="dxa" w:w="120"/>
            </w:tcMar>
            <w:vAlign w:val="center"/>
          </w:tcPr>
          <w:p>
            <w:r>
              <w:rPr>
                <w:rFonts w:ascii="Arial" w:cs="Arial" w:eastAsia="Arial" w:hAnsi="Arial"/>
                <w:b/>
                <w:bCs/>
                <w:color w:val="FFFFFF"/>
                <w:sz w:val="20"/>
                <w:szCs w:val="20"/>
              </w:rPr>
              <w:t xml:space="preserve">RAVEN Cybersecurity IKE</w:t>
            </w:r>
          </w:p>
        </w:tc>
        <w:tc>
          <w:tcPr>
            <w:tcW w:type="dxa" w:w="3580"/>
            <w:tcBorders>
              <w:top w:val="single" w:color="D1D5DB" w:sz="1"/>
              <w:left w:val="single" w:color="D1D5DB" w:sz="1"/>
              <w:bottom w:val="single" w:color="D1D5DB" w:sz="1"/>
              <w:right w:val="single" w:color="D1D5DB" w:sz="1"/>
            </w:tcBorders>
            <w:shd w:fill="0F1B2D" w:val="clear"/>
            <w:tcMar>
              <w:top w:type="dxa" w:w="80"/>
              <w:left w:type="dxa" w:w="120"/>
              <w:bottom w:type="dxa" w:w="80"/>
              <w:right w:type="dxa" w:w="120"/>
            </w:tcMar>
            <w:vAlign w:val="center"/>
          </w:tcPr>
          <w:p>
            <w:r>
              <w:rPr>
                <w:rFonts w:ascii="Arial" w:cs="Arial" w:eastAsia="Arial" w:hAnsi="Arial"/>
                <w:b/>
                <w:bCs/>
                <w:color w:val="FFFFFF"/>
                <w:sz w:val="20"/>
                <w:szCs w:val="20"/>
              </w:rPr>
              <w:t xml:space="preserve">Client Organization</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Authorized Signatory</w:t>
            </w:r>
          </w:p>
        </w:tc>
        <w:tc>
          <w:tcPr>
            <w:tcW w:type="dxa" w:w="35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6B7280"/>
                <w:sz w:val="20"/>
                <w:szCs w:val="20"/>
              </w:rPr>
              <w:t xml:space="preserve"> </w:t>
            </w:r>
          </w:p>
        </w:tc>
        <w:tc>
          <w:tcPr>
            <w:tcW w:type="dxa" w:w="35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6B7280"/>
                <w:sz w:val="20"/>
                <w:szCs w:val="20"/>
              </w:rPr>
              <w:t xml:space="preserve"> </w:t>
            </w:r>
          </w:p>
        </w:tc>
      </w:tr>
      <w:tr>
        <w:tc>
          <w:tcPr>
            <w:tcW w:type="dxa" w:w="2200"/>
            <w:tcBorders>
              <w:top w:val="single" w:color="D1D5DB" w:sz="1"/>
              <w:left w:val="single" w:color="D1D5DB" w:sz="1"/>
              <w:bottom w:val="single" w:color="D1D5DB" w:sz="1"/>
              <w:right w:val="single" w:color="D1D5DB" w:sz="1"/>
            </w:tcBorders>
            <w:shd w:fill="F0F6FA"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Title</w:t>
            </w:r>
          </w:p>
        </w:tc>
        <w:tc>
          <w:tcPr>
            <w:tcW w:type="dxa" w:w="3580"/>
            <w:tcBorders>
              <w:top w:val="single" w:color="D1D5DB" w:sz="1"/>
              <w:left w:val="single" w:color="D1D5DB" w:sz="1"/>
              <w:bottom w:val="single" w:color="D1D5DB" w:sz="1"/>
              <w:right w:val="single" w:color="D1D5DB" w:sz="1"/>
            </w:tcBorders>
            <w:shd w:fill="F0F6FA" w:val="clear"/>
            <w:tcMar>
              <w:top w:type="dxa" w:w="80"/>
              <w:left w:type="dxa" w:w="120"/>
              <w:bottom w:type="dxa" w:w="80"/>
              <w:right w:type="dxa" w:w="120"/>
            </w:tcMar>
          </w:tcPr>
          <w:p>
            <w:r>
              <w:rPr>
                <w:rFonts w:ascii="Arial" w:cs="Arial" w:eastAsia="Arial" w:hAnsi="Arial"/>
                <w:color w:val="6B7280"/>
                <w:sz w:val="20"/>
                <w:szCs w:val="20"/>
              </w:rPr>
              <w:t xml:space="preserve"> </w:t>
            </w:r>
          </w:p>
        </w:tc>
        <w:tc>
          <w:tcPr>
            <w:tcW w:type="dxa" w:w="3580"/>
            <w:tcBorders>
              <w:top w:val="single" w:color="D1D5DB" w:sz="1"/>
              <w:left w:val="single" w:color="D1D5DB" w:sz="1"/>
              <w:bottom w:val="single" w:color="D1D5DB" w:sz="1"/>
              <w:right w:val="single" w:color="D1D5DB" w:sz="1"/>
            </w:tcBorders>
            <w:shd w:fill="F0F6FA" w:val="clear"/>
            <w:tcMar>
              <w:top w:type="dxa" w:w="80"/>
              <w:left w:type="dxa" w:w="120"/>
              <w:bottom w:type="dxa" w:w="80"/>
              <w:right w:type="dxa" w:w="120"/>
            </w:tcMar>
          </w:tcPr>
          <w:p>
            <w:r>
              <w:rPr>
                <w:rFonts w:ascii="Arial" w:cs="Arial" w:eastAsia="Arial" w:hAnsi="Arial"/>
                <w:color w:val="6B7280"/>
                <w:sz w:val="20"/>
                <w:szCs w:val="20"/>
              </w:rPr>
              <w:t xml:space="preserve"> </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Date</w:t>
            </w:r>
          </w:p>
        </w:tc>
        <w:tc>
          <w:tcPr>
            <w:tcW w:type="dxa" w:w="35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6B7280"/>
                <w:sz w:val="20"/>
                <w:szCs w:val="20"/>
              </w:rPr>
              <w:t xml:space="preserve"> </w:t>
            </w:r>
          </w:p>
        </w:tc>
        <w:tc>
          <w:tcPr>
            <w:tcW w:type="dxa" w:w="35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6B7280"/>
                <w:sz w:val="20"/>
                <w:szCs w:val="20"/>
              </w:rPr>
              <w:t xml:space="preserve"> </w:t>
            </w:r>
          </w:p>
        </w:tc>
      </w:tr>
      <w:tr>
        <w:tc>
          <w:tcPr>
            <w:tcW w:type="dxa" w:w="2200"/>
            <w:tcBorders>
              <w:top w:val="single" w:color="D1D5DB" w:sz="1"/>
              <w:left w:val="single" w:color="D1D5DB" w:sz="1"/>
              <w:bottom w:val="single" w:color="D1D5DB" w:sz="1"/>
              <w:right w:val="single" w:color="D1D5DB" w:sz="1"/>
            </w:tcBorders>
            <w:shd w:fill="F0F6FA"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Signature</w:t>
            </w:r>
          </w:p>
        </w:tc>
        <w:tc>
          <w:tcPr>
            <w:tcW w:type="dxa" w:w="3580"/>
            <w:tcBorders>
              <w:top w:val="single" w:color="D1D5DB" w:sz="1"/>
              <w:left w:val="single" w:color="D1D5DB" w:sz="1"/>
              <w:bottom w:val="single" w:color="D1D5DB" w:sz="1"/>
              <w:right w:val="single" w:color="D1D5DB" w:sz="1"/>
            </w:tcBorders>
            <w:shd w:fill="F0F6FA" w:val="clear"/>
            <w:tcMar>
              <w:top w:type="dxa" w:w="80"/>
              <w:left w:type="dxa" w:w="120"/>
              <w:bottom w:type="dxa" w:w="80"/>
              <w:right w:type="dxa" w:w="120"/>
            </w:tcMar>
          </w:tcPr>
          <w:p>
            <w:r>
              <w:rPr>
                <w:rFonts w:ascii="Arial" w:cs="Arial" w:eastAsia="Arial" w:hAnsi="Arial"/>
                <w:color w:val="6B7280"/>
                <w:sz w:val="20"/>
                <w:szCs w:val="20"/>
              </w:rPr>
              <w:t xml:space="preserve"> </w:t>
            </w:r>
          </w:p>
        </w:tc>
        <w:tc>
          <w:tcPr>
            <w:tcW w:type="dxa" w:w="3580"/>
            <w:tcBorders>
              <w:top w:val="single" w:color="D1D5DB" w:sz="1"/>
              <w:left w:val="single" w:color="D1D5DB" w:sz="1"/>
              <w:bottom w:val="single" w:color="D1D5DB" w:sz="1"/>
              <w:right w:val="single" w:color="D1D5DB" w:sz="1"/>
            </w:tcBorders>
            <w:shd w:fill="F0F6FA" w:val="clear"/>
            <w:tcMar>
              <w:top w:type="dxa" w:w="80"/>
              <w:left w:type="dxa" w:w="120"/>
              <w:bottom w:type="dxa" w:w="80"/>
              <w:right w:type="dxa" w:w="120"/>
            </w:tcMar>
          </w:tcPr>
          <w:p>
            <w:r>
              <w:rPr>
                <w:rFonts w:ascii="Arial" w:cs="Arial" w:eastAsia="Arial" w:hAnsi="Arial"/>
                <w:color w:val="6B7280"/>
                <w:sz w:val="20"/>
                <w:szCs w:val="20"/>
              </w:rPr>
              <w:t xml:space="preserve"> </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RAVEN Cybersecurity IKE — Rules of Engagement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F1B2D"/>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00B4D8"/>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1808b277fc08e1831540d1686616b5899638ddfc.jp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2026-03-01T11:40:40.496Z</dcterms:created>
  <dcterms:modified xsi:type="dcterms:W3CDTF">2026-03-01T11:40:40.497Z</dcterms:modified>
</cp:coreProperties>
</file>

<file path=docProps/custom.xml><?xml version="1.0" encoding="utf-8"?>
<Properties xmlns="http://schemas.openxmlformats.org/officeDocument/2006/custom-properties" xmlns:vt="http://schemas.openxmlformats.org/officeDocument/2006/docPropsVTypes"/>
</file>