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33337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1B2D"/>
          <w:sz w:val="44"/>
          <w:szCs w:val="44"/>
        </w:rPr>
        <w:t xml:space="preserve">Statement of Work</w:t>
      </w:r>
    </w:p>
    <w:p>
      <w:pPr>
        <w:pBdr>
          <w:bottom w:val="single" w:color="00B4D8" w:sz="4" w:space="1"/>
        </w:pBdr>
        <w:spacing w:after="400"/>
        <w:jc w:val="center"/>
      </w:pPr>
      <w:r>
        <w:rPr>
          <w:rFonts w:ascii="Arial" w:cs="Arial" w:eastAsia="Arial" w:hAnsi="Arial"/>
          <w:color w:val="00B4D8"/>
          <w:sz w:val="28"/>
          <w:szCs w:val="28"/>
        </w:rPr>
        <w:t xml:space="preserve">EASM Engagement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[CLIENT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RAVEN-EASM-[YYYY]-[NNN]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[ANALYST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CONFIDENTIAL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Statement of Work (SoW) defines the scope, deliverables, timeline, and commercial terms for an External Attack Surface Mapping engagement conducted by RAVEN Cybersecurity IKE for the Client.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2. Service Description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RAVEN will perform a comprehensive External Attack Surface Mapping assessment to identify, catalog, and assess all internet-facing assets belonging to the Client organization. The assessment follows RAVEN’s standardized EASM methodology as defined in the RAVEN EASM Service Guide.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3. Engagement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1600"/>
        <w:gridCol w:w="21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Bronze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domain + subdomains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3–5 days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analyst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Silver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Multiple domains + subsidiaries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7–10 days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analysts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organization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15–20 days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consultants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4. Scope of Work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4.1 Target Assets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[To be defined in the Rules of Engagement document]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4.2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Asset discovery and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enumeration and fingerprinting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Vulnerability assessment and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scoring and prioritization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Reporting and remediation guidance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4.3 Exclusions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[List any specific exclusions not covered by this engagement]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5.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80"/>
        <w:gridCol w:w="1980"/>
        <w:gridCol w:w="200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Bronze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 Inventory Spreadsheet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Vulnerability Findings Report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Remediation Priority Matrix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Attack Narrative Walkthroughs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Board-Ready Presentation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Retest Reports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cycle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cycles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Findings Debrief Session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6.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Kickoff Meeting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 Discovery Complete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Scanning &amp; Enumeration Complete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 Report Delivery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Final Report Delivery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Retest Window Opens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Engagement Closure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7. Commercial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Engagement Fee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Invoicing Schedule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Additional Retest Fee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8.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Signed Rules of Engagement document.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Client-provided seed information (domains, IP ranges, exclusions).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Designated client contacts for communication and escalation.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 whitelisting of RAVEN scan source IPs (if applicable).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9.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Client owns or has authorization to test all in-scope assets.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RAVEN will have unimpeded access to perform authorized testing activities.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Timelines are contingent on timely Client responses and prerequisites.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scope changes will be handled via a formal change request.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10. Acceptance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RAVEN Cybersecurity IKE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Organization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Authorized Signatory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Signature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RAVEN Cybersecurity IKE — Statement of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B4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08b277fc08e1831540d1686616b5899638ddfc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2026-03-01T11:40:40.511Z</dcterms:created>
  <dcterms:modified xsi:type="dcterms:W3CDTF">2026-03-01T11:40:40.511Z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