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40"/>
          <w:szCs w:val="40"/>
        </w:rPr>
        <w:t xml:space="preserve">The Vacuum as an LC Medium</w:t>
      </w:r>
    </w:p>
    <w:p>
      <w:pPr>
        <w:spacing w:before="0" w:after="80"/>
        <w:jc w:val="center"/>
      </w:pPr>
      <w:r>
        <w:rPr>
          <w:rFonts w:ascii="Arial" w:cs="Arial" w:eastAsia="Arial" w:hAnsi="Arial"/>
          <w:i/>
          <w:iCs/>
          <w:color w:val="4472C4"/>
          <w:sz w:val="26"/>
          <w:szCs w:val="26"/>
        </w:rPr>
        <w:t xml:space="preserve">Substrate and Space Hierarchy for the Light Propagation Framework</w:t>
      </w:r>
    </w:p>
    <w:p>
      <w:pPr>
        <w:spacing w:before="0" w:after="320"/>
        <w:jc w:val="center"/>
      </w:pPr>
      <w:r>
        <w:rPr>
          <w:rFonts w:ascii="Arial" w:cs="Arial" w:eastAsia="Arial" w:hAnsi="Arial"/>
          <w:color w:val="888888"/>
          <w:sz w:val="22"/>
          <w:szCs w:val="22"/>
        </w:rPr>
        <w:t xml:space="preserve">Companion to: A Light Propagation Equation in a Homogeneous-Speed Framework</w:t>
      </w:r>
    </w:p>
    <w:p>
      <w:pPr>
        <w:pBdr>
          <w:bottom w:val="single" w:color="AAAAAA" w:sz="4" w:space="1"/>
        </w:pBdr>
        <w:spacing w:before="120" w:after="120"/>
      </w:pPr>
    </w:p>
    <w:p>
      <w:pPr>
        <w:spacing w:after="80"/>
      </w:pPr>
      <w:r>
        <w:t xml:space="preserve"/>
      </w:r>
    </w:p>
    <w:p>
      <w:pPr>
        <w:pStyle w:val="Heading1"/>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The light propagation framework treats the speed of light </w:t>
      </w:r>
      <w:r>
        <w:rPr>
          <w:rFonts w:ascii="Arial" w:cs="Arial" w:eastAsia="Arial" w:hAnsi="Arial"/>
          <w:i/>
          <w:iCs/>
          <w:sz w:val="24"/>
          <w:szCs w:val="24"/>
        </w:rPr>
        <w:t xml:space="preserve">c</w:t>
      </w:r>
      <w:r>
        <w:rPr>
          <w:rFonts w:ascii="Arial" w:cs="Arial" w:eastAsia="Arial" w:hAnsi="Arial"/>
          <w:sz w:val="24"/>
          <w:szCs w:val="24"/>
        </w:rPr>
        <w:t xml:space="preserve"> as the propagation speed in connection space and derives kinematic structure from that single propagation condition. This companion document grounds that treatment in a physical substrate. The vacuum is characterised by two complementary field properties — the capacity to store electric potential (permittivity ε₀, measured in F/m) and the capacity to store magnetic momentum (permeability µ₀, measured in H/m). These are not independent constants that happen to combine to give </w:t>
      </w:r>
      <w:r>
        <w:rPr>
          <w:rFonts w:ascii="Arial" w:cs="Arial" w:eastAsia="Arial" w:hAnsi="Arial"/>
          <w:i/>
          <w:iCs/>
          <w:sz w:val="24"/>
          <w:szCs w:val="24"/>
        </w:rPr>
        <w:t xml:space="preserve">c</w:t>
      </w:r>
      <w:r>
        <w:rPr>
          <w:rFonts w:ascii="Arial" w:cs="Arial" w:eastAsia="Arial" w:hAnsi="Arial"/>
          <w:sz w:val="24"/>
          <w:szCs w:val="24"/>
        </w:rPr>
        <w:t xml:space="preserve">; they are the inductive and capacitive densities of the medium through which electromagnetic excitations propagate. The product F·H = s² is a propagation timescale squared per unit length squared, and </w:t>
      </w:r>
      <w:r>
        <w:rPr>
          <w:rFonts w:ascii="Arial" w:cs="Arial" w:eastAsia="Arial" w:hAnsi="Arial"/>
          <w:i/>
          <w:iCs/>
          <w:sz w:val="24"/>
          <w:szCs w:val="24"/>
        </w:rPr>
        <w:t xml:space="preserve">c</w:t>
      </w:r>
      <w:r>
        <w:rPr>
          <w:rFonts w:ascii="Arial" w:cs="Arial" w:eastAsia="Arial" w:hAnsi="Arial"/>
          <w:sz w:val="24"/>
          <w:szCs w:val="24"/>
        </w:rPr>
        <w:t xml:space="preserve"> = 1/√(ε₀µ₀) is the wave speed that follows directly from those medium properties — not a postulate, but a consequence of what the vacuum is made of. This document develops the LC substrate picture, explains the electrostatic/magnetic duality and its relation to the uncertainty principle, and defines the four-layer space hierarchy that contextualises the propagation framework's use of the term connection space.</w:t>
      </w:r>
    </w:p>
    <w:p>
      <w:pPr>
        <w:spacing w:after="80"/>
      </w:pPr>
      <w:r>
        <w:t xml:space="preserve"/>
      </w:r>
    </w:p>
    <w:p>
      <w:pPr>
        <w:pStyle w:val="Heading1"/>
      </w:pPr>
      <w:r>
        <w:rPr>
          <w:rFonts w:ascii="Arial" w:cs="Arial" w:eastAsia="Arial" w:hAnsi="Arial"/>
          <w:b/>
          <w:bCs/>
          <w:sz w:val="32"/>
          <w:szCs w:val="32"/>
        </w:rPr>
        <w:t xml:space="preserve">1.  What the Units Are Saying</w:t>
      </w:r>
    </w:p>
    <w:p>
      <w:pPr>
        <w:spacing w:after="160"/>
      </w:pPr>
      <w:r>
        <w:rPr>
          <w:rFonts w:ascii="Arial" w:cs="Arial" w:eastAsia="Arial" w:hAnsi="Arial"/>
          <w:sz w:val="24"/>
          <w:szCs w:val="24"/>
        </w:rPr>
        <w:t xml:space="preserve">Most presentations of electromagnetism treat ε₀ and µ₀ as measured constants whose product happens to satisfy ε₀µ₀ = 1/</w:t>
      </w:r>
      <w:r>
        <w:rPr>
          <w:rFonts w:ascii="Arial" w:cs="Arial" w:eastAsia="Arial" w:hAnsi="Arial"/>
          <w:i/>
          <w:iCs/>
          <w:sz w:val="24"/>
          <w:szCs w:val="24"/>
        </w:rPr>
        <w:t xml:space="preserve">c</w:t>
      </w:r>
      <w:r>
        <w:rPr>
          <w:rFonts w:ascii="Arial" w:cs="Arial" w:eastAsia="Arial" w:hAnsi="Arial"/>
          <w:sz w:val="24"/>
          <w:szCs w:val="24"/>
        </w:rPr>
        <w:t xml:space="preserve">². That framing obscures what the units are directly expressing.</w:t>
      </w:r>
    </w:p>
    <w:p>
      <w:pPr>
        <w:spacing w:after="160"/>
      </w:pPr>
      <w:r>
        <w:rPr>
          <w:rFonts w:ascii="Arial" w:cs="Arial" w:eastAsia="Arial" w:hAnsi="Arial"/>
          <w:sz w:val="24"/>
          <w:szCs w:val="24"/>
        </w:rPr>
        <w:t xml:space="preserve">Permittivity ε₀ has units of F/m — farads per metre. A farad is a unit of capacitance: the ability to store electric charge per unit voltage. So ε₀ is the electric storage capacity of the vacuum per unit length.</w:t>
      </w:r>
    </w:p>
    <w:p>
      <w:pPr>
        <w:spacing w:after="160"/>
      </w:pPr>
      <w:r>
        <w:rPr>
          <w:rFonts w:ascii="Arial" w:cs="Arial" w:eastAsia="Arial" w:hAnsi="Arial"/>
          <w:sz w:val="24"/>
          <w:szCs w:val="24"/>
        </w:rPr>
        <w:t xml:space="preserve">Permeability µ₀ has units of H/m — henries per metre. A henry is a unit of inductance: the ability to store magnetic flux per unit current. So µ₀ is the magnetic storage capacity of the vacuum per unit length.</w:t>
      </w:r>
    </w:p>
    <w:p>
      <w:pPr>
        <w:spacing w:after="160"/>
      </w:pPr>
      <w:r>
        <w:rPr>
          <w:rFonts w:ascii="Arial" w:cs="Arial" w:eastAsia="Arial" w:hAnsi="Arial"/>
          <w:sz w:val="24"/>
          <w:szCs w:val="24"/>
        </w:rPr>
        <w:t xml:space="preserve">The product ε₀µ₀ therefore has units of (F/m)·(H/m) = F·H/m². From LC resonance theory, F·H = s² — farads times henries gives seconds squared. So:</w:t>
      </w:r>
    </w:p>
    <w:p>
      <w:pPr>
        <w:spacing w:before="160" w:after="160"/>
        <w:jc w:val="center"/>
      </w:pPr>
      <w:r>
        <w:rPr>
          <w:rFonts w:ascii="Arial" w:cs="Arial" w:eastAsia="Arial" w:hAnsi="Arial"/>
          <w:b/>
          <w:bCs/>
          <w:sz w:val="26"/>
          <w:szCs w:val="26"/>
        </w:rPr>
        <w:t xml:space="preserve">ε₀µ₀  =  s²/m²  =  1/c²</w:t>
      </w:r>
    </w:p>
    <w:p>
      <w:pPr>
        <w:spacing w:after="160"/>
      </w:pPr>
      <w:r>
        <w:rPr>
          <w:rFonts w:ascii="Arial" w:cs="Arial" w:eastAsia="Arial" w:hAnsi="Arial"/>
          <w:sz w:val="24"/>
          <w:szCs w:val="24"/>
        </w:rPr>
        <w:t xml:space="preserve">This is not a coincidence. It is a direct statement that </w:t>
      </w:r>
      <w:r>
        <w:rPr>
          <w:rFonts w:ascii="Arial" w:cs="Arial" w:eastAsia="Arial" w:hAnsi="Arial"/>
          <w:i/>
          <w:iCs/>
          <w:sz w:val="24"/>
          <w:szCs w:val="24"/>
        </w:rPr>
        <w:t xml:space="preserve">c</w:t>
      </w:r>
      <w:r>
        <w:rPr>
          <w:rFonts w:ascii="Arial" w:cs="Arial" w:eastAsia="Arial" w:hAnsi="Arial"/>
          <w:sz w:val="24"/>
          <w:szCs w:val="24"/>
        </w:rPr>
        <w:t xml:space="preserve"> is the wave speed of the vacuum medium — the same way the speed of sound follows from the bulk modulus and density of air. The vacuum has a natural oscillation timescale set by its capacitive and inductive densities, and </w:t>
      </w:r>
      <w:r>
        <w:rPr>
          <w:rFonts w:ascii="Arial" w:cs="Arial" w:eastAsia="Arial" w:hAnsi="Arial"/>
          <w:i/>
          <w:iCs/>
          <w:sz w:val="24"/>
          <w:szCs w:val="24"/>
        </w:rPr>
        <w:t xml:space="preserve">c</w:t>
      </w:r>
      <w:r>
        <w:rPr>
          <w:rFonts w:ascii="Arial" w:cs="Arial" w:eastAsia="Arial" w:hAnsi="Arial"/>
          <w:sz w:val="24"/>
          <w:szCs w:val="24"/>
        </w:rPr>
        <w:t xml:space="preserve"> is how fast the front of that oscillation moves through space.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E4A6E" w:val="clear"/>
            <w:tcMar>
              <w:top w:type="dxa" w:w="80"/>
              <w:left w:type="dxa" w:w="120"/>
              <w:bottom w:type="dxa" w:w="80"/>
              <w:right w:type="dxa" w:w="120"/>
            </w:tcMar>
          </w:tcPr>
          <w:p>
            <w:r>
              <w:rPr>
                <w:rFonts w:ascii="Arial" w:cs="Arial" w:eastAsia="Arial" w:hAnsi="Arial"/>
                <w:b/>
                <w:bCs/>
                <w:color w:val="FFFFFF"/>
                <w:sz w:val="22"/>
                <w:szCs w:val="22"/>
              </w:rPr>
              <w:t xml:space="preserve">Quantity</w:t>
            </w:r>
          </w:p>
        </w:tc>
        <w:tc>
          <w:tcPr>
            <w:tcW w:type="dxa" w:w="2200"/>
            <w:tcBorders>
              <w:top w:val="single" w:color="CCCCCC" w:sz="1"/>
              <w:left w:val="single" w:color="CCCCCC" w:sz="1"/>
              <w:bottom w:val="single" w:color="CCCCCC" w:sz="1"/>
              <w:right w:val="single" w:color="CCCCCC" w:sz="1"/>
            </w:tcBorders>
            <w:shd w:fill="2E4A6E" w:val="clear"/>
            <w:tcMar>
              <w:top w:type="dxa" w:w="80"/>
              <w:left w:type="dxa" w:w="120"/>
              <w:bottom w:type="dxa" w:w="80"/>
              <w:right w:type="dxa" w:w="120"/>
            </w:tcMar>
          </w:tcPr>
          <w:p>
            <w:r>
              <w:rPr>
                <w:rFonts w:ascii="Arial" w:cs="Arial" w:eastAsia="Arial" w:hAnsi="Arial"/>
                <w:b/>
                <w:bCs/>
                <w:color w:val="FFFFFF"/>
                <w:sz w:val="22"/>
                <w:szCs w:val="22"/>
              </w:rPr>
              <w:t xml:space="preserve">Symbol</w:t>
            </w:r>
          </w:p>
        </w:tc>
        <w:tc>
          <w:tcPr>
            <w:tcW w:type="dxa" w:w="2200"/>
            <w:tcBorders>
              <w:top w:val="single" w:color="CCCCCC" w:sz="1"/>
              <w:left w:val="single" w:color="CCCCCC" w:sz="1"/>
              <w:bottom w:val="single" w:color="CCCCCC" w:sz="1"/>
              <w:right w:val="single" w:color="CCCCCC" w:sz="1"/>
            </w:tcBorders>
            <w:shd w:fill="2E4A6E" w:val="clear"/>
            <w:tcMar>
              <w:top w:type="dxa" w:w="80"/>
              <w:left w:type="dxa" w:w="120"/>
              <w:bottom w:type="dxa" w:w="80"/>
              <w:right w:type="dxa" w:w="120"/>
            </w:tcMar>
          </w:tcPr>
          <w:p>
            <w:r>
              <w:rPr>
                <w:rFonts w:ascii="Arial" w:cs="Arial" w:eastAsia="Arial" w:hAnsi="Arial"/>
                <w:b/>
                <w:bCs/>
                <w:color w:val="FFFFFF"/>
                <w:sz w:val="22"/>
                <w:szCs w:val="22"/>
              </w:rPr>
              <w:t xml:space="preserve">SI Units</w:t>
            </w:r>
          </w:p>
        </w:tc>
        <w:tc>
          <w:tcPr>
            <w:tcW w:type="dxa" w:w="2200"/>
            <w:tcBorders>
              <w:top w:val="single" w:color="CCCCCC" w:sz="1"/>
              <w:left w:val="single" w:color="CCCCCC" w:sz="1"/>
              <w:bottom w:val="single" w:color="CCCCCC" w:sz="1"/>
              <w:right w:val="single" w:color="CCCCCC" w:sz="1"/>
            </w:tcBorders>
            <w:shd w:fill="2E4A6E" w:val="clear"/>
            <w:tcMar>
              <w:top w:type="dxa" w:w="80"/>
              <w:left w:type="dxa" w:w="120"/>
              <w:bottom w:type="dxa" w:w="80"/>
              <w:right w:type="dxa" w:w="120"/>
            </w:tcMar>
          </w:tcPr>
          <w:p>
            <w:r>
              <w:rPr>
                <w:rFonts w:ascii="Arial" w:cs="Arial" w:eastAsia="Arial" w:hAnsi="Arial"/>
                <w:b/>
                <w:bCs/>
                <w:color w:val="FFFFFF"/>
                <w:sz w:val="22"/>
                <w:szCs w:val="22"/>
              </w:rPr>
              <w:t xml:space="preserve">Physical meaning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Permittivity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ε₀</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Electric storage per metre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Permeability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µ₀</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Magnetic storage per metre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F·H product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ε₀µ₀</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s²/m²</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Propagation time² per m²</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Speed of light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1/√(ε₀µ₀) — wave speed of 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Vacuum impedance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Z₀</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Ω</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√(µ₀/ε₀) ≈ 377 Ω</w:t>
            </w:r>
          </w:p>
        </w:tc>
      </w:tr>
    </w:tbl>
    <w:p>
      <w:pPr>
        <w:spacing w:after="80"/>
      </w:pPr>
      <w:r>
        <w:t xml:space="preserve"/>
      </w:r>
    </w:p>
    <w:p>
      <w:pPr>
        <w:spacing w:after="160"/>
      </w:pPr>
      <w:r>
        <w:rPr>
          <w:rFonts w:ascii="Arial" w:cs="Arial" w:eastAsia="Arial" w:hAnsi="Arial"/>
          <w:sz w:val="24"/>
          <w:szCs w:val="24"/>
        </w:rPr>
        <w:t xml:space="preserve">The vacuum impedance Z₀ = √(µ₀/ε₀) ≈ 377 Ω is the ratio of the magnetic and electric storage densities. It determines how electric and magnetic energy are partitioned in a propagating wave, and it sets the relationship between field amplitudes and power flux (the Poynting vector). In the lab frame, on human scales, Z₀ is constant and uniform — there is no preferred direction in the vacuum, and the two storage densities are balanced.</w:t>
      </w:r>
    </w:p>
    <w:p>
      <w:pPr>
        <w:spacing w:after="80"/>
      </w:pPr>
      <w:r>
        <w:t xml:space="preserve"/>
      </w:r>
    </w:p>
    <w:p>
      <w:pPr>
        <w:pStyle w:val="Heading1"/>
      </w:pPr>
      <w:r>
        <w:rPr>
          <w:rFonts w:ascii="Arial" w:cs="Arial" w:eastAsia="Arial" w:hAnsi="Arial"/>
          <w:b/>
          <w:bCs/>
          <w:sz w:val="32"/>
          <w:szCs w:val="32"/>
        </w:rPr>
        <w:t xml:space="preserve">2.  The Vacuum as a Continuous LC Medium</w:t>
      </w:r>
    </w:p>
    <w:p>
      <w:pPr>
        <w:spacing w:after="160"/>
      </w:pPr>
      <w:r>
        <w:rPr>
          <w:rFonts w:ascii="Arial" w:cs="Arial" w:eastAsia="Arial" w:hAnsi="Arial"/>
          <w:sz w:val="24"/>
          <w:szCs w:val="24"/>
        </w:rPr>
        <w:t xml:space="preserve">The LC picture does not require discrete cells or a lattice. In a continuous field, ε₀ and µ₀ are local field densities — the electric and magnetic storage capacity per unit volume at each point in space. An electromagnetic excitation propagates by cycling between these two storage modes: electric energy transfers to magnetic, magnetic transfers back to electric, and so on. The front of that cycling process advances at </w:t>
      </w:r>
      <w:r>
        <w:rPr>
          <w:rFonts w:ascii="Arial" w:cs="Arial" w:eastAsia="Arial" w:hAnsi="Arial"/>
          <w:i/>
          <w:iCs/>
          <w:sz w:val="24"/>
          <w:szCs w:val="24"/>
        </w:rPr>
        <w:t xml:space="preserve">c</w:t>
      </w:r>
      <w:r>
        <w:rPr>
          <w:rFonts w:ascii="Arial" w:cs="Arial" w:eastAsia="Arial" w:hAnsi="Arial"/>
          <w:sz w:val="24"/>
          <w:szCs w:val="24"/>
        </w:rPr>
        <w:t xml:space="preserve">.</w:t>
      </w:r>
    </w:p>
    <w:p>
      <w:pPr>
        <w:spacing w:after="160"/>
      </w:pPr>
      <w:r>
        <w:rPr>
          <w:rFonts w:ascii="Arial" w:cs="Arial" w:eastAsia="Arial" w:hAnsi="Arial"/>
          <w:sz w:val="24"/>
          <w:szCs w:val="24"/>
        </w:rPr>
        <w:t xml:space="preserve">This is precisely analogous to a transmission line. A coaxial cable has distributed capacitance C per unit length (charge stored between conductors) and distributed inductance L per unit length (flux stored in the surrounding field). A signal on that line propagates at 1/√(LC). The vacuum is a transmission line in which ε₀ and µ₀ play the roles of C and L — except the medium is three-dimensional and isotropic, so the propagation is spherical rather than linear.</w:t>
      </w:r>
    </w:p>
    <w:p>
      <w:pPr>
        <w:spacing w:after="160"/>
      </w:pPr>
      <w:r>
        <w:rPr>
          <w:rFonts w:ascii="Arial" w:cs="Arial" w:eastAsia="Arial" w:hAnsi="Arial"/>
          <w:sz w:val="24"/>
          <w:szCs w:val="24"/>
        </w:rPr>
        <w:t xml:space="preserve">The Huygens wavelet picture follows naturally. Each point in the medium that is excited begins cycling between electric and magnetic storage, and that cycling spreads into the surrounding medium at </w:t>
      </w:r>
      <w:r>
        <w:rPr>
          <w:rFonts w:ascii="Arial" w:cs="Arial" w:eastAsia="Arial" w:hAnsi="Arial"/>
          <w:i/>
          <w:iCs/>
          <w:sz w:val="24"/>
          <w:szCs w:val="24"/>
        </w:rPr>
        <w:t xml:space="preserve">c</w:t>
      </w:r>
      <w:r>
        <w:rPr>
          <w:rFonts w:ascii="Arial" w:cs="Arial" w:eastAsia="Arial" w:hAnsi="Arial"/>
          <w:sz w:val="24"/>
          <w:szCs w:val="24"/>
        </w:rPr>
        <w:t xml:space="preserve">. The spherical wavelet is not a postulate about how light behaves — it is the impulse response of an isotropic LC medium. A beam is what you get when many such wavelets interfere constructively in one direction and destructively in others.</w:t>
      </w:r>
    </w:p>
    <w:p>
      <w:pPr>
        <w:spacing w:after="80"/>
      </w:pPr>
      <w:r>
        <w:t xml:space="preserve"/>
      </w:r>
    </w:p>
    <w:p>
      <w:pPr>
        <w:pStyle w:val="Heading1"/>
      </w:pPr>
      <w:r>
        <w:rPr>
          <w:rFonts w:ascii="Arial" w:cs="Arial" w:eastAsia="Arial" w:hAnsi="Arial"/>
          <w:b/>
          <w:bCs/>
          <w:sz w:val="32"/>
          <w:szCs w:val="32"/>
        </w:rPr>
        <w:t xml:space="preserve">3.  Electric and Magnetic as a Structural Duality</w:t>
      </w:r>
    </w:p>
    <w:p>
      <w:pPr>
        <w:pStyle w:val="Heading2"/>
      </w:pPr>
      <w:r>
        <w:rPr>
          <w:rFonts w:ascii="Arial" w:cs="Arial" w:eastAsia="Arial" w:hAnsi="Arial"/>
          <w:b/>
          <w:bCs/>
          <w:sz w:val="28"/>
          <w:szCs w:val="28"/>
        </w:rPr>
        <w:t xml:space="preserve">3.1  Position and momentum in the field</w:t>
      </w:r>
    </w:p>
    <w:p>
      <w:pPr>
        <w:spacing w:after="160"/>
      </w:pPr>
      <w:r>
        <w:rPr>
          <w:rFonts w:ascii="Arial" w:cs="Arial" w:eastAsia="Arial" w:hAnsi="Arial"/>
          <w:sz w:val="24"/>
          <w:szCs w:val="24"/>
        </w:rPr>
        <w:t xml:space="preserve">The electrostatic and magnetic aspects of an electromagnetic excitation are not two separate fields that happen to coexist. They are two phases of one cycling process — the same excitation viewed at different points in its LC cycle.</w:t>
      </w:r>
    </w:p>
    <w:p>
      <w:pPr>
        <w:spacing w:after="160"/>
      </w:pPr>
      <w:r>
        <w:rPr>
          <w:rFonts w:ascii="Arial" w:cs="Arial" w:eastAsia="Arial" w:hAnsi="Arial"/>
          <w:sz w:val="24"/>
          <w:szCs w:val="24"/>
        </w:rPr>
        <w:t xml:space="preserve">The capacitive phase — the electrostatic state — stores energy as electric potential at a location. A charge in its capacitive phase establishes a position in the field: something is here. The field configuration encodes where the excitation is, but carries no information about which direction it is moving.</w:t>
      </w:r>
    </w:p>
    <w:p>
      <w:pPr>
        <w:spacing w:after="160"/>
      </w:pPr>
      <w:r>
        <w:rPr>
          <w:rFonts w:ascii="Arial" w:cs="Arial" w:eastAsia="Arial" w:hAnsi="Arial"/>
          <w:sz w:val="24"/>
          <w:szCs w:val="24"/>
        </w:rPr>
        <w:t xml:space="preserve">The inductive phase — the magnetic state — stores energy as momentum flux. The magnetic field has a direction (given by its curl) but no specific location. It encodes which way the excitation is moving without specifying where it is.</w:t>
      </w:r>
    </w:p>
    <w:p>
      <w:pPr>
        <w:spacing w:after="160"/>
      </w:pPr>
      <w:r>
        <w:rPr>
          <w:rFonts w:ascii="Arial" w:cs="Arial" w:eastAsia="Arial" w:hAnsi="Arial"/>
          <w:sz w:val="24"/>
          <w:szCs w:val="24"/>
        </w:rPr>
        <w:t xml:space="preserve">A moving charge does not </w:t>
      </w:r>
      <w:r>
        <w:rPr>
          <w:rFonts w:ascii="Arial" w:cs="Arial" w:eastAsia="Arial" w:hAnsi="Arial"/>
          <w:i/>
          <w:iCs/>
          <w:sz w:val="24"/>
          <w:szCs w:val="24"/>
        </w:rPr>
        <w:t xml:space="preserve">cause</w:t>
      </w:r>
      <w:r>
        <w:rPr>
          <w:rFonts w:ascii="Arial" w:cs="Arial" w:eastAsia="Arial" w:hAnsi="Arial"/>
          <w:sz w:val="24"/>
          <w:szCs w:val="24"/>
        </w:rPr>
        <w:t xml:space="preserve"> a magnetic field as a secondary effect. A charge in motion </w:t>
      </w:r>
      <w:r>
        <w:rPr>
          <w:rFonts w:ascii="Arial" w:cs="Arial" w:eastAsia="Arial" w:hAnsi="Arial"/>
          <w:i/>
          <w:iCs/>
          <w:sz w:val="24"/>
          <w:szCs w:val="24"/>
        </w:rPr>
        <w:t xml:space="preserve">is</w:t>
      </w:r>
      <w:r>
        <w:rPr>
          <w:rFonts w:ascii="Arial" w:cs="Arial" w:eastAsia="Arial" w:hAnsi="Arial"/>
          <w:sz w:val="24"/>
          <w:szCs w:val="24"/>
        </w:rPr>
        <w:t xml:space="preserve"> the configuration that presents as magnetic. The electric and magnetic aspects are the same excitation in two different phases of its cycle — like the two faces of a coin. The coin has both faces, but neither face is the coin.</w:t>
      </w:r>
    </w:p>
    <w:p>
      <w:pPr>
        <w:spacing w:after="80"/>
      </w:pPr>
      <w:r>
        <w:t xml:space="preserve"/>
      </w:r>
    </w:p>
    <w:p>
      <w:pPr>
        <w:pStyle w:val="Heading2"/>
      </w:pPr>
      <w:r>
        <w:rPr>
          <w:rFonts w:ascii="Arial" w:cs="Arial" w:eastAsia="Arial" w:hAnsi="Arial"/>
          <w:b/>
          <w:bCs/>
          <w:sz w:val="28"/>
          <w:szCs w:val="28"/>
        </w:rPr>
        <w:t xml:space="preserve">3.2  The uncertainty principle as a structural consequence</w:t>
      </w:r>
    </w:p>
    <w:p>
      <w:pPr>
        <w:spacing w:after="160"/>
      </w:pPr>
      <w:r>
        <w:rPr>
          <w:rFonts w:ascii="Arial" w:cs="Arial" w:eastAsia="Arial" w:hAnsi="Arial"/>
          <w:sz w:val="24"/>
          <w:szCs w:val="24"/>
        </w:rPr>
        <w:t xml:space="preserve">The position/momentum duality of the electromagnetic field directly mirrors the Heisenberg uncertainty principle for quantum particles — and it is not a coincidence, because in this framework a particle is a sustained excitation of the vacuum medium.</w:t>
      </w:r>
    </w:p>
    <w:p>
      <w:pPr>
        <w:spacing w:after="160"/>
      </w:pPr>
      <w:r>
        <w:rPr>
          <w:rFonts w:ascii="Arial" w:cs="Arial" w:eastAsia="Arial" w:hAnsi="Arial"/>
          <w:sz w:val="24"/>
          <w:szCs w:val="24"/>
        </w:rPr>
        <w:t xml:space="preserve">You cannot use induction to measure a position. A magnetic measurement reads momentum direction, not location.</w:t>
      </w:r>
    </w:p>
    <w:p>
      <w:pPr>
        <w:spacing w:after="160"/>
      </w:pPr>
      <w:r>
        <w:rPr>
          <w:rFonts w:ascii="Arial" w:cs="Arial" w:eastAsia="Arial" w:hAnsi="Arial"/>
          <w:sz w:val="24"/>
          <w:szCs w:val="24"/>
        </w:rPr>
        <w:t xml:space="preserve">You cannot use a charge plate (which records where something arrived) to measure the magnetic field. A capacitive measurement reads position, not momentum direction.</w:t>
      </w:r>
    </w:p>
    <w:p>
      <w:pPr>
        <w:spacing w:after="160"/>
      </w:pPr>
      <w:r>
        <w:rPr>
          <w:rFonts w:ascii="Arial" w:cs="Arial" w:eastAsia="Arial" w:hAnsi="Arial"/>
          <w:sz w:val="24"/>
          <w:szCs w:val="24"/>
        </w:rPr>
        <w:t xml:space="preserve">Position-information and momentum-information are carried by complementary states of the medium, and those states coexist — they are in superposition, because any transfer of charge is simultaneously a current and therefore simultaneously a magnetic field. What is not simultaneously available is access to both via a single measurement: a capacitive measurement (a charge arriving at a plate) reads the electrostatic state and returns position; an inductive measurement reads the magnetic state and returns momentum direction. The two measurement methods are physically distinct and cannot be collapsed into one. The uncertainty principle is therefore not a statement about measurement disturbance or instrument limits — it is a structural consequence of a medium in which position and momentum are encoded in complementary storage modes that require incompatible interactions to read.</w:t>
      </w:r>
    </w:p>
    <w:p>
      <w:pPr>
        <w:spacing w:after="80"/>
      </w:pPr>
      <w:r>
        <w:t xml:space="preserve"/>
      </w:r>
    </w:p>
    <w:p>
      <w:pPr>
        <w:pStyle w:val="Heading2"/>
      </w:pPr>
      <w:r>
        <w:rPr>
          <w:rFonts w:ascii="Arial" w:cs="Arial" w:eastAsia="Arial" w:hAnsi="Arial"/>
          <w:b/>
          <w:bCs/>
          <w:sz w:val="28"/>
          <w:szCs w:val="28"/>
        </w:rPr>
        <w:t xml:space="preserve">3.3  The electric/magnetic ratio as a frame-relative quantity</w:t>
      </w:r>
    </w:p>
    <w:p>
      <w:pPr>
        <w:spacing w:after="160"/>
      </w:pPr>
      <w:r>
        <w:rPr>
          <w:rFonts w:ascii="Arial" w:cs="Arial" w:eastAsia="Arial" w:hAnsi="Arial"/>
          <w:sz w:val="24"/>
          <w:szCs w:val="24"/>
        </w:rPr>
        <w:t xml:space="preserve">A truly static charge — one with zero velocity in coordinate space — does not exist in practice. Every charge we can observe is embedded in a frame that is itself in motion: the Earth moves relative to the Sun, the solar system moves relative to the galactic centre, and the galaxy moves at approximately 370 km/s relative to the CMB rest frame. A charge that is at rest in the lab frame is moving through connection space at the combined velocity of all these motions. It is always cycling between capacitive and inductive states; it always presents a magnetic face to some observers.</w:t>
      </w:r>
    </w:p>
    <w:p>
      <w:pPr>
        <w:spacing w:after="160"/>
      </w:pPr>
      <w:r>
        <w:rPr>
          <w:rFonts w:ascii="Arial" w:cs="Arial" w:eastAsia="Arial" w:hAnsi="Arial"/>
          <w:sz w:val="24"/>
          <w:szCs w:val="24"/>
        </w:rPr>
        <w:t xml:space="preserve">The distinction between a predominantly electrostatic and a predominantly magnetic presentation is therefore frame-relative, not absolute. An observer co-moving with a charge sees it as predominantly electrostatic — the charge’s position in the field is well-defined in that frame, and the magnetic component is small. An observer in relative motion sees a larger magnetic component, with the ratio determined by the relative velocity between observer and charge through connection space. The purely electrostatic case is the limiting idealisation as relative velocity approaches zero; it is never exactly realised.</w:t>
      </w:r>
    </w:p>
    <w:p>
      <w:pPr>
        <w:spacing w:after="160"/>
      </w:pPr>
      <w:r>
        <w:rPr>
          <w:rFonts w:ascii="Arial" w:cs="Arial" w:eastAsia="Arial" w:hAnsi="Arial"/>
          <w:sz w:val="24"/>
          <w:szCs w:val="24"/>
        </w:rPr>
        <w:t xml:space="preserve">The retarded potential makes this concrete without importing any pre-assumed transformation factors. The scalar potential of a point charge q observed at position x and time t is determined entirely by the native propagation condition: find the retarded time tᵒᵉᵗ such that</w:t>
      </w:r>
    </w:p>
    <w:p>
      <w:pPr>
        <w:spacing w:before="120" w:after="120" w:jc="center"/>
      </w:pPr>
      <w:r>
        <w:rPr>
          <w:rFonts w:ascii="Arial" w:cs="Arial" w:eastAsia="Arial" w:hAnsi="Arial"/>
          <w:sz w:val="24"/>
          <w:szCs w:val="24"/>
          <w:b/>
          <w:bCs/>
        </w:rPr>
        <w:t xml:space="preserve">‖x − xₛ(tᵒᵉᵗ)‖ = c(t − tᵒᵉᵗ)</w:t>
      </w:r>
    </w:p>
    <w:p>
      <w:pPr>
        <w:spacing w:after="160"/>
      </w:pPr>
      <w:r>
        <w:rPr>
          <w:rFonts w:ascii="Arial" w:cs="Arial" w:eastAsia="Arial" w:hAnsi="Arial"/>
          <w:sz w:val="24"/>
          <w:szCs w:val="24"/>
        </w:rPr>
        <w:t xml:space="preserve">This is exactly Eq. (2.2) of the propagation framework, with the charge’s position xₛ(tᵒᵉᵗ) playing the role of the source and the observer at x playing the role of the receiver. The retarded distance R = ‖x − xₛ(tᵒᵉᵗ)‖ is the propagation path length. No gamma factors are inserted; the geometry of the solution is the same cone geometry that produces Doppler and aberration in the propagation framework.</w:t>
      </w:r>
    </w:p>
    <w:p>
      <w:pPr>
        <w:spacing w:after="160"/>
      </w:pPr>
      <w:r>
        <w:rPr>
          <w:rFonts w:ascii="Arial" w:cs="Arial" w:eastAsia="Arial" w:hAnsi="Arial"/>
          <w:sz w:val="24"/>
          <w:szCs w:val="24"/>
        </w:rPr>
        <w:t xml:space="preserve">When the retarded distance R is differentiated with respect to tᵒᵉᵗ to extract the fields, a factor involving the source velocity emerges from the geometry of the moving source — the rate at which the retarded distance is changing as the source moves. This factor, (1 − vₛ·n̂/c) where n̂ is the unit vector from retarded source position to observer, is a consequence of the cone geometry alone. It is the same factor that produces the forward-bunching of field lines for an approaching source and the spreading for a receding one — the perspective compression of apparent solid angle discussed in Section 8. No transformation rule is assumed; it emerges from solving the propagation condition.</w:t>
      </w:r>
    </w:p>
    <w:p>
      <w:pPr>
        <w:spacing w:after="160"/>
      </w:pPr>
      <w:r>
        <w:rPr>
          <w:rFonts w:ascii="Arial" w:cs="Arial" w:eastAsia="Arial" w:hAnsi="Arial"/>
          <w:sz w:val="24"/>
          <w:szCs w:val="24"/>
        </w:rPr>
        <w:t xml:space="preserve">The electric and magnetic fields derived from these potentials then carry the observer’s velocity through connection space implicitly — through the retarded geometry of the propagation path, not through an externally applied field transformation. The ratio of magnetic to electric field strength at any observer location is a consequence of the relative velocity between observer and source as encoded in the cone geometry of their mutual propagation condition. The LC substrate picture and the retarded potential picture are therefore the same physics described at two different levels: the substrate describes the cycling mechanism, and the retarded potential describes the field that mechanism produces as seen from a given observer’s position in connection space.</w:t>
      </w:r>
    </w:p>
    <w:p>
      <w:pPr>
        <w:spacing w:after="80"/>
      </w:pPr>
      <w:r>
        <w:t xml:space="preserve"/>
      </w:r>
    </w:p>
    <w:p>
      <w:pPr>
        <w:pStyle w:val="Heading1"/>
      </w:pPr>
      <w:r>
        <w:rPr>
          <w:rFonts w:ascii="Arial" w:cs="Arial" w:eastAsia="Arial" w:hAnsi="Arial"/>
          <w:b/>
          <w:bCs/>
          <w:sz w:val="32"/>
          <w:szCs w:val="32"/>
        </w:rPr>
        <w:t xml:space="preserve">4.  The Space Hierarchy</w:t>
      </w:r>
    </w:p>
    <w:p>
      <w:pPr>
        <w:spacing w:after="160"/>
      </w:pPr>
      <w:r>
        <w:rPr>
          <w:rFonts w:ascii="Arial" w:cs="Arial" w:eastAsia="Arial" w:hAnsi="Arial"/>
          <w:sz w:val="24"/>
          <w:szCs w:val="24"/>
        </w:rPr>
        <w:t xml:space="preserve">The light propagation framework uses the term </w:t>
      </w:r>
      <w:r>
        <w:rPr>
          <w:rFonts w:ascii="Arial" w:cs="Arial" w:eastAsia="Arial" w:hAnsi="Arial"/>
          <w:i/>
          <w:iCs/>
          <w:sz w:val="24"/>
          <w:szCs w:val="24"/>
        </w:rPr>
        <w:t xml:space="preserve">connection space</w:t>
      </w:r>
      <w:r>
        <w:rPr>
          <w:rFonts w:ascii="Arial" w:cs="Arial" w:eastAsia="Arial" w:hAnsi="Arial"/>
          <w:sz w:val="24"/>
          <w:szCs w:val="24"/>
        </w:rPr>
        <w:t xml:space="preserve"> as the layer through which light propagates at baseline speed </w:t>
      </w:r>
      <w:r>
        <w:rPr>
          <w:rFonts w:ascii="Arial" w:cs="Arial" w:eastAsia="Arial" w:hAnsi="Arial"/>
          <w:i/>
          <w:iCs/>
          <w:sz w:val="24"/>
          <w:szCs w:val="24"/>
        </w:rPr>
        <w:t xml:space="preserve">c</w:t>
      </w:r>
      <w:r>
        <w:rPr>
          <w:rFonts w:ascii="Arial" w:cs="Arial" w:eastAsia="Arial" w:hAnsi="Arial"/>
          <w:sz w:val="24"/>
          <w:szCs w:val="24"/>
        </w:rPr>
        <w:t xml:space="preserve">. This section defines that term precisely within a four-layer space hierarchy. Each layer rests on or in the one below it, and each adds a specific physical property that the layer beneath it lacks.</w:t>
      </w:r>
    </w:p>
    <w:p>
      <w:pPr>
        <w:spacing w:after="160"/>
      </w:pPr>
      <w:r>
        <w:rPr>
          <w:rFonts w:ascii="Arial" w:cs="Arial" w:eastAsia="Arial" w:hAnsi="Arial"/>
          <w:sz w:val="24"/>
          <w:szCs w:val="24"/>
        </w:rPr>
        <w:t xml:space="preserve">A note on terminology: a space </w:t>
      </w:r>
      <w:r>
        <w:rPr>
          <w:rFonts w:ascii="Arial" w:cs="Arial" w:eastAsia="Arial" w:hAnsi="Arial"/>
          <w:i/>
          <w:iCs/>
          <w:sz w:val="24"/>
          <w:szCs w:val="24"/>
        </w:rPr>
        <w:t xml:space="preserve">in</w:t>
      </w:r>
      <w:r>
        <w:rPr>
          <w:rFonts w:ascii="Arial" w:cs="Arial" w:eastAsia="Arial" w:hAnsi="Arial"/>
          <w:sz w:val="24"/>
          <w:szCs w:val="24"/>
        </w:rPr>
        <w:t xml:space="preserve"> another space requires no transformation between them. A space </w:t>
      </w:r>
      <w:r>
        <w:rPr>
          <w:rFonts w:ascii="Arial" w:cs="Arial" w:eastAsia="Arial" w:hAnsi="Arial"/>
          <w:i/>
          <w:iCs/>
          <w:sz w:val="24"/>
          <w:szCs w:val="24"/>
        </w:rPr>
        <w:t xml:space="preserve">on</w:t>
      </w:r>
      <w:r>
        <w:rPr>
          <w:rFonts w:ascii="Arial" w:cs="Arial" w:eastAsia="Arial" w:hAnsi="Arial"/>
          <w:sz w:val="24"/>
          <w:szCs w:val="24"/>
        </w:rPr>
        <w:t xml:space="preserve"> another space has a mapping or transformation against the underlying one.</w:t>
      </w:r>
    </w:p>
    <w:p>
      <w:pPr>
        <w:spacing w:after="80"/>
      </w:pPr>
      <w:r>
        <w:t xml:space="preserve"/>
      </w:r>
    </w:p>
    <w:p>
      <w:pPr>
        <w:pStyle w:val="Heading2"/>
      </w:pPr>
      <w:r>
        <w:rPr>
          <w:rFonts w:ascii="Arial" w:cs="Arial" w:eastAsia="Arial" w:hAnsi="Arial"/>
          <w:b/>
          <w:bCs/>
          <w:sz w:val="28"/>
          <w:szCs w:val="28"/>
        </w:rPr>
        <w:t xml:space="preserve">4.1  Coordinate space  (foundation)</w:t>
      </w:r>
    </w:p>
    <w:p>
      <w:pPr>
        <w:spacing w:after="160"/>
      </w:pPr>
      <w:r>
        <w:rPr>
          <w:rFonts w:ascii="Arial" w:cs="Arial" w:eastAsia="Arial" w:hAnsi="Arial"/>
          <w:sz w:val="24"/>
          <w:szCs w:val="24"/>
        </w:rPr>
        <w:t xml:space="preserve">A bare coordinate grid with no physical properties. Contains a reference clock ticking at a constant rate. All clocks in higher spaces tick slower than this clock. It is the reference against which all transformations are defined. Coordinate space does not correspond to anything directly observable — it is the mathematical scaffolding on which the physical layers are built.</w:t>
      </w:r>
    </w:p>
    <w:p>
      <w:pPr>
        <w:spacing w:after="80"/>
      </w:pPr>
      <w:r>
        <w:t xml:space="preserve"/>
      </w:r>
    </w:p>
    <w:p>
      <w:pPr>
        <w:pStyle w:val="Heading2"/>
      </w:pPr>
      <w:r>
        <w:rPr>
          <w:rFonts w:ascii="Arial" w:cs="Arial" w:eastAsia="Arial" w:hAnsi="Arial"/>
          <w:b/>
          <w:bCs/>
          <w:sz w:val="28"/>
          <w:szCs w:val="28"/>
        </w:rPr>
        <w:t xml:space="preserve">4.2  Vacuum impedance space  (on coordinate space)</w:t>
      </w:r>
    </w:p>
    <w:p>
      <w:pPr>
        <w:spacing w:after="160"/>
      </w:pPr>
      <w:r>
        <w:rPr>
          <w:rFonts w:ascii="Arial" w:cs="Arial" w:eastAsia="Arial" w:hAnsi="Arial"/>
          <w:sz w:val="24"/>
          <w:szCs w:val="24"/>
        </w:rPr>
        <w:t xml:space="preserve">The first physically real layer. Vacuum impedance space is characterised by two field properties distributed throughout coordinate space:</w:t>
      </w:r>
    </w:p>
    <w:p>
      <w:pPr>
        <w:pStyle w:val="ListParagraph"/>
        <w:numPr>
          <w:ilvl w:val="0"/>
          <w:numId w:val="2"/>
        </w:numPr>
        <w:spacing w:after="80"/>
      </w:pPr>
      <w:r>
        <w:rPr>
          <w:rFonts w:ascii="Arial" w:cs="Arial" w:eastAsia="Arial" w:hAnsi="Arial"/>
          <w:sz w:val="24"/>
          <w:szCs w:val="24"/>
        </w:rPr>
        <w:t xml:space="preserve">Permittivity ε₀ (F/m) — electrostatic storage capacity per unit coordinate length. Electric potential establishes position; it encodes where something is.</w:t>
      </w:r>
    </w:p>
    <w:p>
      <w:pPr>
        <w:pStyle w:val="ListParagraph"/>
        <w:numPr>
          <w:ilvl w:val="0"/>
          <w:numId w:val="2"/>
        </w:numPr>
        <w:spacing w:after="80"/>
      </w:pPr>
      <w:r>
        <w:rPr>
          <w:rFonts w:ascii="Arial" w:cs="Arial" w:eastAsia="Arial" w:hAnsi="Arial"/>
          <w:sz w:val="24"/>
          <w:szCs w:val="24"/>
        </w:rPr>
        <w:t xml:space="preserve">Permeability µ₀ (H/m) — electromagnetic storage capacity per unit coordinate length. The magnetic field has directionality (generally normal to its curl) but no specific position; it encodes how something is moving.</w:t>
      </w:r>
    </w:p>
    <w:p>
      <w:pPr>
        <w:spacing w:after="80"/>
      </w:pPr>
      <w:r>
        <w:t xml:space="preserve"/>
      </w:r>
    </w:p>
    <w:p>
      <w:pPr>
        <w:spacing w:after="160"/>
      </w:pPr>
      <w:r>
        <w:rPr>
          <w:rFonts w:ascii="Arial" w:cs="Arial" w:eastAsia="Arial" w:hAnsi="Arial"/>
          <w:sz w:val="24"/>
          <w:szCs w:val="24"/>
        </w:rPr>
        <w:t xml:space="preserve">The two derived constants are </w:t>
      </w:r>
      <w:r>
        <w:rPr>
          <w:rFonts w:ascii="Arial" w:cs="Arial" w:eastAsia="Arial" w:hAnsi="Arial"/>
          <w:i/>
          <w:iCs/>
          <w:sz w:val="24"/>
          <w:szCs w:val="24"/>
        </w:rPr>
        <w:t xml:space="preserve">c</w:t>
      </w:r>
      <w:r>
        <w:rPr>
          <w:rFonts w:ascii="Arial" w:cs="Arial" w:eastAsia="Arial" w:hAnsi="Arial"/>
          <w:sz w:val="24"/>
          <w:szCs w:val="24"/>
        </w:rPr>
        <w:t xml:space="preserve"> = 1/√(µ₀ε₀) (propagation speed) and Z₀ = √(µ₀/ε₀) ≈ 377 Ω (vacuum impedance). In the lab frame, both are uniform throughout this space.</w:t>
      </w:r>
    </w:p>
    <w:p>
      <w:pPr>
        <w:spacing w:after="160"/>
      </w:pPr>
      <w:r>
        <w:rPr>
          <w:rFonts w:ascii="Arial" w:cs="Arial" w:eastAsia="Arial" w:hAnsi="Arial"/>
          <w:sz w:val="24"/>
          <w:szCs w:val="24"/>
        </w:rPr>
        <w:t xml:space="preserve">Vacuum impedance space is where the LC medium lives. The electromagnetic field — including all photons and all charged-particle fields — is an excitation of this layer.</w:t>
      </w:r>
    </w:p>
    <w:p>
      <w:pPr>
        <w:spacing w:after="80"/>
      </w:pPr>
      <w:r>
        <w:t xml:space="preserve"/>
      </w:r>
    </w:p>
    <w:p>
      <w:pPr>
        <w:pStyle w:val="Heading2"/>
      </w:pPr>
      <w:r>
        <w:rPr>
          <w:rFonts w:ascii="Arial" w:cs="Arial" w:eastAsia="Arial" w:hAnsi="Arial"/>
          <w:b/>
          <w:bCs/>
          <w:sz w:val="28"/>
          <w:szCs w:val="28"/>
        </w:rPr>
        <w:t xml:space="preserve">4.3  Connection space  (on vacuum impedance space)</w:t>
      </w:r>
    </w:p>
    <w:p>
      <w:pPr>
        <w:spacing w:after="160"/>
      </w:pPr>
      <w:r>
        <w:rPr>
          <w:rFonts w:ascii="Arial" w:cs="Arial" w:eastAsia="Arial" w:hAnsi="Arial"/>
          <w:sz w:val="24"/>
          <w:szCs w:val="24"/>
        </w:rPr>
        <w:t xml:space="preserve">A network of paths connecting the capacitive and inductive elements of vacuum impedance space — equivalently, the Levi-Civita connection of the geometry. Its topology determines how electromagnetic signals propagate through coordinate space: which capacitive states connect to which inductive states, and in what order.</w:t>
      </w:r>
    </w:p>
    <w:p>
      <w:pPr>
        <w:spacing w:after="160"/>
      </w:pPr>
      <w:r>
        <w:rPr>
          <w:rFonts w:ascii="Arial" w:cs="Arial" w:eastAsia="Arial" w:hAnsi="Arial"/>
          <w:sz w:val="24"/>
          <w:szCs w:val="24"/>
        </w:rPr>
        <w:t xml:space="preserve">Connection space is the layer referenced in the light propagation framework when it states that light propagates at </w:t>
      </w:r>
      <w:r>
        <w:rPr>
          <w:rFonts w:ascii="Arial" w:cs="Arial" w:eastAsia="Arial" w:hAnsi="Arial"/>
          <w:i/>
          <w:iCs/>
          <w:sz w:val="24"/>
          <w:szCs w:val="24"/>
        </w:rPr>
        <w:t xml:space="preserve">c</w:t>
      </w:r>
      <w:r>
        <w:rPr>
          <w:rFonts w:ascii="Arial" w:cs="Arial" w:eastAsia="Arial" w:hAnsi="Arial"/>
          <w:sz w:val="24"/>
          <w:szCs w:val="24"/>
        </w:rPr>
        <w:t xml:space="preserve"> through connection space. The propagation condition ‖x_o(t_o) − x_s(t_e)‖ = c(t_o − t_e) is a statement about distances and times </w:t>
      </w:r>
      <w:r>
        <w:rPr>
          <w:rFonts w:ascii="Arial" w:cs="Arial" w:eastAsia="Arial" w:hAnsi="Arial"/>
          <w:i/>
          <w:iCs/>
          <w:sz w:val="24"/>
          <w:szCs w:val="24"/>
        </w:rPr>
        <w:t xml:space="preserve">in connection space</w:t>
      </w:r>
      <w:r>
        <w:rPr>
          <w:rFonts w:ascii="Arial" w:cs="Arial" w:eastAsia="Arial" w:hAnsi="Arial"/>
          <w:sz w:val="24"/>
          <w:szCs w:val="24"/>
        </w:rPr>
        <w:t xml:space="preserve">, not in coordinate space or physical space.</w:t>
      </w:r>
    </w:p>
    <w:p>
      <w:pPr>
        <w:spacing w:after="160"/>
      </w:pPr>
      <w:r>
        <w:rPr>
          <w:rFonts w:ascii="Arial" w:cs="Arial" w:eastAsia="Arial" w:hAnsi="Arial"/>
          <w:sz w:val="24"/>
          <w:szCs w:val="24"/>
        </w:rPr>
        <w:t xml:space="preserve">In the homogeneous lab-frame setting of the propagation framework, connection space is flat and uniform. Its geometry is that of ordinary three-dimensional Euclidean space, and </w:t>
      </w:r>
      <w:r>
        <w:rPr>
          <w:rFonts w:ascii="Arial" w:cs="Arial" w:eastAsia="Arial" w:hAnsi="Arial"/>
          <w:i/>
          <w:iCs/>
          <w:sz w:val="24"/>
          <w:szCs w:val="24"/>
        </w:rPr>
        <w:t xml:space="preserve">c</w:t>
      </w:r>
      <w:r>
        <w:rPr>
          <w:rFonts w:ascii="Arial" w:cs="Arial" w:eastAsia="Arial" w:hAnsi="Arial"/>
          <w:sz w:val="24"/>
          <w:szCs w:val="24"/>
        </w:rPr>
        <w:t xml:space="preserve"> is constant throughout.</w:t>
      </w:r>
    </w:p>
    <w:p>
      <w:pPr>
        <w:spacing w:after="80"/>
      </w:pPr>
      <w:r>
        <w:t xml:space="preserve"/>
      </w:r>
    </w:p>
    <w:p>
      <w:pPr>
        <w:pStyle w:val="Heading2"/>
      </w:pPr>
      <w:r>
        <w:rPr>
          <w:rFonts w:ascii="Arial" w:cs="Arial" w:eastAsia="Arial" w:hAnsi="Arial"/>
          <w:b/>
          <w:bCs/>
          <w:sz w:val="28"/>
          <w:szCs w:val="28"/>
        </w:rPr>
        <w:t xml:space="preserve">4.4  Physical space  (in connection space)</w:t>
      </w:r>
    </w:p>
    <w:p>
      <w:pPr>
        <w:spacing w:after="160"/>
      </w:pPr>
      <w:r>
        <w:rPr>
          <w:rFonts w:ascii="Arial" w:cs="Arial" w:eastAsia="Arial" w:hAnsi="Arial"/>
          <w:sz w:val="24"/>
          <w:szCs w:val="24"/>
        </w:rPr>
        <w:t xml:space="preserve">Where rods, clocks, and observers exist. Physical space is the layer we directly inhabit and measure. Rods are sustained electromagnetic structures — their length is defined by the connection space geometry they occupy. Clocks tick according to the local vacuum impedance and the frame's overall velocity through connection space.</w:t>
      </w:r>
    </w:p>
    <w:p>
      <w:pPr>
        <w:spacing w:after="160"/>
      </w:pPr>
      <w:r>
        <w:rPr>
          <w:rFonts w:ascii="Arial" w:cs="Arial" w:eastAsia="Arial" w:hAnsi="Arial"/>
          <w:sz w:val="24"/>
          <w:szCs w:val="24"/>
        </w:rPr>
        <w:t xml:space="preserve">Physical space is </w:t>
      </w:r>
      <w:r>
        <w:rPr>
          <w:rFonts w:ascii="Arial" w:cs="Arial" w:eastAsia="Arial" w:hAnsi="Arial"/>
          <w:i/>
          <w:iCs/>
          <w:sz w:val="24"/>
          <w:szCs w:val="24"/>
        </w:rPr>
        <w:t xml:space="preserve">in</w:t>
      </w:r>
      <w:r>
        <w:rPr>
          <w:rFonts w:ascii="Arial" w:cs="Arial" w:eastAsia="Arial" w:hAnsi="Arial"/>
          <w:sz w:val="24"/>
          <w:szCs w:val="24"/>
        </w:rPr>
        <w:t xml:space="preserve"> connection space — no additional transformation is required between them in the flat, homogeneous case. The distinction between connection space and physical space becomes significant when connection space is curved or inhomogeneous, but in the lab-frame propagation framework, they coincide.</w:t>
      </w:r>
    </w:p>
    <w:p>
      <w:pPr>
        <w:spacing w:after="80"/>
      </w:pPr>
      <w:r>
        <w:t xml:space="preserve"/>
      </w:r>
    </w:p>
    <w:p>
      <w:pPr>
        <w:pStyle w:val="Heading1"/>
      </w:pPr>
      <w:r>
        <w:rPr>
          <w:rFonts w:ascii="Arial" w:cs="Arial" w:eastAsia="Arial" w:hAnsi="Arial"/>
          <w:b/>
          <w:bCs/>
          <w:sz w:val="32"/>
          <w:szCs w:val="32"/>
        </w:rPr>
        <w:t xml:space="preserve">5.  Why c is the Natural Propagation Speed</w:t>
      </w:r>
    </w:p>
    <w:p>
      <w:pPr>
        <w:spacing w:after="160"/>
      </w:pPr>
      <w:r>
        <w:rPr>
          <w:rFonts w:ascii="Arial" w:cs="Arial" w:eastAsia="Arial" w:hAnsi="Arial"/>
          <w:sz w:val="24"/>
          <w:szCs w:val="24"/>
        </w:rPr>
        <w:t xml:space="preserve">The question of why light propagates at </w:t>
      </w:r>
      <w:r>
        <w:rPr>
          <w:rFonts w:ascii="Arial" w:cs="Arial" w:eastAsia="Arial" w:hAnsi="Arial"/>
          <w:i/>
          <w:iCs/>
          <w:sz w:val="24"/>
          <w:szCs w:val="24"/>
        </w:rPr>
        <w:t xml:space="preserve">c</w:t>
      </w:r>
      <w:r>
        <w:rPr>
          <w:rFonts w:ascii="Arial" w:cs="Arial" w:eastAsia="Arial" w:hAnsi="Arial"/>
          <w:sz w:val="24"/>
          <w:szCs w:val="24"/>
        </w:rPr>
        <w:t xml:space="preserve"> — and why that speed is the same for all observers — has a different character in this framework than in standard special relativity.</w:t>
      </w:r>
    </w:p>
    <w:p>
      <w:pPr>
        <w:spacing w:after="160"/>
      </w:pPr>
      <w:r>
        <w:rPr>
          <w:rFonts w:ascii="Arial" w:cs="Arial" w:eastAsia="Arial" w:hAnsi="Arial"/>
          <w:sz w:val="24"/>
          <w:szCs w:val="24"/>
        </w:rPr>
        <w:t xml:space="preserve">In SR, the constancy of </w:t>
      </w:r>
      <w:r>
        <w:rPr>
          <w:rFonts w:ascii="Arial" w:cs="Arial" w:eastAsia="Arial" w:hAnsi="Arial"/>
          <w:i/>
          <w:iCs/>
          <w:sz w:val="24"/>
          <w:szCs w:val="24"/>
        </w:rPr>
        <w:t xml:space="preserve">c</w:t>
      </w:r>
      <w:r>
        <w:rPr>
          <w:rFonts w:ascii="Arial" w:cs="Arial" w:eastAsia="Arial" w:hAnsi="Arial"/>
          <w:sz w:val="24"/>
          <w:szCs w:val="24"/>
        </w:rPr>
        <w:t xml:space="preserve"> is a postulate. In this framework, it is a consequence of the medium.</w:t>
      </w:r>
    </w:p>
    <w:p>
      <w:pPr>
        <w:spacing w:after="160"/>
      </w:pPr>
      <w:r>
        <w:rPr>
          <w:rFonts w:ascii="Arial" w:cs="Arial" w:eastAsia="Arial" w:hAnsi="Arial"/>
          <w:sz w:val="24"/>
          <w:szCs w:val="24"/>
        </w:rPr>
        <w:t xml:space="preserve">The vacuum medium has fixed capacitive density ε₀ and fixed inductive density µ₀ throughout connection space (in the lab frame). An electromagnetic excitation cycles between these two storage modes. The rate at which that cycling front advances through space is set entirely by the medium properties: </w:t>
      </w:r>
      <w:r>
        <w:rPr>
          <w:rFonts w:ascii="Arial" w:cs="Arial" w:eastAsia="Arial" w:hAnsi="Arial"/>
          <w:i/>
          <w:iCs/>
          <w:sz w:val="24"/>
          <w:szCs w:val="24"/>
        </w:rPr>
        <w:t xml:space="preserve">c</w:t>
      </w:r>
      <w:r>
        <w:rPr>
          <w:rFonts w:ascii="Arial" w:cs="Arial" w:eastAsia="Arial" w:hAnsi="Arial"/>
          <w:sz w:val="24"/>
          <w:szCs w:val="24"/>
        </w:rPr>
        <w:t xml:space="preserve"> = 1/√(ε₀µ₀). There is no other speed available to it — the medium has only one propagation speed, set by its own storage densities.</w:t>
      </w:r>
    </w:p>
    <w:p>
      <w:pPr>
        <w:spacing w:after="160"/>
      </w:pPr>
      <w:r>
        <w:rPr>
          <w:rFonts w:ascii="Arial" w:cs="Arial" w:eastAsia="Arial" w:hAnsi="Arial"/>
          <w:sz w:val="24"/>
          <w:szCs w:val="24"/>
        </w:rPr>
        <w:t xml:space="preserve">The invariance of </w:t>
      </w:r>
      <w:r>
        <w:rPr>
          <w:rFonts w:ascii="Arial" w:cs="Arial" w:eastAsia="Arial" w:hAnsi="Arial"/>
          <w:i/>
          <w:iCs/>
          <w:sz w:val="24"/>
          <w:szCs w:val="24"/>
        </w:rPr>
        <w:t xml:space="preserve">c</w:t>
      </w:r>
      <w:r>
        <w:rPr>
          <w:rFonts w:ascii="Arial" w:cs="Arial" w:eastAsia="Arial" w:hAnsi="Arial"/>
          <w:sz w:val="24"/>
          <w:szCs w:val="24"/>
        </w:rPr>
        <w:t xml:space="preserve"> across observers follows from the fact that all observers are themselves sustained excitations of the same medium. Length contraction and time dilation — derived in the propagation framework from the two-way interaction cost — modify how observers measure space and time in a way that exactly preserves the measured propagation speed. This is not a coincidence: contraction and dilation are the mechanical response of matter (itself an LC excitation) to motion through the medium, and those responses are precisely calibrated to the medium's own propagation speed.</w:t>
      </w:r>
    </w:p>
    <w:p>
      <w:pPr>
        <w:spacing w:after="80"/>
      </w:pPr>
      <w:r>
        <w:t xml:space="preserve"/>
      </w:r>
    </w:p>
    <w:p>
      <w:pPr>
        <w:pStyle w:val="Heading1"/>
      </w:pPr>
      <w:r>
        <w:rPr>
          <w:rFonts w:ascii="Arial" w:cs="Arial" w:eastAsia="Arial" w:hAnsi="Arial"/>
          <w:b/>
          <w:bCs/>
          <w:sz w:val="32"/>
          <w:szCs w:val="32"/>
        </w:rPr>
        <w:t xml:space="preserve">6.  Relation to the Light Propagation Framework</w:t>
      </w:r>
    </w:p>
    <w:p>
      <w:pPr>
        <w:spacing w:after="160"/>
      </w:pPr>
      <w:r>
        <w:rPr>
          <w:rFonts w:ascii="Arial" w:cs="Arial" w:eastAsia="Arial" w:hAnsi="Arial"/>
          <w:sz w:val="24"/>
          <w:szCs w:val="24"/>
        </w:rPr>
        <w:t xml:space="preserve">The light propagation framework (the companion document) begins from the native propagation condition of Eq. (2.2) and derives kinematic structure — contraction, timing, Lorentz mapping, Doppler, aberration — as formal consequences. It deliberately avoids committing to a physical substrate so that the kinematic results stand on their own.</w:t>
      </w:r>
    </w:p>
    <w:p>
      <w:pPr>
        <w:spacing w:after="160"/>
      </w:pPr>
      <w:r>
        <w:rPr>
          <w:rFonts w:ascii="Arial" w:cs="Arial" w:eastAsia="Arial" w:hAnsi="Arial"/>
          <w:sz w:val="24"/>
          <w:szCs w:val="24"/>
        </w:rPr>
        <w:t xml:space="preserve">This companion document supplies that substrate. The relationships between the two are:</w:t>
      </w:r>
    </w:p>
    <w:p>
      <w:pPr>
        <w:pStyle w:val="ListParagraph"/>
        <w:numPr>
          <w:ilvl w:val="0"/>
          <w:numId w:val="2"/>
        </w:numPr>
        <w:spacing w:after="80"/>
      </w:pPr>
      <w:r>
        <w:rPr>
          <w:rFonts w:ascii="Arial" w:cs="Arial" w:eastAsia="Arial" w:hAnsi="Arial"/>
          <w:sz w:val="24"/>
          <w:szCs w:val="24"/>
        </w:rPr>
        <w:t xml:space="preserve">The propagation condition ‖x_o(t_o) − x_s(t_e)‖ = c(t_o − t_e) is the statement that an LC cycling front in vacuum impedance space traverses connection space at speed c = 1/√(ε₀µ₀) between emission event and reception event.</w:t>
      </w:r>
    </w:p>
    <w:p>
      <w:pPr>
        <w:pStyle w:val="ListParagraph"/>
        <w:numPr>
          <w:ilvl w:val="0"/>
          <w:numId w:val="2"/>
        </w:numPr>
        <w:spacing w:after="80"/>
      </w:pPr>
      <w:r>
        <w:rPr>
          <w:rFonts w:ascii="Arial" w:cs="Arial" w:eastAsia="Arial" w:hAnsi="Arial"/>
          <w:sz w:val="24"/>
          <w:szCs w:val="24"/>
        </w:rPr>
        <w:t xml:space="preserve">The term connection space in the propagation framework refers specifically to Layer 3 of the space hierarchy: the network of paths through vacuum impedance space that determines propagation geometry.</w:t>
      </w:r>
    </w:p>
    <w:p>
      <w:pPr>
        <w:pStyle w:val="ListParagraph"/>
        <w:numPr>
          <w:ilvl w:val="0"/>
          <w:numId w:val="2"/>
        </w:numPr>
        <w:spacing w:after="80"/>
      </w:pPr>
      <w:r>
        <w:rPr>
          <w:rFonts w:ascii="Arial" w:cs="Arial" w:eastAsia="Arial" w:hAnsi="Arial"/>
          <w:sz w:val="24"/>
          <w:szCs w:val="24"/>
        </w:rPr>
        <w:t xml:space="preserve">The contraction factor λ(v) = √(1−v²/c²) recovered in the propagation framework is the mechanical response of matter — itself a sustained LC excitation — to motion through the medium. The two-way interaction cost that produces it is a consequence of how LC cycling structures interact with a medium whose wave speed is c.</w:t>
      </w:r>
    </w:p>
    <w:p>
      <w:pPr>
        <w:pStyle w:val="ListParagraph"/>
        <w:numPr>
          <w:ilvl w:val="0"/>
          <w:numId w:val="2"/>
        </w:numPr>
        <w:spacing w:after="80"/>
      </w:pPr>
      <w:r>
        <w:rPr>
          <w:rFonts w:ascii="Arial" w:cs="Arial" w:eastAsia="Arial" w:hAnsi="Arial"/>
          <w:sz w:val="24"/>
          <w:szCs w:val="24"/>
        </w:rPr>
        <w:t xml:space="preserve">The timing factor γ(v) = 1/√(1−v²/c²) is the enlarged total two-way interaction cost. It is also the factor by which an LC oscillator's cycle rate is reduced when the oscillator moves through the medium — the same mechanism as time dilation, expressed in the medium's own terms.</w:t>
      </w:r>
    </w:p>
    <w:p>
      <w:pPr>
        <w:pStyle w:val="ListParagraph"/>
        <w:numPr>
          <w:ilvl w:val="0"/>
          <w:numId w:val="2"/>
        </w:numPr>
        <w:spacing w:after="80"/>
      </w:pPr>
      <w:r>
        <w:rPr>
          <w:rFonts w:ascii="Arial" w:cs="Arial" w:eastAsia="Arial" w:hAnsi="Arial"/>
          <w:sz w:val="24"/>
          <w:szCs w:val="24"/>
        </w:rPr>
        <w:t xml:space="preserve">The simultaneity slope vL/c² recovered from slow-clock transport is a direct consequence of transported clocks encountering more vacuum medium per unit coordinate time when they move, slowing them by a velocity-dependent factor and producing endpoint-dependent clock offsets that read as a simultaneity slope across the frame.</w:t>
      </w:r>
    </w:p>
    <w:p>
      <w:pPr>
        <w:spacing w:after="80"/>
      </w:pPr>
      <w:r>
        <w:t xml:space="preserve"/>
      </w:r>
    </w:p>
    <w:p>
      <w:pPr>
        <w:pStyle w:val="Heading1"/>
      </w:pPr>
      <w:r>
        <w:rPr>
          <w:rFonts w:ascii="Arial" w:cs="Arial" w:eastAsia="Arial" w:hAnsi="Arial"/>
          <w:b/>
          <w:bCs/>
          <w:sz w:val="32"/>
          <w:szCs w:val="32"/>
        </w:rPr>
        <w:t xml:space="preserve">7.  Summary</w:t>
      </w:r>
    </w:p>
    <w:p>
      <w:pPr>
        <w:spacing w:after="160"/>
      </w:pPr>
      <w:r>
        <w:rPr>
          <w:rFonts w:ascii="Arial" w:cs="Arial" w:eastAsia="Arial" w:hAnsi="Arial"/>
          <w:sz w:val="24"/>
          <w:szCs w:val="24"/>
        </w:rPr>
        <w:t xml:space="preserve">The key claims of this companion document are:</w:t>
      </w:r>
    </w:p>
    <w:p>
      <w:pPr>
        <w:pStyle w:val="ListParagraph"/>
        <w:numPr>
          <w:ilvl w:val="0"/>
          <w:numId w:val="2"/>
        </w:numPr>
        <w:spacing w:after="80"/>
      </w:pPr>
      <w:r>
        <w:rPr>
          <w:rFonts w:ascii="Arial" w:cs="Arial" w:eastAsia="Arial" w:hAnsi="Arial"/>
          <w:sz w:val="24"/>
          <w:szCs w:val="24"/>
        </w:rPr>
        <w:t xml:space="preserve">The vacuum has two complementary storage properties, ε₀ and µ₀, which are the capacitive and inductive densities of the medium. Their product gives s²/m², and c = 1/√(ε₀µ₀) is the wave speed of the medium — not a postulate but a consequence of what the vacuum is.</w:t>
      </w:r>
    </w:p>
    <w:p>
      <w:pPr>
        <w:pStyle w:val="ListParagraph"/>
        <w:numPr>
          <w:ilvl w:val="0"/>
          <w:numId w:val="2"/>
        </w:numPr>
        <w:spacing w:after="80"/>
      </w:pPr>
      <w:r>
        <w:rPr>
          <w:rFonts w:ascii="Arial" w:cs="Arial" w:eastAsia="Arial" w:hAnsi="Arial"/>
          <w:sz w:val="24"/>
          <w:szCs w:val="24"/>
        </w:rPr>
        <w:t xml:space="preserve">Electric (capacitive) and magnetic (inductive) aspects of an electromagnetic excitation are two phases of a single LC cycle, not two separate fields. A charge at rest is in the capacitive phase; a moving charge is in the inductive transition. The magnetic field is not caused by motion — it is motion, encoded in the inductive storage mode of the medium.</w:t>
      </w:r>
    </w:p>
    <w:p>
      <w:pPr>
        <w:pStyle w:val="ListParagraph"/>
        <w:numPr>
          <w:ilvl w:val="0"/>
          <w:numId w:val="2"/>
        </w:numPr>
        <w:spacing w:after="80"/>
      </w:pPr>
      <w:r>
        <w:rPr>
          <w:rFonts w:ascii="Arial" w:cs="Arial" w:eastAsia="Arial" w:hAnsi="Arial"/>
          <w:sz w:val="24"/>
          <w:szCs w:val="24"/>
        </w:rPr>
        <w:t xml:space="preserve">The uncertainty principle is structural: position and momentum are encoded in complementary storage modes of the LC medium — the electrostatic and magnetic phases — which coexist as superposed states but require incompatible measurement interactions to read. The limit is in the reading, not in the existence of the states.</w:t>
      </w:r>
    </w:p>
    <w:p>
      <w:pPr>
        <w:pStyle w:val="ListParagraph"/>
        <w:numPr>
          <w:ilvl w:val="0"/>
          <w:numId w:val="2"/>
        </w:numPr>
        <w:spacing w:after="80"/>
      </w:pPr>
      <w:r>
        <w:rPr>
          <w:rFonts w:ascii="Arial" w:cs="Arial" w:eastAsia="Arial" w:hAnsi="Arial"/>
          <w:sz w:val="24"/>
          <w:szCs w:val="24"/>
        </w:rPr>
        <w:t xml:space="preserve">The space hierarchy — coordinate, vacuum impedance, connection, physical — provides the layered context in which the propagation framework operates. Connection space is the wiring of vacuum impedance space; physical space is where rods and clocks exist within it.</w:t>
      </w:r>
    </w:p>
    <w:p>
      <w:pPr>
        <w:pStyle w:val="ListParagraph"/>
        <w:numPr>
          <w:ilvl w:val="0"/>
          <w:numId w:val="2"/>
        </w:numPr>
        <w:spacing w:after="80"/>
      </w:pPr>
      <w:r>
        <w:rPr>
          <w:rFonts w:ascii="Arial" w:cs="Arial" w:eastAsia="Arial" w:hAnsi="Arial"/>
          <w:sz w:val="24"/>
          <w:szCs w:val="24"/>
        </w:rPr>
        <w:t xml:space="preserve">In the flat, homogeneous lab frame, c is uniform throughout connection space, and the propagation framework's kinematic derivations apply without modification. The LC substrate provides physical grounding for those derivations without changing their algebraic form.</w:t>
      </w:r>
    </w:p>
    <w:p>
      <w:pPr>
        <w:spacing w:after="80"/>
      </w:pPr>
      <w:r>
        <w:t xml:space="preserve"/>
      </w:r>
    </w:p>
    <w:p>
      <w:pPr>
        <w:pStyle w:val="Heading1"/>
        <w:spacing w:before="320" w:after="160"/>
        <w:outlineLvl w:val="0"/>
      </w:pPr>
      <w:r>
        <w:rPr>
          <w:rFonts w:ascii="Arial" w:cs="Arial" w:eastAsia="Arial" w:hAnsi="Arial"/>
          <w:b/>
          <w:bCs/>
          <w:color w:val="1F3864"/>
          <w:sz w:val="32"/>
          <w:szCs w:val="32"/>
        </w:rPr>
        <w:t xml:space="preserve">8.  Field Interactions as Perspective Projections</w:t>
      </w:r>
    </w:p>
    <w:p>
      <w:pPr>
        <w:pStyle w:val="Heading2"/>
        <w:spacing w:before="240" w:after="120"/>
        <w:outlineLvl w:val="1"/>
      </w:pPr>
      <w:r>
        <w:rPr>
          <w:rFonts w:ascii="Arial" w:cs="Arial" w:eastAsia="Arial" w:hAnsi="Arial"/>
          <w:b/>
          <w:bCs/>
          <w:color w:val="2E4A6E"/>
          <w:sz w:val="28"/>
          <w:szCs w:val="28"/>
        </w:rPr>
        <w:t xml:space="preserve">8.1  The field in the medium: 1/r</w:t>
      </w:r>
    </w:p>
    <w:p>
      <w:pPr>
        <w:spacing w:after="160"/>
      </w:pPr>
      <w:r>
        <w:rPr>
          <w:rFonts w:ascii="Arial" w:cs="Arial" w:eastAsia="Arial" w:hAnsi="Arial"/>
          <w:sz w:val="24"/>
          <w:szCs w:val="24"/>
        </w:rPr>
        <w:t xml:space="preserve">An electromagnetic excitation propagating outward through vacuum impedance space carries a fixed total energy. As the LC cycling front expands spherically, that energy is distributed over a surface of area 4πr². The field amplitude at distance r therefore falls as 1/r — not because the field is weakening in any absolute sense, but because the same excitation is spread over a larger surface. The scalar potential φ ~ 1/r and the field amplitude |E| ~ 1/r are properties of the field as it exists in the medium — what connection space carries outward from the source.</w:t>
      </w:r>
    </w:p>
    <w:p>
      <w:pPr>
        <w:spacing w:after="160"/>
      </w:pPr>
      <w:r>
        <w:rPr>
          <w:rFonts w:ascii="Arial" w:cs="Arial" w:eastAsia="Arial" w:hAnsi="Arial"/>
          <w:sz w:val="24"/>
          <w:szCs w:val="24"/>
        </w:rPr>
        <w:t xml:space="preserve">This 1/r is the source’s own signal — what would be measured by an observer co-moving with the wavefront and sampling the full spherical shell. It is a statement about the field in the medium, not about any particular receiver’s experience of it.</w:t>
      </w:r>
    </w:p>
    <w:p>
      <w:pPr>
        <w:pStyle w:val="Heading2"/>
        <w:spacing w:before="240" w:after="120"/>
        <w:outlineLvl w:val="1"/>
      </w:pPr>
      <w:r>
        <w:rPr>
          <w:rFonts w:ascii="Arial" w:cs="Arial" w:eastAsia="Arial" w:hAnsi="Arial"/>
          <w:b/>
          <w:bCs/>
          <w:color w:val="2E4A6E"/>
          <w:sz w:val="28"/>
          <w:szCs w:val="28"/>
        </w:rPr>
        <w:t xml:space="preserve">8.2  The observer’s sampling: 1/r² and the perspective transform</w:t>
      </w:r>
    </w:p>
    <w:p>
      <w:pPr>
        <w:spacing w:after="160"/>
      </w:pPr>
      <w:r>
        <w:rPr>
          <w:rFonts w:ascii="Arial" w:cs="Arial" w:eastAsia="Arial" w:hAnsi="Arial"/>
          <w:sz w:val="24"/>
          <w:szCs w:val="24"/>
        </w:rPr>
        <w:t xml:space="preserve">A receiver at distance r does not sit on the full spherical shell. It occupies a finite cross-sectional area — a patch of that surface. The flux it intercepts is proportional to its area divided by 4πr². This is the 1/r² intensity falloff observed in practice, and it is entirely the receiver’s operation, not a property of the field itself. The field carries 1/r amplitude outward; the receiver samples a 2D patch of a 3D spherical wavefront, and that sampling geometry produces the additional factor of 1/r.</w:t>
      </w:r>
    </w:p>
    <w:p>
      <w:pPr>
        <w:spacing w:after="160"/>
      </w:pPr>
      <w:r>
        <w:rPr>
          <w:rFonts w:ascii="Arial" w:cs="Arial" w:eastAsia="Arial" w:hAnsi="Arial"/>
          <w:sz w:val="24"/>
          <w:szCs w:val="24"/>
        </w:rPr>
        <w:t xml:space="preserve">This is precisely the perspective transform in the sense of 3D graphics projection: a 3D scene is mapped onto a 2D image plane by dividing by depth. Objects far away are scaled by 1/r in each linear dimension, producing a 1/r² reduction in apparent area — and therefore in intercepted flux. The 1/r² intensity law is not a separate physical fact; it is what perspective projection is, applied to a spherically expanding field.</w:t>
      </w:r>
    </w:p>
    <w:p>
      <w:pPr>
        <w:spacing w:after="160"/>
      </w:pPr>
      <w:r>
        <w:rPr>
          <w:rFonts w:ascii="Arial" w:cs="Arial" w:eastAsia="Arial" w:hAnsi="Arial"/>
          <w:sz w:val="24"/>
          <w:szCs w:val="24"/>
        </w:rPr>
        <w:t xml:space="preserve">The projective invariant is solid angle, not distance. A source that is far but wide subtends the same solid angle at the receiver as one that is near and small, and both contribute equal flux to the receiver’s integral. Distance enters only as a scaling factor in the projection; apparent solid angle is the quantity that directly determines the interaction.</w:t>
      </w:r>
    </w:p>
    <w:p>
      <w:pPr>
        <w:pStyle w:val="Heading2"/>
        <w:spacing w:before="240" w:after="120"/>
        <w:outlineLvl w:val="1"/>
      </w:pPr>
      <w:r>
        <w:rPr>
          <w:rFonts w:ascii="Arial" w:cs="Arial" w:eastAsia="Arial" w:hAnsi="Arial"/>
          <w:b/>
          <w:bCs/>
          <w:color w:val="2E4A6E"/>
          <w:sz w:val="28"/>
          <w:szCs w:val="28"/>
        </w:rPr>
        <w:t xml:space="preserve">8.3  Molecular interactions as projected flux integrals</w:t>
      </w:r>
    </w:p>
    <w:p>
      <w:pPr>
        <w:spacing w:after="160"/>
      </w:pPr>
      <w:r>
        <w:rPr>
          <w:rFonts w:ascii="Arial" w:cs="Arial" w:eastAsia="Arial" w:hAnsi="Arial"/>
          <w:sz w:val="24"/>
          <w:szCs w:val="24"/>
        </w:rPr>
        <w:t xml:space="preserve">A molecule does not have direct access to the current state of its neighbours. Every field it receives is a retarded projection — the perspective image of neighbouring charges as they were when their field was emitted, mapped onto the molecule’s own interaction surface. The molecule integrates this projected flux over its cross-section, weighted by apparent solid angle. What it experiences as its chemical environment is entirely this 2D projection of a 3D retarded field structure.</w:t>
      </w:r>
    </w:p>
    <w:p>
      <w:pPr>
        <w:spacing w:after="160"/>
      </w:pPr>
      <w:r>
        <w:rPr>
          <w:rFonts w:ascii="Arial" w:cs="Arial" w:eastAsia="Arial" w:hAnsi="Arial"/>
          <w:sz w:val="24"/>
          <w:szCs w:val="24"/>
        </w:rPr>
        <w:t xml:space="preserve">Bond geometry — the angles and lengths that define molecular structure — is the equilibrium configuration at which the perspective-projected flux from all interacting charges produces a net zero force on every charge in the system. This equilibrium is not defined at a single simultaneous instant: every contributing field arrives with a retardation delay set by the distance it has travelled through connection space. Molecular geometry is the fixed point of a system of mutually retarded perspective projections, not a snapshot of simultaneous positions.</w:t>
      </w:r>
    </w:p>
    <w:p>
      <w:pPr>
        <w:spacing w:after="160"/>
      </w:pPr>
      <w:r>
        <w:rPr>
          <w:rFonts w:ascii="Arial" w:cs="Arial" w:eastAsia="Arial" w:hAnsi="Arial"/>
          <w:sz w:val="24"/>
          <w:szCs w:val="24"/>
        </w:rPr>
        <w:t xml:space="preserve">The conventional chemical picture treats molecular geometry as a static 3D structure existing at an instant. At the timescales of bond vibration (~10⁻¹³ s) and the length scales of covalent bonds (~10⁻¹⁰ m), the retardation delays (~10⁻¹⁹ s) are short enough that the instantaneous approximation is accurate for static geometry. The perspective projection picture becomes essential at shorter timescales — attosecond electron dynamics, long-range dispersion forces, and the formation of structure itself — where retardation within the system is not negligible and the projective geometry of the interaction must be tracked explicitly.</w:t>
      </w:r>
    </w:p>
    <w:p>
      <w:pPr>
        <w:pStyle w:val="Heading2"/>
        <w:spacing w:before="240" w:after="120"/>
        <w:outlineLvl w:val="1"/>
      </w:pPr>
      <w:r>
        <w:rPr>
          <w:rFonts w:ascii="Arial" w:cs="Arial" w:eastAsia="Arial" w:hAnsi="Arial"/>
          <w:b/>
          <w:bCs/>
          <w:color w:val="2E4A6E"/>
          <w:sz w:val="28"/>
          <w:szCs w:val="28"/>
        </w:rPr>
        <w:t xml:space="preserve">8.4  Connection to the Liénard–Wiechert result</w:t>
      </w:r>
    </w:p>
    <w:p>
      <w:pPr>
        <w:spacing w:after="160"/>
      </w:pPr>
      <w:r>
        <w:rPr>
          <w:rFonts w:ascii="Arial" w:cs="Arial" w:eastAsia="Arial" w:hAnsi="Arial"/>
          <w:sz w:val="24"/>
          <w:szCs w:val="24"/>
        </w:rPr>
        <w:t xml:space="preserve">The Liénard–Wiechert potentials, which give the exact field of a moving point charge, contain a factor (1 − β·n̂) in their denominators — where β = v/c and n̂ is the unit vector from the retarded position of the source to the observer. This factor is the perspective compression of the source’s apparent solid angle due to its motion: a source moving toward the observer appears to subtend a larger solid angle (field lines bunched forward), and one moving away appears smaller. The (1 − β·n̂) factor is exactly what the perspective transform predicts for a moving source.</w:t>
      </w:r>
    </w:p>
    <w:p>
      <w:pPr>
        <w:spacing w:after="160"/>
      </w:pPr>
      <w:r>
        <w:rPr>
          <w:rFonts w:ascii="Arial" w:cs="Arial" w:eastAsia="Arial" w:hAnsi="Arial"/>
          <w:sz w:val="24"/>
          <w:szCs w:val="24"/>
        </w:rPr>
        <w:t xml:space="preserve">For uniform motion, the perspective projection of the retarded position — where the source was when it emitted — conspires with the motion of the field lines to point exactly at the source’s current position. The projection corrects for the light travel time automatically. For an accelerating source, that correction is incomplete: the previously emitted field was organised around a trajectory the source is no longer following, and the residual mismatch propagates away as radiation. Radiation is what is left when the perspective projection fails to fully account for the source’s motion history.</w:t>
      </w:r>
    </w:p>
    <w:p>
      <w:pPr>
        <w:pStyle w:val="Heading2"/>
        <w:spacing w:before="240" w:after="120"/>
        <w:outlineLvl w:val="1"/>
      </w:pPr>
      <w:r>
        <w:rPr>
          <w:rFonts w:ascii="Arial" w:cs="Arial" w:eastAsia="Arial" w:hAnsi="Arial"/>
          <w:b/>
          <w:bCs/>
          <w:color w:val="2E4A6E"/>
          <w:sz w:val="28"/>
          <w:szCs w:val="28"/>
        </w:rPr>
        <w:t xml:space="preserve">8.5  The holographic reading</w:t>
      </w:r>
    </w:p>
    <w:p>
      <w:pPr>
        <w:spacing w:after="160"/>
      </w:pPr>
      <w:r>
        <w:rPr>
          <w:rFonts w:ascii="Arial" w:cs="Arial" w:eastAsia="Arial" w:hAnsi="Arial"/>
          <w:sz w:val="24"/>
          <w:szCs w:val="24"/>
        </w:rPr>
        <w:t xml:space="preserve">The holographic principle holds that the information content of a 3D volume is fully encoded on its 2D boundary surface. The perspective projection picture gives this a concrete geometric mechanism: every interaction a system conducts with its environment is mediated through a 2D projected flux integral over that system’s interaction surface. The 3D structure of the environment enters only through its contribution to apparent solid angle at that surface. The system never accesses the 3D volume directly — only its perspective projection.</w:t>
      </w:r>
    </w:p>
    <w:p>
      <w:pPr>
        <w:spacing w:after="160"/>
      </w:pPr>
      <w:r>
        <w:rPr>
          <w:rFonts w:ascii="Arial" w:cs="Arial" w:eastAsia="Arial" w:hAnsi="Arial"/>
          <w:sz w:val="24"/>
          <w:szCs w:val="24"/>
        </w:rPr>
        <w:t xml:space="preserve">The 3D spatial structure we assign to molecules, electron shells, and matter generally is a reconstruction inferred from those 2D projections — the same operation a graphics engine performs in reverse when it reconstructs a 3D scene from a 2D image. Whether there is a 3D structure that exists independently of the projections, or whether the projections are all there is, is the open question at the boundary of this framework and the holographic principle proper. What the present framework establishes is the geometric mechanism: field interactions are perspective projections, solid angle is the conserved projective quantity, and the 1/r field amplitude together with the 1/r² sampling geometry are two sides of the same projective act — one belonging to the medium, one to the receiver.</w:t>
      </w:r>
    </w:p>
    <w:p>
      <w:pPr>
        <w:spacing w:after="80"/>
      </w:pPr>
      <w:r>
        <w:t xml:space="preserve"/>
      </w:r>
    </w:p>
    <w:p>
      <w:pPr>
        <w:pBdr>
          <w:bottom w:val="single" w:color="AAAAAA" w:sz="4" w:space="1"/>
        </w:pBdr>
        <w:spacing w:before="120" w:after="120"/>
      </w:pPr>
    </w:p>
    <w:p>
      <w:pPr>
        <w:spacing w:after="80"/>
      </w:pPr>
      <w:r>
        <w:t xml:space="preserve"/>
      </w:r>
    </w:p>
    <w:p>
      <w:pPr>
        <w:spacing w:after="80"/>
      </w:pPr>
      <w:r>
        <w:rPr>
          <w:rFonts w:ascii="Arial" w:cs="Arial" w:eastAsia="Arial" w:hAnsi="Arial"/>
          <w:b/>
          <w:bCs/>
          <w:color w:val="1F3864"/>
          <w:sz w:val="26"/>
          <w:szCs w:val="26"/>
        </w:rPr>
        <w:t xml:space="preserve">References</w:t>
      </w:r>
    </w:p>
    <w:p>
      <w:pPr>
        <w:spacing w:after="160"/>
      </w:pPr>
      <w:r>
        <w:rPr>
          <w:rFonts w:ascii="Arial" w:cs="Arial" w:eastAsia="Arial" w:hAnsi="Arial"/>
          <w:sz w:val="24"/>
          <w:szCs w:val="24"/>
        </w:rPr>
        <w:t xml:space="preserve">[Propagation] A Light Propagation Equation in a Homogeneous-Speed Framework. (Companion document.)</w:t>
      </w:r>
    </w:p>
    <w:p>
      <w:pPr>
        <w:spacing w:after="160"/>
      </w:pPr>
      <w:r>
        <w:rPr>
          <w:rFonts w:ascii="Arial" w:cs="Arial" w:eastAsia="Arial" w:hAnsi="Arial"/>
          <w:sz w:val="24"/>
          <w:szCs w:val="24"/>
        </w:rPr>
        <w:t xml:space="preserve">[STFR] STFR Physics Framework Briefing Document. Decker (d3x0r on GitHub, repo: STFRPhysics).</w:t>
      </w:r>
    </w:p>
    <w:p>
      <w:pPr>
        <w:spacing w:after="160"/>
      </w:pPr>
      <w:r>
        <w:rPr>
          <w:rFonts w:ascii="Arial" w:cs="Arial" w:eastAsia="Arial" w:hAnsi="Arial"/>
          <w:sz w:val="24"/>
          <w:szCs w:val="24"/>
        </w:rPr>
        <w:t xml:space="preserve">[STFR-Math] STFR Connection Space Displacement: Mathematical Development. Working notes.</w:t>
      </w:r>
    </w:p>
    <w:p>
      <w:pPr>
        <w:spacing w:after="160"/>
      </w:pPr>
      <w:r>
        <w:rPr>
          <w:rFonts w:ascii="Arial" w:cs="Arial" w:eastAsia="Arial" w:hAnsi="Arial"/>
          <w:sz w:val="24"/>
          <w:szCs w:val="24"/>
        </w:rPr>
        <w:t xml:space="preserve">[Maxwell] Maxwell, J.C., A Treatise on Electricity and Magnetism, 1873.</w:t>
      </w:r>
    </w:p>
    <w:p>
      <w:pPr>
        <w:spacing w:after="160"/>
      </w:pPr>
      <w:r>
        <w:rPr>
          <w:rFonts w:ascii="Arial" w:cs="Arial" w:eastAsia="Arial" w:hAnsi="Arial"/>
          <w:sz w:val="24"/>
          <w:szCs w:val="24"/>
        </w:rPr>
        <w:t xml:space="preserve">[OpenStax] OpenStax, University Physics Volume 2, Chapters 13–16 (LC circuits, electromagnetic waves).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A6E"/>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2026-03-12T02:40:08.772Z</dcterms:created>
  <dcterms:modified xsi:type="dcterms:W3CDTF">2026-03-12T02:40:08.773Z</dcterms:modified>
</cp:coreProperties>
</file>

<file path=docProps/custom.xml><?xml version="1.0" encoding="utf-8"?>
<Properties xmlns="http://schemas.openxmlformats.org/officeDocument/2006/custom-properties" xmlns:vt="http://schemas.openxmlformats.org/officeDocument/2006/docPropsVTypes"/>
</file>