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Ražošanas pavadzīmes veidošana REST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pirmreizējā pavadzīmes izveidošana aizpildot ražojumu un izejvielu daudzumu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 ../rest/TNdmPvzRaz/template/37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&lt;entity&gt;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&lt;PK_DOKT&gt;37&lt;/PK_DOKT&gt;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&lt;PAMV_ID&gt;2718&lt;/PAMV_ID&gt;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&lt;PK_ESPATS&gt;20&lt;/PK_ESPATS&gt;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&lt;PK_KLIENTS&gt;1&lt;/PK_KLIENTS&gt;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&lt;DAT_DOK&gt;2020-12-15&lt;/DAT_DOK&gt;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&lt;DOK_NR&gt;R2513&lt;/DOK_NR&gt;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&lt;tblRindas&gt;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&lt;row&gt;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&lt;RN_VEIDS&gt;0&lt;/RN_VEIDS&gt;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&lt;PK_NOM&gt;83&lt;/PK_NOM&gt;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&lt;RAZ_VEIDS&gt;1&lt;/RAZ_VEIDS&gt;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&lt;DAUDZ&gt;2&lt;/DAUDZ&gt;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&lt;/row&gt;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&lt;/tblRindas&gt;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&lt;tblRindasR&gt;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&lt;row&gt;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&lt;RN_VEIDS&gt;0&lt;/RN_VEIDS&gt;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&lt;PK_NOM&gt;52&lt;/PK_NOM&gt;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&lt;RAZ_VEIDS&gt;0&lt;/RAZ_VEIDS&gt;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&lt;DAUDZ&gt;1&lt;/DAUDZ&gt;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&lt;/row&gt;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&lt;/tblRindasR&gt;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&lt;/entity&gt;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Brīvo atlikumu pa partijām aplūkošana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../rest/TNdmNolPartSarDlg/query?filter=N_PK_NOM eq 83&amp;columns= N_KODS,N_PK_NOM,N_NOSAUK,NP_PK_NOMPART,ATL_DAUDZ,FF_DAUDZ,NP_DAT_PART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Izejvielu partiju aizpilde pavadzīmē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POST ../rest/TNdmPvzRaz/2543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&lt;entity&gt;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&lt;COUNTER&gt;1&lt;/COUNTER&gt;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&lt;PK_DOK&gt;2543&lt;/PK_DOK&gt;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&lt;tblRindas&gt;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&lt;row&gt;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&lt;RN&gt;1&lt;/RN&gt;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&lt;PK_NOM&gt;83&lt;/PK_NOM&gt;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&lt;DAUDZ&gt;2&lt;/DAUDZ&gt;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&lt;/row&gt;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&lt;/tblRindas&gt;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&lt;qrySubRindas&gt;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&lt;row&gt;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&lt;RN&gt;1&lt;/RN&gt;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&lt;PK_NOMPART&gt;205&lt;/PK_NOMPART&gt;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&lt;DAUDZ&gt;2&lt;/DAUDZ&gt;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&lt;/row&gt;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&lt;/qrySubRindas&gt;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&lt;/entity&gt;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Pavadzīmes kopējā izejvielu summas apskate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GET ../rest/TNdmPvzSar/query?filter= D_PK_DOK eq 2543&amp;columns=D_DOK_NR,D_DAT_DOK,KOP_SUMMA_IZIEP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5. Pavadzīmes ražojuma summas aizpilde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POST ../rest/TNdmPvzRaz/2543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&lt;entity&gt;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&lt;COUNTER&gt;3&lt;/COUNTER&gt;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&lt;PK_DOK&gt;2543&lt;/PK_DOK&gt;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&lt;tblRindasR&gt;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&lt;row&gt;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&lt;RN_VEIDS&gt;0&lt;/RN_VEIDS&gt;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&lt;PK_NOM&gt;52&lt;/PK_NOM&gt;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&lt;RAZ_VEIDS&gt;0&lt;/RAZ_VEIDS&gt;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&lt;DAUDZ&gt;1&lt;/DAUDZ&gt;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&lt;SUMMA&gt;46&lt;/SUMMA&gt;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&lt;/row&gt;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&lt;/tblRindasR&gt;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&lt;/entity&gt;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