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МИНИСТЕРСТВО ОБРАЗОВАНИЯ И НАУКИ РОССИЙСКОЙ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ФЕДЕРАЦИИ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высшего образования.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«Национальный исследовательский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Нижегородский государственный университет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им. Н.И. Лобачевского (ННГУ).»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Институт информационных технологий, математики и механики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  <w:r>
        <w:rPr>
          <w:rFonts w:ascii="Cambria" w:eastAsia="Cambria" w:hAnsi="Cambria" w:cs="Cambria"/>
          <w:color w:val="000000" w:themeColor="text1"/>
          <w:sz w:val="29"/>
          <w:szCs w:val="29"/>
        </w:rPr>
        <w:t>ОТЧЕТ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по </w:t>
      </w:r>
      <w:r w:rsidRPr="003019EF">
        <w:rPr>
          <w:rFonts w:ascii="Cambria" w:eastAsia="Cambria" w:hAnsi="Cambria" w:cs="Cambria"/>
          <w:color w:val="000000" w:themeColor="text1"/>
          <w:sz w:val="24"/>
          <w:szCs w:val="24"/>
        </w:rPr>
        <w:t>лабораторной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работе </w:t>
      </w:r>
      <w:r>
        <w:rPr>
          <w:rFonts w:ascii="Segoe UI Symbol" w:eastAsia="Segoe UI Symbol" w:hAnsi="Segoe UI Symbol" w:cs="Segoe UI Symbol"/>
          <w:color w:val="000000" w:themeColor="text1"/>
          <w:sz w:val="24"/>
          <w:szCs w:val="24"/>
        </w:rPr>
        <w:t>№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2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9"/>
          <w:szCs w:val="29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right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Выполнил:</w:t>
      </w:r>
    </w:p>
    <w:p w:rsidR="003019EF" w:rsidRDefault="003019EF" w:rsidP="003019EF">
      <w:pPr>
        <w:spacing w:after="0" w:line="240" w:lineRule="auto"/>
        <w:jc w:val="right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Колганов Д. В</w:t>
      </w:r>
    </w:p>
    <w:p w:rsidR="003019EF" w:rsidRDefault="003019EF" w:rsidP="003019EF">
      <w:pPr>
        <w:spacing w:after="0" w:line="240" w:lineRule="auto"/>
        <w:jc w:val="right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3821Б1ПМ3</w:t>
      </w: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spacing w:after="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 Нижний Новгород</w:t>
      </w:r>
    </w:p>
    <w:p w:rsidR="003019EF" w:rsidRDefault="003019EF" w:rsidP="003019EF">
      <w:pPr>
        <w:spacing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2023</w:t>
      </w:r>
    </w:p>
    <w:p w:rsidR="003019EF" w:rsidRDefault="003019EF" w:rsidP="003019EF">
      <w:pPr>
        <w:spacing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3019EF" w:rsidRDefault="003019EF" w:rsidP="003019EF">
      <w:pPr>
        <w:rPr>
          <w:rFonts w:ascii="Source Sans Pro" w:eastAsia="Source Sans Pro" w:hAnsi="Source Sans Pro" w:cs="Source Sans Pro"/>
          <w:i/>
          <w:iCs/>
          <w:color w:val="212529"/>
          <w:sz w:val="21"/>
          <w:szCs w:val="21"/>
        </w:rPr>
      </w:pPr>
    </w:p>
    <w:p w:rsidR="003019EF" w:rsidRPr="003019EF" w:rsidRDefault="003019EF" w:rsidP="003019EF">
      <w:pPr>
        <w:ind w:firstLine="708"/>
        <w:rPr>
          <w:rFonts w:ascii="Source Sans Pro" w:eastAsia="Source Sans Pro" w:hAnsi="Source Sans Pro" w:cs="Source Sans Pro"/>
          <w:i/>
          <w:iCs/>
          <w:color w:val="212529"/>
          <w:sz w:val="21"/>
          <w:szCs w:val="21"/>
        </w:rPr>
      </w:pPr>
      <w:r w:rsidRPr="003019EF">
        <w:rPr>
          <w:rFonts w:ascii="Source Sans Pro" w:eastAsia="Source Sans Pro" w:hAnsi="Source Sans Pro" w:cs="Source Sans Pro"/>
          <w:color w:val="212529"/>
          <w:sz w:val="21"/>
          <w:szCs w:val="21"/>
        </w:rPr>
        <w:lastRenderedPageBreak/>
        <w:t>Цель работы: приобретение навыков создания структуры реляционной базы данных и первоначальный ввод данных в базу данных.</w:t>
      </w:r>
    </w:p>
    <w:p w:rsidR="003019EF" w:rsidRDefault="003019EF" w:rsidP="003019EF">
      <w:r>
        <w:rPr>
          <w:rFonts w:ascii="Source Sans Pro" w:eastAsia="Source Sans Pro" w:hAnsi="Source Sans Pro" w:cs="Source Sans Pro"/>
          <w:i/>
          <w:iCs/>
          <w:color w:val="212529"/>
          <w:sz w:val="21"/>
          <w:szCs w:val="21"/>
        </w:rPr>
        <w:t xml:space="preserve"> </w:t>
      </w:r>
    </w:p>
    <w:p w:rsidR="003019EF" w:rsidRDefault="003019EF" w:rsidP="003019EF">
      <w:pPr>
        <w:ind w:firstLine="360"/>
      </w:pPr>
      <w:r w:rsidRPr="003019EF">
        <w:rPr>
          <w:rFonts w:ascii="Source Sans Pro" w:eastAsia="Source Sans Pro" w:hAnsi="Source Sans Pro" w:cs="Source Sans Pro"/>
          <w:color w:val="212529"/>
          <w:sz w:val="21"/>
          <w:szCs w:val="21"/>
        </w:rPr>
        <w:t>Содержание работы</w:t>
      </w: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:</w:t>
      </w:r>
    </w:p>
    <w:p w:rsidR="003019EF" w:rsidRDefault="003019EF" w:rsidP="003019EF">
      <w:pPr>
        <w:pStyle w:val="a3"/>
        <w:numPr>
          <w:ilvl w:val="0"/>
          <w:numId w:val="1"/>
        </w:numPr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Создание структуры реляционной базы данных для построенной в лабораторной работе 1 концептуальной модели предметной области.</w:t>
      </w:r>
    </w:p>
    <w:p w:rsidR="003019EF" w:rsidRDefault="003019EF" w:rsidP="003019EF">
      <w:pPr>
        <w:pStyle w:val="a3"/>
        <w:numPr>
          <w:ilvl w:val="0"/>
          <w:numId w:val="1"/>
        </w:numPr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Ввод данных в таблицы (данные представляются самим слушателем).</w:t>
      </w:r>
    </w:p>
    <w:p w:rsidR="003019EF" w:rsidRPr="003019EF" w:rsidRDefault="003019EF" w:rsidP="003019EF">
      <w:pPr>
        <w:ind w:firstLine="360"/>
      </w:pPr>
      <w:r w:rsidRPr="003019EF">
        <w:rPr>
          <w:rFonts w:ascii="Source Sans Pro" w:eastAsia="Source Sans Pro" w:hAnsi="Source Sans Pro" w:cs="Source Sans Pro"/>
          <w:color w:val="212529"/>
          <w:sz w:val="21"/>
          <w:szCs w:val="21"/>
        </w:rPr>
        <w:t>Задания:</w:t>
      </w:r>
    </w:p>
    <w:p w:rsidR="003019EF" w:rsidRDefault="003019EF" w:rsidP="003019EF"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1. При помощи среды MS Access создать структуры таблиц для представления предметной области в рамках реляционной модели с указанием типов данных и их характеристик.</w:t>
      </w:r>
      <w:r>
        <w:t xml:space="preserve"> </w:t>
      </w:r>
    </w:p>
    <w:p w:rsidR="003019EF" w:rsidRDefault="003019EF" w:rsidP="003019EF">
      <w:r>
        <w:t xml:space="preserve">Таблица </w:t>
      </w:r>
      <w:r>
        <w:t>Работа</w:t>
      </w:r>
      <w:r>
        <w:t>.</w:t>
      </w:r>
    </w:p>
    <w:p w:rsidR="003019EF" w:rsidRDefault="003019EF" w:rsidP="003019EF">
      <w:r>
        <w:rPr>
          <w:noProof/>
        </w:rPr>
        <w:drawing>
          <wp:inline distT="0" distB="0" distL="0" distR="0">
            <wp:extent cx="5934075" cy="1247775"/>
            <wp:effectExtent l="0" t="0" r="9525" b="9525"/>
            <wp:docPr id="205420548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D16520">
            <w:pPr>
              <w:spacing w:line="240" w:lineRule="auto"/>
            </w:pPr>
            <w:r>
              <w:t>Код работы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D16520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D16520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D16520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16520" w:rsidRDefault="003019EF">
            <w:pPr>
              <w:spacing w:line="240" w:lineRule="auto"/>
            </w:pPr>
            <w:r>
              <w:t>Да (Совпадение</w:t>
            </w:r>
            <w:r w:rsidR="00D16520">
              <w:t xml:space="preserve"> не</w:t>
            </w:r>
            <w:r>
              <w:t xml:space="preserve"> допускаются)</w:t>
            </w:r>
          </w:p>
        </w:tc>
      </w:tr>
      <w:tr w:rsidR="00D16520" w:rsidTr="00D16520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16520" w:rsidRDefault="00D16520">
            <w:pPr>
              <w:spacing w:line="240" w:lineRule="auto"/>
            </w:pPr>
            <w: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16520" w:rsidRDefault="00D16520">
            <w:pPr>
              <w:spacing w:line="240" w:lineRule="auto"/>
            </w:pPr>
            <w:r>
              <w:t>Данное поле является ключом таблицы</w:t>
            </w:r>
          </w:p>
        </w:tc>
      </w:tr>
      <w:tr w:rsidR="00D16520" w:rsidTr="00D16520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6520" w:rsidRDefault="00D16520">
            <w:pPr>
              <w:spacing w:line="240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6520" w:rsidRDefault="00D16520">
            <w:pPr>
              <w:spacing w:line="240" w:lineRule="auto"/>
            </w:pPr>
          </w:p>
        </w:tc>
      </w:tr>
      <w:tr w:rsidR="003019EF" w:rsidTr="00D16520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Код </w:t>
            </w:r>
            <w:r w:rsidR="00D16520">
              <w:t>сотрудника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источника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Таблица или запрос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Источник строк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SELECT [С</w:t>
            </w:r>
            <w:r w:rsidR="00D16520">
              <w:t>отрудник</w:t>
            </w:r>
            <w:proofErr w:type="gramStart"/>
            <w:r>
              <w:t>].[</w:t>
            </w:r>
            <w:proofErr w:type="gramEnd"/>
            <w:r>
              <w:t>Код</w:t>
            </w:r>
            <w:r w:rsidR="00D16520">
              <w:t xml:space="preserve"> сотрудника</w:t>
            </w:r>
            <w:r>
              <w:t>], [</w:t>
            </w:r>
            <w:r w:rsidR="00D16520">
              <w:t>Сотрудники</w:t>
            </w:r>
            <w:r>
              <w:t>].[Код</w:t>
            </w:r>
            <w:r w:rsidR="00D16520">
              <w:t xml:space="preserve"> работы</w:t>
            </w:r>
            <w:r>
              <w:t>] FROM С</w:t>
            </w:r>
            <w:r w:rsidR="00D16520">
              <w:t>отрудники</w:t>
            </w:r>
            <w:r>
              <w:t xml:space="preserve"> ORDER BY [Код</w:t>
            </w:r>
            <w:r w:rsidR="00D16520">
              <w:t xml:space="preserve"> сотрудника</w:t>
            </w:r>
            <w:r>
              <w:t>];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</w:tbl>
    <w:p w:rsidR="003019EF" w:rsidRDefault="003019EF" w:rsidP="003019EF"/>
    <w:p w:rsidR="003019EF" w:rsidRDefault="00D16520" w:rsidP="003019EF">
      <w:r>
        <w:rPr>
          <w:noProof/>
        </w:rPr>
        <w:lastRenderedPageBreak/>
        <w:drawing>
          <wp:inline distT="0" distB="0" distL="0" distR="0">
            <wp:extent cx="5172075" cy="7248525"/>
            <wp:effectExtent l="0" t="0" r="9525" b="9525"/>
            <wp:docPr id="11885154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Default="003019EF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D16520">
            <w:pPr>
              <w:spacing w:line="240" w:lineRule="auto"/>
            </w:pPr>
            <w:r>
              <w:t>Код вида работы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D16520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D16520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Да (Совпадение </w:t>
            </w:r>
            <w:r w:rsidR="008410D7">
              <w:t xml:space="preserve">не </w:t>
            </w:r>
            <w:r>
              <w:t>допускаются)</w:t>
            </w:r>
          </w:p>
        </w:tc>
      </w:tr>
    </w:tbl>
    <w:p w:rsidR="003019EF" w:rsidRDefault="003019EF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lastRenderedPageBreak/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Код заказчика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</w:t>
            </w:r>
            <w:r w:rsidR="008410D7">
              <w:t xml:space="preserve"> не</w:t>
            </w:r>
            <w:r>
              <w:t xml:space="preserve"> допускаются)</w:t>
            </w:r>
          </w:p>
        </w:tc>
      </w:tr>
    </w:tbl>
    <w:p w:rsidR="003019EF" w:rsidRDefault="003019EF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Дата начала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Маска ввода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00/00/0000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Краткий формат даты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Дата и время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допускаются)</w:t>
            </w:r>
          </w:p>
        </w:tc>
      </w:tr>
    </w:tbl>
    <w:p w:rsidR="003019EF" w:rsidRDefault="003019EF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 xml:space="preserve">Дата </w:t>
            </w:r>
            <w:r>
              <w:t>окончания</w:t>
            </w:r>
          </w:p>
        </w:tc>
      </w:tr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Маска ввода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00/00/0000</w:t>
            </w:r>
          </w:p>
        </w:tc>
      </w:tr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Краткий формат даты</w:t>
            </w:r>
          </w:p>
        </w:tc>
      </w:tr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Дата и время</w:t>
            </w:r>
          </w:p>
        </w:tc>
      </w:tr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Да</w:t>
            </w:r>
          </w:p>
        </w:tc>
      </w:tr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Нет</w:t>
            </w:r>
          </w:p>
        </w:tc>
      </w:tr>
      <w:tr w:rsidR="008410D7" w:rsidTr="00BB0CC8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10D7" w:rsidRDefault="008410D7" w:rsidP="00BB0CC8">
            <w:pPr>
              <w:spacing w:line="240" w:lineRule="auto"/>
            </w:pPr>
            <w:r>
              <w:t>Да (Совпадение допускаются)</w:t>
            </w:r>
          </w:p>
        </w:tc>
      </w:tr>
    </w:tbl>
    <w:p w:rsidR="008410D7" w:rsidRDefault="008410D7" w:rsidP="003019EF"/>
    <w:p w:rsidR="003019EF" w:rsidRDefault="003019EF" w:rsidP="003019EF"/>
    <w:p w:rsidR="003019EF" w:rsidRDefault="003019EF" w:rsidP="003019EF">
      <w:r>
        <w:t xml:space="preserve">Таблица </w:t>
      </w:r>
      <w:r w:rsidR="008410D7">
        <w:t>Заказчик</w:t>
      </w:r>
      <w:r>
        <w:t>.</w:t>
      </w:r>
    </w:p>
    <w:p w:rsidR="008410D7" w:rsidRDefault="008410D7" w:rsidP="003019EF">
      <w:r>
        <w:rPr>
          <w:noProof/>
        </w:rPr>
        <w:drawing>
          <wp:inline distT="0" distB="0" distL="0" distR="0">
            <wp:extent cx="3695700" cy="1543050"/>
            <wp:effectExtent l="0" t="0" r="0" b="0"/>
            <wp:docPr id="130857339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Default="003019EF" w:rsidP="003019EF"/>
    <w:tbl>
      <w:tblPr>
        <w:tblStyle w:val="a4"/>
        <w:tblW w:w="0" w:type="auto"/>
        <w:tblInd w:w="0" w:type="dxa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Код </w:t>
            </w:r>
            <w:r w:rsidR="008410D7">
              <w:t>заказчика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источника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Таблица или запрос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Источник строк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SELECT [</w:t>
            </w:r>
            <w:r w:rsidR="008410D7">
              <w:t>Работа-заказчик</w:t>
            </w:r>
            <w:proofErr w:type="gramStart"/>
            <w:r>
              <w:t>].[</w:t>
            </w:r>
            <w:proofErr w:type="gramEnd"/>
            <w:r>
              <w:t>Код</w:t>
            </w:r>
            <w:r w:rsidR="008410D7">
              <w:t xml:space="preserve"> работы</w:t>
            </w:r>
            <w:r>
              <w:t>], [</w:t>
            </w:r>
            <w:r w:rsidR="008410D7">
              <w:t>Работа-заказчик</w:t>
            </w:r>
            <w:r>
              <w:t>].[Код</w:t>
            </w:r>
            <w:r w:rsidR="008410D7">
              <w:t xml:space="preserve"> заказчика</w:t>
            </w:r>
            <w:r>
              <w:t xml:space="preserve">] FROM </w:t>
            </w:r>
            <w:r w:rsidR="008410D7">
              <w:t>Работа-заказчик</w:t>
            </w:r>
            <w:r w:rsidR="008410D7">
              <w:t xml:space="preserve"> </w:t>
            </w:r>
            <w:r>
              <w:t>ORDER BY [Код</w:t>
            </w:r>
            <w:r w:rsidR="008410D7">
              <w:t xml:space="preserve"> заказчика</w:t>
            </w:r>
            <w:r>
              <w:t>];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</w:tbl>
    <w:p w:rsidR="003019EF" w:rsidRDefault="008410D7" w:rsidP="003019EF">
      <w:r>
        <w:rPr>
          <w:noProof/>
        </w:rPr>
        <w:lastRenderedPageBreak/>
        <w:drawing>
          <wp:inline distT="0" distB="0" distL="0" distR="0">
            <wp:extent cx="5934075" cy="6934200"/>
            <wp:effectExtent l="0" t="0" r="9525" b="0"/>
            <wp:docPr id="17409025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Default="003019EF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ФИО Заказчика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40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 xml:space="preserve">Длинный </w:t>
            </w:r>
            <w:r w:rsidR="003019EF">
              <w:t>текст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8410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8410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допускаются)</w:t>
            </w:r>
          </w:p>
        </w:tc>
      </w:tr>
      <w:tr w:rsidR="008410D7" w:rsidTr="008410D7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10D7" w:rsidRDefault="008410D7">
            <w:pPr>
              <w:spacing w:line="240" w:lineRule="auto"/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10D7" w:rsidRDefault="008410D7">
            <w:pPr>
              <w:spacing w:line="240" w:lineRule="auto"/>
            </w:pPr>
          </w:p>
        </w:tc>
      </w:tr>
      <w:tr w:rsidR="003019EF" w:rsidTr="008410D7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Рейтинг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lastRenderedPageBreak/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8410D7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допускаются)</w:t>
            </w:r>
          </w:p>
        </w:tc>
      </w:tr>
    </w:tbl>
    <w:p w:rsidR="003019EF" w:rsidRDefault="003019EF" w:rsidP="003019EF"/>
    <w:p w:rsidR="003019EF" w:rsidRDefault="003019EF" w:rsidP="003019EF">
      <w:r>
        <w:t xml:space="preserve">Таблица </w:t>
      </w:r>
      <w:r w:rsidR="008410D7">
        <w:t>Вид работы</w:t>
      </w:r>
    </w:p>
    <w:p w:rsidR="003019EF" w:rsidRDefault="008410D7" w:rsidP="003019EF">
      <w:pPr>
        <w:rPr>
          <w:noProof/>
        </w:rPr>
      </w:pPr>
      <w:r>
        <w:rPr>
          <w:noProof/>
        </w:rPr>
        <w:drawing>
          <wp:inline distT="0" distB="0" distL="0" distR="0">
            <wp:extent cx="3867150" cy="1543050"/>
            <wp:effectExtent l="0" t="0" r="0" b="0"/>
            <wp:docPr id="194220720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D7" w:rsidRDefault="008410D7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Код </w:t>
            </w:r>
            <w:r w:rsidR="008410D7">
              <w:t>вида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источника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Таблица или запрос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Источник строк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SELECT [</w:t>
            </w:r>
            <w:r w:rsidR="007F028D">
              <w:t>Вид-работа</w:t>
            </w:r>
            <w:proofErr w:type="gramStart"/>
            <w:r>
              <w:t>].[</w:t>
            </w:r>
            <w:proofErr w:type="gramEnd"/>
            <w:r w:rsidR="007F028D">
              <w:t>Код работы</w:t>
            </w:r>
            <w:r>
              <w:t>], [</w:t>
            </w:r>
            <w:r w:rsidR="007F028D">
              <w:t>Вид-работа</w:t>
            </w:r>
            <w:r>
              <w:t>].[</w:t>
            </w:r>
            <w:r w:rsidR="007F028D">
              <w:t>Код вида</w:t>
            </w:r>
            <w:r>
              <w:t xml:space="preserve">] FROM </w:t>
            </w:r>
            <w:r w:rsidR="007F028D">
              <w:t>Вид-работа</w:t>
            </w:r>
            <w:r w:rsidR="007F028D">
              <w:t xml:space="preserve"> </w:t>
            </w:r>
            <w:r>
              <w:t>ORDER BY [</w:t>
            </w:r>
            <w:r w:rsidR="007F028D">
              <w:t>Код вида</w:t>
            </w:r>
            <w:r>
              <w:t>];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</w:tbl>
    <w:p w:rsidR="003019EF" w:rsidRDefault="003019EF" w:rsidP="003019EF"/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7F028D">
            <w:pPr>
              <w:spacing w:line="240" w:lineRule="auto"/>
            </w:pPr>
            <w:r>
              <w:t>Описание вида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40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Короткий текст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допускаются)</w:t>
            </w:r>
          </w:p>
        </w:tc>
      </w:tr>
    </w:tbl>
    <w:p w:rsidR="003019EF" w:rsidRDefault="003019EF" w:rsidP="003019EF"/>
    <w:tbl>
      <w:tblPr>
        <w:tblStyle w:val="a4"/>
        <w:tblW w:w="0" w:type="auto"/>
        <w:tblInd w:w="0" w:type="dxa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7F028D">
            <w:pPr>
              <w:spacing w:line="240" w:lineRule="auto"/>
            </w:pPr>
            <w:r>
              <w:t>Оплата за час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Маска ввода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7F028D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7F028D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Обязательное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Пустые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Нет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допускаются)</w:t>
            </w:r>
          </w:p>
        </w:tc>
      </w:tr>
    </w:tbl>
    <w:p w:rsidR="003019EF" w:rsidRDefault="003019EF" w:rsidP="003019EF"/>
    <w:p w:rsidR="003019EF" w:rsidRDefault="003019EF" w:rsidP="003019EF"/>
    <w:p w:rsidR="003019EF" w:rsidRDefault="003019EF" w:rsidP="003019EF"/>
    <w:p w:rsidR="003019EF" w:rsidRDefault="003019EF" w:rsidP="003019EF">
      <w:pPr>
        <w:rPr>
          <w:rFonts w:ascii="Source Sans Pro" w:eastAsia="Source Sans Pro" w:hAnsi="Source Sans Pro" w:cs="Source Sans Pro"/>
          <w:color w:val="212529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lastRenderedPageBreak/>
        <w:t xml:space="preserve">Таблица </w:t>
      </w:r>
      <w:r w:rsidR="007F028D">
        <w:rPr>
          <w:rFonts w:ascii="Source Sans Pro" w:eastAsia="Source Sans Pro" w:hAnsi="Source Sans Pro" w:cs="Source Sans Pro"/>
          <w:color w:val="212529"/>
          <w:sz w:val="21"/>
          <w:szCs w:val="21"/>
        </w:rPr>
        <w:t>Заказчик-работа</w:t>
      </w:r>
    </w:p>
    <w:p w:rsidR="003019EF" w:rsidRDefault="007F028D" w:rsidP="003019EF">
      <w:r>
        <w:rPr>
          <w:noProof/>
        </w:rPr>
        <w:drawing>
          <wp:inline distT="0" distB="0" distL="0" distR="0">
            <wp:extent cx="2609850" cy="1571625"/>
            <wp:effectExtent l="0" t="0" r="0" b="9525"/>
            <wp:docPr id="9837836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Код р</w:t>
            </w:r>
            <w:r w:rsidR="007F028D">
              <w:t>аботы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Счётчик</w:t>
            </w:r>
          </w:p>
        </w:tc>
      </w:tr>
      <w:tr w:rsidR="003019EF" w:rsidTr="007F028D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7F028D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  <w:tr w:rsidR="007F028D" w:rsidTr="007F028D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028D" w:rsidRDefault="007F028D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028D" w:rsidRDefault="007F028D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3019EF" w:rsidTr="007F028D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Код </w:t>
            </w:r>
            <w:r w:rsidR="007F028D">
              <w:t>заказчика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источника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Таблица или запрос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Источник строк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SELECT [</w:t>
            </w:r>
            <w:r w:rsidR="007F028D">
              <w:t>Работа</w:t>
            </w:r>
            <w:proofErr w:type="gramStart"/>
            <w:r>
              <w:t>].[</w:t>
            </w:r>
            <w:proofErr w:type="gramEnd"/>
            <w:r>
              <w:t>Код</w:t>
            </w:r>
            <w:r w:rsidR="007F028D">
              <w:t xml:space="preserve"> работы</w:t>
            </w:r>
            <w:r>
              <w:t xml:space="preserve">] FROM </w:t>
            </w:r>
            <w:r w:rsidR="007F028D">
              <w:t xml:space="preserve">Работа </w:t>
            </w:r>
            <w:r>
              <w:t>ORDER BY [Ко</w:t>
            </w:r>
            <w:r w:rsidR="007F028D">
              <w:t>д работы</w:t>
            </w:r>
            <w:r>
              <w:t>];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</w:tbl>
    <w:p w:rsidR="003019EF" w:rsidRDefault="003019EF" w:rsidP="003019EF">
      <w:r>
        <w:t xml:space="preserve">Таблица </w:t>
      </w:r>
      <w:r w:rsidR="007F028D">
        <w:t>Вид-работа</w:t>
      </w:r>
    </w:p>
    <w:p w:rsidR="007F028D" w:rsidRDefault="007F028D" w:rsidP="003019EF">
      <w:r>
        <w:rPr>
          <w:noProof/>
        </w:rPr>
        <w:drawing>
          <wp:inline distT="0" distB="0" distL="0" distR="0">
            <wp:extent cx="2057400" cy="1571625"/>
            <wp:effectExtent l="0" t="0" r="0" b="9525"/>
            <wp:docPr id="53504663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Default="003019EF" w:rsidP="003019EF"/>
    <w:tbl>
      <w:tblPr>
        <w:tblStyle w:val="a4"/>
        <w:tblW w:w="0" w:type="auto"/>
        <w:tblInd w:w="0" w:type="dxa"/>
        <w:tblLook w:val="06A0" w:firstRow="1" w:lastRow="0" w:firstColumn="1" w:lastColumn="0" w:noHBand="1" w:noVBand="1"/>
      </w:tblPr>
      <w:tblGrid>
        <w:gridCol w:w="4508"/>
        <w:gridCol w:w="4508"/>
      </w:tblGrid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after="0" w:line="240" w:lineRule="auto"/>
            </w:pPr>
            <w:r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Код </w:t>
            </w:r>
            <w:r w:rsidR="007F028D">
              <w:t>работы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Числовой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источника строки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Таблица или запрос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Источник строк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SELECT [</w:t>
            </w:r>
            <w:r w:rsidR="00E4677E">
              <w:t>Работа</w:t>
            </w:r>
            <w:proofErr w:type="gramStart"/>
            <w:r>
              <w:t>].[</w:t>
            </w:r>
            <w:proofErr w:type="gramEnd"/>
            <w:r>
              <w:t>Код</w:t>
            </w:r>
            <w:r w:rsidR="00E4677E">
              <w:t xml:space="preserve"> работы</w:t>
            </w:r>
            <w:r>
              <w:t xml:space="preserve">] FROM </w:t>
            </w:r>
            <w:r w:rsidR="00E4677E">
              <w:t>Работа</w:t>
            </w:r>
            <w:r>
              <w:t xml:space="preserve"> ORDER BY [Код</w:t>
            </w:r>
            <w:r w:rsidR="00E4677E">
              <w:t xml:space="preserve"> работы</w:t>
            </w:r>
            <w:r>
              <w:t>];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lastRenderedPageBreak/>
              <w:t>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 xml:space="preserve">Код </w:t>
            </w:r>
            <w:r w:rsidR="00E4677E">
              <w:t>вида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Размер поля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Длинное целое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Новые значения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Последовательные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Тип данных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Счётчик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Индексированное поле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t>Да (Совпадение не допускаются)</w:t>
            </w:r>
          </w:p>
        </w:tc>
      </w:tr>
      <w:tr w:rsidR="003019EF" w:rsidTr="003019EF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19EF" w:rsidRDefault="003019EF">
            <w:pPr>
              <w:spacing w:line="240" w:lineRule="auto"/>
            </w:pPr>
            <w:r>
              <w:rPr>
                <w:rFonts w:ascii="Arial" w:eastAsia="Arial" w:hAnsi="Arial" w:cs="Arial"/>
              </w:rPr>
              <w:t>Данное поле является ключом таблицы</w:t>
            </w:r>
          </w:p>
        </w:tc>
      </w:tr>
    </w:tbl>
    <w:p w:rsidR="003019EF" w:rsidRDefault="003019EF" w:rsidP="003019EF"/>
    <w:p w:rsidR="003019EF" w:rsidRDefault="003019EF" w:rsidP="003019EF">
      <w:pPr>
        <w:rPr>
          <w:rFonts w:ascii="Calibri" w:eastAsia="Calibri" w:hAnsi="Calibri" w:cs="Calibri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 xml:space="preserve">2. Определить схему базы данных, связи между таблицами и наложить условия целостности на таблицы, связанные отношением «один-к-многим». Показать на примерах, </w:t>
      </w:r>
      <w:proofErr w:type="spellStart"/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чт</w:t>
      </w:r>
      <w:r>
        <w:rPr>
          <w:rFonts w:ascii="Calibri" w:eastAsia="Source Sans Pro" w:hAnsi="Calibri" w:cs="Calibri"/>
          <w:color w:val="212529"/>
          <w:sz w:val="21"/>
          <w:szCs w:val="21"/>
        </w:rPr>
        <w:t>ó</w:t>
      </w:r>
      <w:proofErr w:type="spellEnd"/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 xml:space="preserve"> меняется при включении/выключении каждого из флажков «Обеспечение целостности данных», «Каскадное обновление связанных записей» и «Каскадное удаление связанных записей».</w:t>
      </w:r>
    </w:p>
    <w:p w:rsidR="003019EF" w:rsidRDefault="003019EF" w:rsidP="003019EF">
      <w:pPr>
        <w:rPr>
          <w:rFonts w:ascii="Source Sans Pro" w:eastAsia="Source Sans Pro" w:hAnsi="Source Sans Pro" w:cs="Source Sans Pro"/>
          <w:sz w:val="21"/>
          <w:szCs w:val="21"/>
        </w:rPr>
      </w:pPr>
      <w:r>
        <w:rPr>
          <w:rFonts w:ascii="Source Sans Pro" w:eastAsia="Source Sans Pro" w:hAnsi="Source Sans Pro" w:cs="Source Sans Pro"/>
          <w:color w:val="212529"/>
          <w:sz w:val="21"/>
          <w:szCs w:val="21"/>
        </w:rPr>
        <w:t>Схема базы данных формируется слушателем с помощью средств MS Access.</w:t>
      </w:r>
    </w:p>
    <w:p w:rsidR="003019EF" w:rsidRDefault="00E4677E" w:rsidP="003019EF">
      <w:r>
        <w:rPr>
          <w:noProof/>
        </w:rPr>
        <w:drawing>
          <wp:inline distT="0" distB="0" distL="0" distR="0">
            <wp:extent cx="5924550" cy="3276600"/>
            <wp:effectExtent l="0" t="0" r="0" b="0"/>
            <wp:docPr id="192915779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9EF">
        <w:br/>
      </w:r>
    </w:p>
    <w:p w:rsidR="003019EF" w:rsidRDefault="003019EF" w:rsidP="003019EF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Обеспечение целостности данных означает выполнение для взаимосвязанных таблиц следующих условий корректировки БД:</w:t>
      </w:r>
    </w:p>
    <w:p w:rsidR="003019EF" w:rsidRDefault="003019EF" w:rsidP="003019EF">
      <w:pPr>
        <w:pStyle w:val="a3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в подчиненную таблицу не может быть добавлена запись с не существующим в главной таблице значением ключевого поля;</w:t>
      </w:r>
    </w:p>
    <w:p w:rsidR="003019EF" w:rsidRDefault="003019EF" w:rsidP="003019EF">
      <w:pPr>
        <w:pStyle w:val="a3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в главной таблице нельзя удалить запись, если не удалены связанные с ней записи в подчиненной таблице;</w:t>
      </w:r>
    </w:p>
    <w:p w:rsidR="003019EF" w:rsidRDefault="003019EF" w:rsidP="003019EF">
      <w:pPr>
        <w:pStyle w:val="a3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изменение значений ключа связи главной таблицы должны приводить к изменению соответствующих значений в записях подчиненной таблицы.</w:t>
      </w:r>
    </w:p>
    <w:p w:rsidR="003019EF" w:rsidRDefault="003019EF" w:rsidP="003019EF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Если установлен только параметр «Обеспечение целостности данных», то при попытке нарушить это условие Access выдает предупреждение. Если установлены параметры каскадного обновления и удаления записей, то Access будет автоматически производить корректировку данных в связанных таблицах.</w:t>
      </w:r>
    </w:p>
    <w:p w:rsidR="00E4677E" w:rsidRDefault="00E4677E" w:rsidP="003019EF">
      <w:r>
        <w:rPr>
          <w:noProof/>
        </w:rPr>
        <w:lastRenderedPageBreak/>
        <w:drawing>
          <wp:inline distT="0" distB="0" distL="0" distR="0">
            <wp:extent cx="3895725" cy="1666875"/>
            <wp:effectExtent l="0" t="0" r="9525" b="9525"/>
            <wp:docPr id="18912295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7E" w:rsidRDefault="00E4677E" w:rsidP="003019EF">
      <w:r>
        <w:rPr>
          <w:noProof/>
        </w:rPr>
        <w:drawing>
          <wp:inline distT="0" distB="0" distL="0" distR="0">
            <wp:extent cx="3838575" cy="1695450"/>
            <wp:effectExtent l="0" t="0" r="9525" b="0"/>
            <wp:docPr id="111767489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Default="003019EF" w:rsidP="003019EF"/>
    <w:p w:rsidR="003019EF" w:rsidRDefault="003019EF" w:rsidP="003019EF">
      <w:pPr>
        <w:spacing w:line="27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Обеспечение целостности данных означает систему правил, используемых для поддержания связей между записями в связанных таблицах, а также защиту от случайного удаления или изменения связанных данных. При установке соот</w:t>
      </w:r>
      <w:r>
        <w:rPr>
          <w:rFonts w:ascii="Arial" w:eastAsia="Arial" w:hAnsi="Arial" w:cs="Arial"/>
          <w:sz w:val="24"/>
          <w:szCs w:val="24"/>
        </w:rPr>
        <w:softHyphen/>
        <w:t>ветствующего флажка работа с данными будет подчинена следующим прави</w:t>
      </w:r>
      <w:r>
        <w:rPr>
          <w:rFonts w:ascii="Arial" w:eastAsia="Arial" w:hAnsi="Arial" w:cs="Arial"/>
          <w:sz w:val="24"/>
          <w:szCs w:val="24"/>
        </w:rPr>
        <w:softHyphen/>
        <w:t>лам:</w:t>
      </w:r>
    </w:p>
    <w:p w:rsidR="003019EF" w:rsidRDefault="003019EF" w:rsidP="003019EF">
      <w:pPr>
        <w:spacing w:line="27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Невозможно ввести в связанное поле подчиненной таблицы значение, от</w:t>
      </w:r>
      <w:r>
        <w:rPr>
          <w:rFonts w:ascii="Arial" w:eastAsia="Arial" w:hAnsi="Arial" w:cs="Arial"/>
          <w:sz w:val="24"/>
          <w:szCs w:val="24"/>
        </w:rPr>
        <w:softHyphen/>
        <w:t>сутствующее в связанном поле главной таблицы. Однако можно ввести пус</w:t>
      </w:r>
      <w:r>
        <w:rPr>
          <w:rFonts w:ascii="Arial" w:eastAsia="Arial" w:hAnsi="Arial" w:cs="Arial"/>
          <w:sz w:val="24"/>
          <w:szCs w:val="24"/>
        </w:rPr>
        <w:softHyphen/>
        <w:t>тое значение, показывающее, что для данной записи связь отсутствует.</w:t>
      </w:r>
    </w:p>
    <w:p w:rsidR="003019EF" w:rsidRDefault="003019EF" w:rsidP="003019EF">
      <w:pPr>
        <w:spacing w:line="27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Не допускается удаление записи из главной таблицы, если существуют свя</w:t>
      </w:r>
      <w:r>
        <w:rPr>
          <w:rFonts w:ascii="Arial" w:eastAsia="Arial" w:hAnsi="Arial" w:cs="Arial"/>
          <w:sz w:val="24"/>
          <w:szCs w:val="24"/>
        </w:rPr>
        <w:softHyphen/>
        <w:t>занные с ней записи в подчиненной таблице.</w:t>
      </w:r>
    </w:p>
    <w:p w:rsidR="003019EF" w:rsidRDefault="003019EF" w:rsidP="003019EF">
      <w:pPr>
        <w:spacing w:line="27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Невозможно изменить значение ключевого поля в главной таблице, если су</w:t>
      </w:r>
      <w:r>
        <w:rPr>
          <w:rFonts w:ascii="Arial" w:eastAsia="Arial" w:hAnsi="Arial" w:cs="Arial"/>
          <w:sz w:val="24"/>
          <w:szCs w:val="24"/>
        </w:rPr>
        <w:softHyphen/>
        <w:t>ществуют записи, связанные с подчиненной.</w:t>
      </w:r>
    </w:p>
    <w:p w:rsidR="003019EF" w:rsidRDefault="003019EF" w:rsidP="003019EF">
      <w:pPr>
        <w:spacing w:line="27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3019EF" w:rsidRDefault="003019EF" w:rsidP="003019EF">
      <w:pPr>
        <w:spacing w:line="27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Любая попытка выполнить действие, нарушающее одно из перечисленных выше правил, приведет к выводу на экран предупреждения, а само действие выполнено не будет. Флажки каскадное обновление связанных полей и каскадное удаление связанных записей по</w:t>
      </w:r>
      <w:r>
        <w:rPr>
          <w:rFonts w:ascii="Arial" w:eastAsia="Arial" w:hAnsi="Arial" w:cs="Arial"/>
          <w:sz w:val="24"/>
          <w:szCs w:val="24"/>
        </w:rPr>
        <w:softHyphen/>
        <w:t>зволяют преодолеть указанные ограничения, сохраняя при этом целостность дан</w:t>
      </w:r>
      <w:r>
        <w:rPr>
          <w:rFonts w:ascii="Arial" w:eastAsia="Arial" w:hAnsi="Arial" w:cs="Arial"/>
          <w:sz w:val="24"/>
          <w:szCs w:val="24"/>
        </w:rPr>
        <w:softHyphen/>
        <w:t>ных. При изменении ключевого поля или удалении записей в главной таблице будут проверяться соответствующие записи в подчиненной таблице и обнов</w:t>
      </w:r>
      <w:r>
        <w:rPr>
          <w:rFonts w:ascii="Arial" w:eastAsia="Arial" w:hAnsi="Arial" w:cs="Arial"/>
          <w:sz w:val="24"/>
          <w:szCs w:val="24"/>
        </w:rPr>
        <w:softHyphen/>
        <w:t>ляться внешние ключи или удаляться записи соответственно.</w:t>
      </w:r>
    </w:p>
    <w:p w:rsidR="003019EF" w:rsidRDefault="003019EF" w:rsidP="003019EF"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В чем выражается на практике обеспечение целостности данных?</w:t>
      </w:r>
    </w:p>
    <w:p w:rsidR="003019EF" w:rsidRDefault="003019EF" w:rsidP="003019EF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а) в подчиненную таблицу не может быть добавлена запись с не существующим в главной таблице значением ключа связи.</w:t>
      </w:r>
    </w:p>
    <w:p w:rsidR="003019EF" w:rsidRDefault="003019EF" w:rsidP="003019EF">
      <w:pPr>
        <w:jc w:val="both"/>
      </w:pPr>
      <w:r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</w:rPr>
        <w:t>Пример1.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в таблицу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Работа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нельзя будет ввести услуги клиента с номером 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сотрудника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(ключевое поле), 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</w:rPr>
        <w:t>которого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нет в таблице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Сотрудники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. (А в таблицу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Сотрудник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- ввести новую запись с данными нового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сотрудник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а - можно!)</w:t>
      </w:r>
    </w:p>
    <w:p w:rsidR="003019EF" w:rsidRDefault="003019EF" w:rsidP="003019EF">
      <w:pPr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б) в главной таблице нельзя удалить запись, если не удалены связанные с ней записи в подчиненной таблице.</w:t>
      </w:r>
    </w:p>
    <w:p w:rsidR="003019EF" w:rsidRDefault="003019EF" w:rsidP="003019EF">
      <w:pPr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</w:rPr>
        <w:t>Пример 2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. Если в БД делается попытка удалить строку из таблицы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Сотрудники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, то автоматически будут удалена и запись сделки для этого клиента в таблице </w:t>
      </w:r>
      <w:r w:rsidR="00E4677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Работа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. </w:t>
      </w:r>
    </w:p>
    <w:p w:rsidR="003019EF" w:rsidRDefault="003019EF"/>
    <w:sectPr w:rsidR="003019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0C10"/>
    <w:multiLevelType w:val="hybridMultilevel"/>
    <w:tmpl w:val="D114A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46B7"/>
    <w:multiLevelType w:val="hybridMultilevel"/>
    <w:tmpl w:val="52340812"/>
    <w:lvl w:ilvl="0" w:tplc="03B0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A80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26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A9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AB0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D42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68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8AC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F05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067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0320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EF"/>
    <w:rsid w:val="003019EF"/>
    <w:rsid w:val="007F028D"/>
    <w:rsid w:val="008410D7"/>
    <w:rsid w:val="00D16520"/>
    <w:rsid w:val="00E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8E5"/>
  <w15:chartTrackingRefBased/>
  <w15:docId w15:val="{D5FDA2DB-8086-4757-B094-1C6B6132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9E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EF"/>
    <w:pPr>
      <w:ind w:left="720"/>
      <w:contextualSpacing/>
    </w:pPr>
  </w:style>
  <w:style w:type="table" w:styleId="a4">
    <w:name w:val="Table Grid"/>
    <w:basedOn w:val="a1"/>
    <w:uiPriority w:val="59"/>
    <w:rsid w:val="003019E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Kolganov</dc:creator>
  <cp:keywords/>
  <dc:description/>
  <cp:lastModifiedBy>Dan Kolganov</cp:lastModifiedBy>
  <cp:revision>1</cp:revision>
  <dcterms:created xsi:type="dcterms:W3CDTF">2023-06-07T19:29:00Z</dcterms:created>
  <dcterms:modified xsi:type="dcterms:W3CDTF">2023-06-07T20:19:00Z</dcterms:modified>
</cp:coreProperties>
</file>