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Matriz de stakeholders e tabela VAC da Flex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Matriz de poder e interesse</w:t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Recorte: desenvolvimento e adoção do Living Model. Poder é a capacidade de aprovar, priorizar ou alterar o projeto; interesse é o envolvimento com seus resultados.</w:t>
      </w:r>
    </w:p>
    <w:tbl>
      <w:tblPr>
        <w:tblStyle w:val="Table1"/>
        <w:tblW w:w="9071.0" w:type="dxa"/>
        <w:jc w:val="center"/>
        <w:tblLayout w:type="fixed"/>
        <w:tblLook w:val="0400"/>
      </w:tblPr>
      <w:tblGrid>
        <w:gridCol w:w="1191"/>
        <w:gridCol w:w="3940"/>
        <w:gridCol w:w="3940"/>
        <w:tblGridChange w:id="0">
          <w:tblGrid>
            <w:gridCol w:w="1191"/>
            <w:gridCol w:w="3940"/>
            <w:gridCol w:w="394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7e7e7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Interesse / Poder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7e7e7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Baixo poder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7e7e7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Alto poder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Alto interesse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MANTER INFORMADOS E CONSULTAR</w:t>
              <w:br w:type="textWrapping"/>
              <w:br w:type="textWrapping"/>
              <w:t xml:space="preserve">Equipe comercial, técnicos instaladores e arquitetos usuários, quando não detiverem autoridade de aprovação.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GERENCIAR DE PERTO</w:t>
              <w:br w:type="textWrapping"/>
              <w:br w:type="textWrapping"/>
              <w:t xml:space="preserve">Gestor ou representante da Flex responsável pela aprovação e lideranças com autoridade sobre requisitos e prioridades.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Baixo interesse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MONITORAR</w:t>
              <w:br w:type="textWrapping"/>
              <w:br w:type="textWrapping"/>
              <w:t xml:space="preserve">Profissionais e parceiros pouco afetados pelo piloto e sem influência relevante sobre suas decisões, caso esse perfil seja identificado.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MANTER SATISFEITOS</w:t>
              <w:br w:type="textWrapping"/>
              <w:br w:type="textWrapping"/>
              <w:t xml:space="preserve">Responsáveis por recursos ou infraestrutura com poder de autorização, caso tenham baixo envolvimento cotidiano com a solução.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180" w:before="100" w:line="240" w:lineRule="auto"/>
        <w:ind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80" w:before="100" w:line="24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Gestores validam prioridades e escopo; comercial avalia cadastros e propostas; técnicos e arquitetos verificam as informações para execução.</w:t>
      </w:r>
    </w:p>
    <w:p w:rsidR="00000000" w:rsidDel="00000000" w:rsidP="00000000" w:rsidRDefault="00000000" w:rsidRPr="00000000" w14:paraId="0000000F">
      <w:pPr>
        <w:spacing w:after="180" w:before="100" w:line="24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80" w:before="100" w:line="24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80" w:before="100" w:line="24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80" w:before="100" w:line="24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80" w:before="100" w:line="24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80" w:before="100" w:line="24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80" w:before="100" w:line="24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80" w:before="100" w:line="24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80" w:before="100" w:line="24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80" w:before="100" w:line="24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80" w:before="100" w:line="24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80" w:before="100" w:line="24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80" w:before="100" w:line="24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80" w:before="100" w:line="24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80" w:before="100" w:line="24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80" w:before="100" w:line="24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80" w:before="100" w:line="240" w:lineRule="auto"/>
        <w:ind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Tabela VAC</w:t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tabela relaciona fatores externos, possíveis impactos e respostas sugeridas. O recorte considera clientes profissionais e intermediários. </w:t>
      </w:r>
    </w:p>
    <w:tbl>
      <w:tblPr>
        <w:tblStyle w:val="Table2"/>
        <w:tblW w:w="9075.0" w:type="dxa"/>
        <w:jc w:val="center"/>
        <w:tblLayout w:type="fixed"/>
        <w:tblLook w:val="0400"/>
      </w:tblPr>
      <w:tblGrid>
        <w:gridCol w:w="1455"/>
        <w:gridCol w:w="1725"/>
        <w:gridCol w:w="1875"/>
        <w:gridCol w:w="1470"/>
        <w:gridCol w:w="2550"/>
        <w:tblGridChange w:id="0">
          <w:tblGrid>
            <w:gridCol w:w="1455"/>
            <w:gridCol w:w="1725"/>
            <w:gridCol w:w="1875"/>
            <w:gridCol w:w="1470"/>
            <w:gridCol w:w="255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7e7e7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Dimensão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7e7e7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Variável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7e7e7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Possível 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7e7e7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7e7e7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Resposta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Econômica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Custo do crédito e restrição de orçamento.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Adiamento de pedidos e redução do escopo dos projetos.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Ameaça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Apresentar custos e escopo claros e demonstrar benefícios com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Tecnológica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Evolução de dispositivos, protocolos e sistemas digitais.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Novas configurações e risco de obsolescência ou incompatibilidade.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Oportunidade e ameaça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Atualizar dados, validar integrações e alinhar dashboards aos requisitos do grupo.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Sociocultural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Busca por praticidade, conforto e personalização.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Requisitos distintos e maior expectativa de clareza das soluções.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Oportunidade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Apresentar configurações e benefícios de forma compreensível aos profissionais.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Político-legal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Conformidade dos produtos, obrigações fiscais e proteção de dados.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Necessidade de adequar produtos, processos e registros.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Ameaça em caso de inadequação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Validar requisitos de segurança e dados e alinhar faturamento e nota fiscal ao projeto.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Ambiental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Valorização da eficiência energética e da sustentabilidade.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Interesse por benefícios de economia e uso eficiente de recursos.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Oportunidade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Apresentar os indicadores de energia com critérios técnicos verificáveis.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Demográfica e urbana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Construção, reforma e diversidade de imóveis.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Demandas distintas por ambientes e aplicações.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Oportunidade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1"/>
              <w:spacing w:after="40" w:before="40" w:line="252.00000000000003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Organizar propostas e configurações conforme o tipo de imóvel e de projeto.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180" w:before="100" w:line="240" w:lineRule="auto"/>
        <w:ind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80" w:before="100" w:line="240" w:lineRule="auto"/>
        <w:ind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80" w:before="100" w:line="240" w:lineRule="auto"/>
        <w:ind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80" w:before="100" w:line="240" w:lineRule="auto"/>
        <w:ind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80" w:before="100" w:line="240" w:lineRule="auto"/>
        <w:ind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80" w:before="100" w:line="240" w:lineRule="auto"/>
        <w:ind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80" w:before="100" w:line="240" w:lineRule="auto"/>
        <w:ind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80" w:before="100" w:line="240" w:lineRule="auto"/>
        <w:ind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80" w:before="100" w:line="240" w:lineRule="auto"/>
        <w:ind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80" w:before="100" w:line="240" w:lineRule="auto"/>
        <w:ind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80" w:before="100" w:line="240" w:lineRule="auto"/>
        <w:ind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Referências</w:t>
      </w:r>
    </w:p>
    <w:p w:rsidR="00000000" w:rsidDel="00000000" w:rsidP="00000000" w:rsidRDefault="00000000" w:rsidRPr="00000000" w14:paraId="0000004F">
      <w:pPr>
        <w:keepLines w:val="1"/>
        <w:spacing w:after="240" w:line="240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BANCO CENTRAL DO BRASIL.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Comunicado nº 45.963</w:t>
      </w:r>
      <w:r w:rsidDel="00000000" w:rsidR="00000000" w:rsidRPr="00000000">
        <w:rPr>
          <w:rFonts w:ascii="Arial" w:cs="Arial" w:eastAsia="Arial" w:hAnsi="Arial"/>
          <w:rtl w:val="0"/>
        </w:rPr>
        <w:t xml:space="preserve">, de 16 de setembro de 2026. Brasília, DF: Banco Central do Brasil, 2026. Disponível em: https://www.bcb.gov.br/estabilidadefinanceira/exibenormativo?numero=45963&amp;tipo=Comunicado. Acesso em: 18 out. 2026.</w:t>
      </w:r>
    </w:p>
    <w:p w:rsidR="00000000" w:rsidDel="00000000" w:rsidP="00000000" w:rsidRDefault="00000000" w:rsidRPr="00000000" w14:paraId="00000050">
      <w:pPr>
        <w:keepLines w:val="1"/>
        <w:spacing w:after="240" w:line="240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BRASIL.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Lei nº 13.709</w:t>
      </w:r>
      <w:r w:rsidDel="00000000" w:rsidR="00000000" w:rsidRPr="00000000">
        <w:rPr>
          <w:rFonts w:ascii="Arial" w:cs="Arial" w:eastAsia="Arial" w:hAnsi="Arial"/>
          <w:rtl w:val="0"/>
        </w:rPr>
        <w:t xml:space="preserve">, de 14 de agosto de 2018. Lei Geral de Proteção de Dados Pessoais (LGPD). Brasília, DF: Presidência da República, 2018. Disponível em: https://www.planalto.gov.br/ccivil_03/_ato2015-2018/2018/lei/l13709.htm. Acesso em: 18 out. 2026.</w:t>
      </w:r>
    </w:p>
    <w:p w:rsidR="00000000" w:rsidDel="00000000" w:rsidP="00000000" w:rsidRDefault="00000000" w:rsidRPr="00000000" w14:paraId="00000051">
      <w:pPr>
        <w:keepLines w:val="1"/>
        <w:spacing w:after="240" w:line="240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ESPM.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Projeto Integrado II</w:t>
      </w:r>
      <w:r w:rsidDel="00000000" w:rsidR="00000000" w:rsidRPr="00000000">
        <w:rPr>
          <w:rFonts w:ascii="Arial" w:cs="Arial" w:eastAsia="Arial" w:hAnsi="Arial"/>
          <w:rtl w:val="0"/>
        </w:rPr>
        <w:t xml:space="preserve">: Living Model — Plataforma de Configuração Visual de Projetos de Automação. Estudo de caso Flex Automation. São Paulo: ESPM, 2026. Briefing acadêmico disponibilizado em PDF.</w:t>
      </w:r>
    </w:p>
    <w:p w:rsidR="00000000" w:rsidDel="00000000" w:rsidP="00000000" w:rsidRDefault="00000000" w:rsidRPr="00000000" w14:paraId="00000052">
      <w:pPr>
        <w:keepLines w:val="1"/>
        <w:spacing w:after="240" w:line="240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IBGE.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87% da população brasileira vivia em áreas urbanas</w:t>
      </w:r>
      <w:r w:rsidDel="00000000" w:rsidR="00000000" w:rsidRPr="00000000">
        <w:rPr>
          <w:rFonts w:ascii="Arial" w:cs="Arial" w:eastAsia="Arial" w:hAnsi="Arial"/>
          <w:rtl w:val="0"/>
        </w:rPr>
        <w:t xml:space="preserve">. Rio de Janeiro: IBGE, 28 jan. 2025. Disponível em: https://educa.ibge.gov.br/jovens/materias-especiais/22550-87-da-populacao-brasileira-vivia-em-areas-urbanas.html. Acesso em: 18 out. 2026.</w:t>
      </w:r>
    </w:p>
    <w:p w:rsidR="00000000" w:rsidDel="00000000" w:rsidP="00000000" w:rsidRDefault="00000000" w:rsidRPr="00000000" w14:paraId="00000053">
      <w:pPr>
        <w:keepLines w:val="1"/>
        <w:spacing w:after="240" w:line="240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IMARC GROUP.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Tamanho, participação, tendências e previsão do mercado de casas inteligentes no Brasil</w:t>
      </w:r>
      <w:r w:rsidDel="00000000" w:rsidR="00000000" w:rsidRPr="00000000">
        <w:rPr>
          <w:rFonts w:ascii="Arial" w:cs="Arial" w:eastAsia="Arial" w:hAnsi="Arial"/>
          <w:rtl w:val="0"/>
        </w:rPr>
        <w:t xml:space="preserve"> por tipo de dispositivo, aplicativo, protocolo e região, 2026–2034. [S. l.]: IMARC Group, 2026. Disponível em: https://www.imarcgroup.com/report/pt-br/brazil-smart-home-market. Acesso em: 18 out. 2026.</w:t>
      </w:r>
    </w:p>
    <w:p w:rsidR="00000000" w:rsidDel="00000000" w:rsidP="00000000" w:rsidRDefault="00000000" w:rsidRPr="00000000" w14:paraId="00000054">
      <w:pPr>
        <w:keepLines w:val="1"/>
        <w:spacing w:after="240" w:line="240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INMETRO.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Regulamentos técnicos e programas de avaliação da conformidade compulsórios</w:t>
      </w:r>
      <w:r w:rsidDel="00000000" w:rsidR="00000000" w:rsidRPr="00000000">
        <w:rPr>
          <w:rFonts w:ascii="Arial" w:cs="Arial" w:eastAsia="Arial" w:hAnsi="Arial"/>
          <w:rtl w:val="0"/>
        </w:rPr>
        <w:t xml:space="preserve">. [S. l.]: Inmetro, [s.d.]. Disponível em: https://www.gov.br/inmetro/pt-br/assuntos/regulamentacao/produtos-e-servicos-regulados/programas-compulsorios. Acesso em: 18 out. 2026.</w:t>
      </w:r>
    </w:p>
    <w:sectPr>
      <w:pgSz w:h="16838" w:w="11906" w:orient="portrait"/>
      <w:pgMar w:bottom="1134" w:top="1134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000000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Times New Roman" w:cs="Times New Roman" w:eastAsia="Times New Roman" w:hAnsi="Times New Roman"/>
      <w:color w:val="000000"/>
      <w:sz w:val="22"/>
      <w:szCs w:val="2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cs="Times New Roman" w:eastAsia="Times New Roman" w:hAnsi="Times New Roman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>
      <w:rFonts w:ascii="Times New Roman" w:cs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cs="Times New Roman" w:eastAsia="Times New Roman" w:hAnsi="Times New Roman"/>
    </w:rPr>
  </w:style>
  <w:style w:type="character" w:styleId="FooterChar" w:customStyle="1">
    <w:name w:val="Footer Char"/>
    <w:basedOn w:val="DefaultParagraphFont"/>
    <w:link w:val="Footer"/>
    <w:uiPriority w:val="99"/>
    <w:rsid w:val="00E618BF"/>
    <w:rPr>
      <w:rFonts w:ascii="Times New Roman" w:cs="Times New Roman" w:eastAsia="Times New Roman" w:hAnsi="Times New Roman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Times New Roman" w:cs="Times New Roman" w:eastAsia="Times New Roman" w:hAnsi="Times New Roman" w:cstheme="majorBid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Times New Roman" w:cs="Times New Roman" w:eastAsia="Times New Roman" w:hAnsi="Times New Roman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Times New Roman" w:cs="Times New Roman" w:eastAsia="Times New Roman" w:hAnsi="Times New Roman" w:cstheme="majorBid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  <w:rPr>
      <w:rFonts w:ascii="Times New Roman" w:cs="Times New Roman" w:eastAsia="Times New Roman" w:hAnsi="Times New Roman"/>
    </w:rPr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  <w:rPr>
      <w:rFonts w:ascii="Times New Roman" w:cs="Times New Roman" w:eastAsia="Times New Roman" w:hAnsi="Times New Roman"/>
    </w:r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Times New Roman" w:cs="Times New Roman" w:eastAsia="Times New Roman" w:hAnsi="Times New Roman" w:cstheme="majorBid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Times New Roman" w:cs="Times New Roman" w:eastAsia="Times New Roman" w:hAnsi="Times New Roman" w:cstheme="majorBid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Times New Roman" w:cs="Times New Roman" w:eastAsia="Times New Roman" w:hAnsi="Times New Roman" w:cstheme="majorBid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Times New Roman" w:cs="Times New Roman" w:eastAsia="Times New Roman" w:hAnsi="Times New Roman" w:cstheme="majorBid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Times New Roman" w:cs="Times New Roman" w:eastAsia="Times New Roman" w:hAnsi="Times New Roman" w:cstheme="majorBid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  <w:rPr>
      <w:rFonts w:ascii="Times New Roman" w:cs="Times New Roman" w:eastAsia="Times New Roman" w:hAnsi="Times New Roman"/>
    </w:r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  <w:rPr>
      <w:rFonts w:ascii="Times New Roman" w:cs="Times New Roman" w:eastAsia="Times New Roman" w:hAnsi="Times New Roman"/>
    </w:rPr>
  </w:style>
  <w:style w:type="character" w:styleId="BodyTextChar" w:customStyle="1">
    <w:name w:val="Body Text Char"/>
    <w:basedOn w:val="DefaultParagraphFont"/>
    <w:link w:val="BodyText"/>
    <w:uiPriority w:val="99"/>
    <w:rsid w:val="00AA1D8D"/>
    <w:rPr>
      <w:rFonts w:ascii="Times New Roman" w:cs="Times New Roman" w:eastAsia="Times New Roman" w:hAnsi="Times New Roman"/>
    </w:rPr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  <w:rPr>
      <w:rFonts w:ascii="Times New Roman" w:cs="Times New Roman" w:eastAsia="Times New Roman" w:hAnsi="Times New Roman"/>
    </w:rPr>
  </w:style>
  <w:style w:type="character" w:styleId="BodyText2Char" w:customStyle="1">
    <w:name w:val="Body Text 2 Char"/>
    <w:basedOn w:val="DefaultParagraphFont"/>
    <w:link w:val="BodyText2"/>
    <w:uiPriority w:val="99"/>
    <w:rsid w:val="00AA1D8D"/>
    <w:rPr>
      <w:rFonts w:ascii="Times New Roman" w:cs="Times New Roman" w:eastAsia="Times New Roman" w:hAnsi="Times New Roman"/>
    </w:rPr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rFonts w:ascii="Times New Roman" w:cs="Times New Roman" w:eastAsia="Times New Roman" w:hAnsi="Times New Roman"/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rFonts w:ascii="Times New Roman" w:cs="Times New Roman" w:eastAsia="Times New Roman" w:hAnsi="Times New Roman"/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  <w:rPr>
      <w:rFonts w:ascii="Times New Roman" w:cs="Times New Roman" w:eastAsia="Times New Roman" w:hAnsi="Times New Roman"/>
    </w:r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  <w:rPr>
      <w:rFonts w:ascii="Times New Roman" w:cs="Times New Roman" w:eastAsia="Times New Roman" w:hAnsi="Times New Roman"/>
    </w:r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  <w:rPr>
      <w:rFonts w:ascii="Times New Roman" w:cs="Times New Roman" w:eastAsia="Times New Roman" w:hAnsi="Times New Roman"/>
    </w:r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  <w:rPr>
      <w:rFonts w:ascii="Times New Roman" w:cs="Times New Roman" w:eastAsia="Times New Roman" w:hAnsi="Times New Roman"/>
    </w:r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  <w:rPr>
      <w:rFonts w:ascii="Times New Roman" w:cs="Times New Roman" w:eastAsia="Times New Roman" w:hAnsi="Times New Roman"/>
    </w:r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  <w:rPr>
      <w:rFonts w:ascii="Times New Roman" w:cs="Times New Roman" w:eastAsia="Times New Roman" w:hAnsi="Times New Roman"/>
    </w:r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  <w:rPr>
      <w:rFonts w:ascii="Times New Roman" w:cs="Times New Roman" w:eastAsia="Times New Roman" w:hAnsi="Times New Roman"/>
    </w:r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  <w:rPr>
      <w:rFonts w:ascii="Times New Roman" w:cs="Times New Roman" w:eastAsia="Times New Roman" w:hAnsi="Times New Roman"/>
    </w:r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  <w:rPr>
      <w:rFonts w:ascii="Times New Roman" w:cs="Times New Roman" w:eastAsia="Times New Roman" w:hAnsi="Times New Roman"/>
    </w:r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  <w:rPr>
      <w:rFonts w:ascii="Times New Roman" w:cs="Times New Roman" w:eastAsia="Times New Roman" w:hAnsi="Times New Roman"/>
    </w:r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  <w:rPr>
      <w:rFonts w:ascii="Times New Roman" w:cs="Times New Roman" w:eastAsia="Times New Roman" w:hAnsi="Times New Roman"/>
    </w:r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  <w:rPr>
      <w:rFonts w:ascii="Times New Roman" w:cs="Times New Roman" w:eastAsia="Times New Roman" w:hAnsi="Times New Roman"/>
    </w:r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cs="Times New Roman" w:eastAsia="Times New Roman" w:hAnsi="Times New Roman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Times New Roman" w:cs="Times New Roman" w:eastAsia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rFonts w:ascii="Times New Roman" w:cs="Times New Roman" w:eastAsia="Times New Roman" w:hAnsi="Times New Roman"/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rFonts w:ascii="Times New Roman" w:cs="Times New Roman" w:eastAsia="Times New Roman" w:hAnsi="Times New Roman"/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="Times New Roman" w:cs="Times New Roman" w:eastAsia="Times New Roman" w:hAnsi="Times New Roman" w:cstheme="majorBid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="Times New Roman" w:cs="Times New Roman" w:eastAsia="Times New Roman" w:hAnsi="Times New Roman" w:cstheme="majorBid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="Times New Roman" w:cs="Times New Roman" w:eastAsia="Times New Roman" w:hAnsi="Times New Roman" w:cstheme="majorBid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="Times New Roman" w:cs="Times New Roman" w:eastAsia="Times New Roman" w:hAnsi="Times New Roman" w:cstheme="majorBid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="Times New Roman" w:cs="Times New Roman" w:eastAsia="Times New Roman" w:hAnsi="Times New Roman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="Times New Roman" w:cs="Times New Roman" w:eastAsia="Times New Roman" w:hAnsi="Times New Roman" w:cstheme="majorBid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rFonts w:ascii="Times New Roman" w:cs="Times New Roman" w:eastAsia="Times New Roman" w:hAnsi="Times New Roman"/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rFonts w:ascii="Times New Roman" w:cs="Times New Roman" w:eastAsia="Times New Roman" w:hAnsi="Times New Roman"/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rFonts w:ascii="Times New Roman" w:cs="Times New Roman" w:eastAsia="Times New Roman" w:hAnsi="Times New Roman"/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spacing w:after="280" w:before="200"/>
      <w:ind w:left="936" w:right="936"/>
    </w:pPr>
    <w:rPr>
      <w:rFonts w:ascii="Times New Roman" w:cs="Times New Roman" w:eastAsia="Times New Roman" w:hAnsi="Times New Roman"/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rFonts w:ascii="Times New Roman" w:cs="Times New Roman" w:eastAsia="Times New Roman" w:hAnsi="Times New Roman"/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rFonts w:ascii="Times New Roman" w:cs="Times New Roman" w:eastAsia="Times New Roman" w:hAnsi="Times New Roman"/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rFonts w:ascii="Times New Roman" w:cs="Times New Roman" w:eastAsia="Times New Roman" w:hAnsi="Times New Roman"/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rFonts w:ascii="Times New Roman" w:cs="Times New Roman" w:eastAsia="Times New Roman" w:hAnsi="Times New Roman"/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rFonts w:ascii="Times New Roman" w:cs="Times New Roman" w:eastAsia="Times New Roman" w:hAnsi="Times New Roman"/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rFonts w:ascii="Times New Roman" w:cs="Times New Roman" w:eastAsia="Times New Roman" w:hAnsi="Times New Roman"/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>
      <w:rFonts w:ascii="Times New Roman" w:cs="Times New Roman" w:eastAsia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Times New Roman" w:cs="Times New Roman" w:eastAsia="Times New Roman" w:hAnsi="Times New Roman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JeqFEOF4+dK6t53JInpewZJUlQ==">CgMxLjA4AHIhMS1UNjdpSmxQMkJiWEpSN3B2YVI2THRPSU9VR0Q5Nkda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