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pStyle w:val="Title"/>
        <w:spacing w:after="40" w:before="0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080808"/>
          <w:sz w:val="72"/>
          <w:szCs w:val="72"/>
        </w:rPr>
        <w:t xml:space="preserve">VERTU</w:t>
      </w:r>
    </w:p>
    <w:p>
      <w:pPr>
        <w:pBdr>
          <w:bottom w:val="single" w:color="D4B978" w:sz="6" w:space="6"/>
        </w:pBdr>
        <w:spacing w:after="160" w:before="60"/>
      </w:pPr>
    </w:p>
    <w:p>
      <w:pPr>
        <w:spacing w:after="60" w:before="20" w:line="276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1A1816"/>
          <w:sz w:val="38"/>
          <w:szCs w:val="38"/>
        </w:rPr>
        <w:t xml:space="preserve">Letterhead Template</w:t>
      </w:r>
    </w:p>
    <w:p>
      <w:pPr>
        <w:spacing w:after="240" w:before="0" w:line="276"/>
      </w:pPr>
      <w:r>
        <w:rPr>
          <w:rFonts w:ascii="Instrument Serif" w:cs="Instrument Serif" w:eastAsia="Instrument Serif" w:hAnsi="Instrument Serif"/>
          <w:b w:val="false"/>
          <w:bCs w:val="false"/>
          <w:i/>
          <w:iCs/>
          <w:color w:val="C4A55E"/>
          <w:sz w:val="22"/>
          <w:szCs w:val="22"/>
        </w:rPr>
        <w:t xml:space="preserve">Crafted Beyond Measure</w:t>
      </w:r>
    </w:p>
    <w:p>
      <w:pPr>
        <w:spacing w:after="60" w:before="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The VERTU Letterhead template is built for partner-facing materials requiring a premium editorial tone.</w:t>
      </w:r>
    </w:p>
    <w:p>
      <w:pPr>
        <w:spacing w:after="60" w:before="4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Use this file as a working production shell. Keep content concise, proofed, and approved before circulation.</w:t>
      </w:r>
    </w:p>
    <w:p>
      <w:pPr>
        <w:spacing w:after="100" w:before="4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Spacing and hierarchy should remain unchanged unless legal or regulatory needs require annotations.</w:t>
      </w:r>
    </w:p>
    <w:p>
      <w:pPr>
        <w:pBdr>
          <w:bottom w:val="single" w:color="B5AFA7" w:sz="2" w:space="4"/>
        </w:pBdr>
        <w:spacing w:after="120" w:before="40"/>
      </w:pPr>
    </w:p>
    <w:p>
      <w:pPr>
        <w:spacing w:after="40" w:before="80" w:line="276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8A847C"/>
          <w:sz w:val="19"/>
          <w:szCs w:val="19"/>
        </w:rPr>
        <w:t xml:space="preserve">Prepared for: VERTU Limited</w:t>
      </w:r>
    </w:p>
    <w:p>
      <w:pPr>
        <w:pBdr>
          <w:bottom w:val="single" w:color="D4B978" w:sz="6" w:space="6"/>
        </w:pBdr>
        <w:spacing w:after="160" w:before="60"/>
      </w:pPr>
    </w:p>
    <w:p>
      <w:pPr>
        <w:pStyle w:val="Heading1"/>
        <w:spacing w:after="100" w:before="40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080808"/>
          <w:sz w:val="26"/>
          <w:szCs w:val="26"/>
        </w:rPr>
        <w:t xml:space="preserve">Template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08080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D4B978"/>
                <w:sz w:val="19"/>
                <w:szCs w:val="19"/>
              </w:rPr>
              <w:t xml:space="preserve">Field</w:t>
            </w:r>
          </w:p>
        </w:tc>
        <w:tc>
          <w:tcPr>
            <w:tcW w:type="pct" w:w="72%"/>
            <w:shd w:fill="08080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D4B978"/>
                <w:sz w:val="19"/>
                <w:szCs w:val="19"/>
              </w:rPr>
              <w:t xml:space="preserve">Guidance</w:t>
            </w:r>
          </w:p>
        </w:tc>
      </w:tr>
      <w:tr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080808"/>
                <w:sz w:val="19"/>
                <w:szCs w:val="19"/>
              </w:rPr>
              <w:t xml:space="preserve">Document Title</w:t>
            </w:r>
          </w:p>
        </w:tc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1816"/>
                <w:sz w:val="20"/>
                <w:szCs w:val="20"/>
              </w:rPr>
              <w:t xml:space="preserve">Sentence case with VERTU as the owning brand.</w:t>
            </w:r>
          </w:p>
        </w:tc>
      </w:tr>
      <w:tr>
        <w:tc>
          <w:tcPr>
            <w:tcBorders>
              <w:bottom w:val="single" w:color="B5AFA7" w:sz="1"/>
            </w:tcBorders>
            <w:shd w:fill="FAF7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080808"/>
                <w:sz w:val="19"/>
                <w:szCs w:val="19"/>
              </w:rPr>
              <w:t xml:space="preserve">Reference Code</w:t>
            </w:r>
          </w:p>
        </w:tc>
        <w:tc>
          <w:tcPr>
            <w:tcBorders>
              <w:bottom w:val="single" w:color="B5AFA7" w:sz="1"/>
            </w:tcBorders>
            <w:shd w:fill="FAF7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1816"/>
                <w:sz w:val="20"/>
                <w:szCs w:val="20"/>
              </w:rPr>
              <w:t xml:space="preserve">Timestamped reference, e.g. VERTU-BRIEF-0001.</w:t>
            </w:r>
          </w:p>
        </w:tc>
      </w:tr>
      <w:tr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080808"/>
                <w:sz w:val="19"/>
                <w:szCs w:val="19"/>
              </w:rPr>
              <w:t xml:space="preserve">Date</w:t>
            </w:r>
          </w:p>
        </w:tc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1816"/>
                <w:sz w:val="20"/>
                <w:szCs w:val="20"/>
              </w:rPr>
              <w:t xml:space="preserve">Issue date in YYYY-MM-DD format.</w:t>
            </w:r>
          </w:p>
        </w:tc>
      </w:tr>
      <w:tr>
        <w:tc>
          <w:tcPr>
            <w:tcBorders>
              <w:bottom w:val="single" w:color="B5AFA7" w:sz="1"/>
            </w:tcBorders>
            <w:shd w:fill="FAF7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080808"/>
                <w:sz w:val="19"/>
                <w:szCs w:val="19"/>
              </w:rPr>
              <w:t xml:space="preserve">Approvals</w:t>
            </w:r>
          </w:p>
        </w:tc>
        <w:tc>
          <w:tcPr>
            <w:tcBorders>
              <w:bottom w:val="single" w:color="B5AFA7" w:sz="1"/>
            </w:tcBorders>
            <w:shd w:fill="FAF7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1816"/>
                <w:sz w:val="20"/>
                <w:szCs w:val="20"/>
              </w:rPr>
              <w:t xml:space="preserve">Brand and legal approvers where claims exist.</w:t>
            </w:r>
          </w:p>
        </w:tc>
      </w:tr>
      <w:tr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IBM Plex Mono" w:cs="IBM Plex Mono" w:eastAsia="IBM Plex Mono" w:hAnsi="IBM Plex Mono"/>
                <w:b/>
                <w:bCs/>
                <w:i w:val="false"/>
                <w:iCs w:val="false"/>
                <w:color w:val="080808"/>
                <w:sz w:val="19"/>
                <w:szCs w:val="19"/>
              </w:rPr>
              <w:t xml:space="preserve">Region</w:t>
            </w:r>
          </w:p>
        </w:tc>
        <w:tc>
          <w:tcPr>
            <w:tcBorders>
              <w:bottom w:val="single" w:color="B5AFA7" w:sz="1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76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1A1816"/>
                <w:sz w:val="20"/>
                <w:szCs w:val="20"/>
              </w:rPr>
              <w:t xml:space="preserve">Locale and language variant for final circulation.</w:t>
            </w:r>
          </w:p>
        </w:tc>
      </w:tr>
    </w:tbl>
    <w:p>
      <w:pPr>
        <w:pBdr>
          <w:bottom w:val="single" w:color="D4B978" w:sz="6" w:space="6"/>
        </w:pBdr>
        <w:spacing w:after="160" w:before="60"/>
      </w:pPr>
    </w:p>
    <w:p>
      <w:pPr>
        <w:pStyle w:val="Heading1"/>
        <w:spacing w:after="80" w:before="60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080808"/>
          <w:sz w:val="26"/>
          <w:szCs w:val="26"/>
        </w:rPr>
        <w:t xml:space="preserve">Production Notes</w:t>
      </w:r>
    </w:p>
    <w:p>
      <w:pPr>
        <w:spacing w:after="60" w:before="6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Use this letterhead for partner proposals, campaign briefs, and premium correspondence.</w:t>
      </w:r>
    </w:p>
    <w:p>
      <w:pPr>
        <w:spacing w:after="40" w:before="100" w:line="276"/>
      </w:pPr>
      <w:r>
        <w:rPr>
          <w:rFonts w:ascii="IBM Plex Mono" w:cs="IBM Plex Mono" w:eastAsia="IBM Plex Mono" w:hAnsi="IBM Plex Mono"/>
          <w:b/>
          <w:bCs/>
          <w:i w:val="false"/>
          <w:iCs w:val="false"/>
          <w:color w:val="080808"/>
          <w:sz w:val="20"/>
          <w:szCs w:val="20"/>
        </w:rPr>
        <w:t xml:space="preserve">Core Requirements</w:t>
      </w:r>
    </w:p>
    <w:p>
      <w:pPr>
        <w:spacing w:after="30" w:before="3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0"/>
          <w:szCs w:val="20"/>
        </w:rPr>
        <w:t xml:space="preserve">•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Use approved logos and media only.</w:t>
      </w:r>
    </w:p>
    <w:p>
      <w:pPr>
        <w:spacing w:after="30" w:before="3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0"/>
          <w:szCs w:val="20"/>
        </w:rPr>
        <w:t xml:space="preserve">•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Preserve spacing: section headline, body statement, action notes.</w:t>
      </w:r>
    </w:p>
    <w:p>
      <w:pPr>
        <w:spacing w:after="30" w:before="3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0"/>
          <w:szCs w:val="20"/>
        </w:rPr>
        <w:t xml:space="preserve">•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Use title case for short labels; keep paragraphs concise.</w:t>
      </w:r>
    </w:p>
    <w:p>
      <w:pPr>
        <w:spacing w:after="30" w:before="3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0"/>
          <w:szCs w:val="20"/>
        </w:rPr>
        <w:t xml:space="preserve">•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Route legal claims through approved review channels.</w:t>
      </w:r>
    </w:p>
    <w:p>
      <w:r>
        <w:br w:type="page"/>
      </w:r>
    </w:p>
    <w:p>
      <w:pPr>
        <w:pStyle w:val="Heading1"/>
        <w:spacing w:after="80" w:before="60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080808"/>
          <w:sz w:val="28"/>
          <w:szCs w:val="28"/>
        </w:rPr>
        <w:t xml:space="preserve">Approval Gate</w:t>
      </w:r>
    </w:p>
    <w:p>
      <w:pPr>
        <w:pBdr>
          <w:bottom w:val="single" w:color="D4B978" w:sz="6" w:space="6"/>
        </w:pBdr>
        <w:spacing w:after="160" w:before="60"/>
      </w:pPr>
    </w:p>
    <w:p>
      <w:pPr>
        <w:spacing w:after="80" w:before="4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Confirm all checkpoints before circulation.</w:t>
      </w:r>
    </w:p>
    <w:p>
      <w:pPr>
        <w:spacing w:after="40" w:before="4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4"/>
          <w:szCs w:val="24"/>
        </w:rPr>
        <w:t xml:space="preserve">☐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Brand tone and claims reviewed</w:t>
      </w:r>
    </w:p>
    <w:p>
      <w:pPr>
        <w:spacing w:after="40" w:before="4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4"/>
          <w:szCs w:val="24"/>
        </w:rPr>
        <w:t xml:space="preserve">☐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Legal implications reviewed</w:t>
      </w:r>
    </w:p>
    <w:p>
      <w:pPr>
        <w:spacing w:after="40" w:before="4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4"/>
          <w:szCs w:val="24"/>
        </w:rPr>
        <w:t xml:space="preserve">☐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Localization and jurisdiction confirmed</w:t>
      </w:r>
    </w:p>
    <w:p>
      <w:pPr>
        <w:spacing w:after="40" w:before="40" w:line="264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D4B978"/>
          <w:sz w:val="24"/>
          <w:szCs w:val="24"/>
        </w:rPr>
        <w:t xml:space="preserve">☐ 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1"/>
          <w:szCs w:val="21"/>
        </w:rPr>
        <w:t xml:space="preserve">Visuals pass contrast and metadata checks</w:t>
      </w:r>
    </w:p>
    <w:p>
      <w:pPr>
        <w:pBdr>
          <w:bottom w:val="single" w:color="B5AFA7" w:sz="2" w:space="4"/>
        </w:pBdr>
        <w:spacing w:after="120" w:before="40"/>
      </w:pPr>
    </w:p>
    <w:p>
      <w:pPr>
        <w:spacing w:after="20" w:before="80" w:line="276"/>
      </w:pPr>
      <w:r>
        <w:rPr>
          <w:rFonts w:ascii="IBM Plex Mono" w:cs="IBM Plex Mono" w:eastAsia="IBM Plex Mono" w:hAnsi="IBM Plex Mono"/>
          <w:b w:val="false"/>
          <w:bCs w:val="false"/>
          <w:i w:val="false"/>
          <w:iCs w:val="false"/>
          <w:color w:val="8A847C"/>
          <w:sz w:val="19"/>
          <w:szCs w:val="19"/>
        </w:rPr>
        <w:t xml:space="preserve">Prepared for: VERTU Limited</w:t>
      </w:r>
    </w:p>
    <w:p>
      <w:pPr>
        <w:spacing w:after="0" w:before="20" w:line="276"/>
      </w:pPr>
      <w:r>
        <w:rPr>
          <w:rFonts w:ascii="IBM Plex Mono" w:cs="IBM Plex Mono" w:eastAsia="IBM Plex Mono" w:hAnsi="IBM Plex Mono"/>
          <w:b/>
          <w:bCs/>
          <w:i w:val="false"/>
          <w:iCs w:val="false"/>
          <w:color w:val="C4A55E"/>
          <w:sz w:val="19"/>
          <w:szCs w:val="19"/>
        </w:rPr>
        <w:t xml:space="preserve">press@vertu.com</w:t>
      </w:r>
    </w:p>
    <w:p>
      <w:r>
        <w:br w:type="page"/>
      </w:r>
    </w:p>
    <w:p>
      <w:pPr>
        <w:pStyle w:val="Heading1"/>
        <w:spacing w:after="60" w:before="60"/>
      </w:pPr>
      <w:r>
        <w:rPr>
          <w:rFonts w:ascii="Instrument Serif" w:cs="Instrument Serif" w:eastAsia="Instrument Serif" w:hAnsi="Instrument Serif"/>
          <w:b/>
          <w:bCs/>
          <w:i w:val="false"/>
          <w:iCs w:val="false"/>
          <w:color w:val="080808"/>
          <w:sz w:val="28"/>
          <w:szCs w:val="28"/>
        </w:rPr>
        <w:t xml:space="preserve">Partner Release Sheet</w:t>
      </w:r>
    </w:p>
    <w:p>
      <w:pPr>
        <w:pBdr>
          <w:bottom w:val="single" w:color="D4B978" w:sz="6" w:space="6"/>
        </w:pBdr>
        <w:spacing w:after="160" w:before="60"/>
      </w:pPr>
    </w:p>
    <w:p>
      <w:pPr>
        <w:spacing w:after="40" w:before="6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80808"/>
          <w:sz w:val="24"/>
          <w:szCs w:val="24"/>
        </w:rPr>
        <w:t xml:space="preserve">[Campaign title]</w:t>
      </w:r>
    </w:p>
    <w:p>
      <w:pPr>
        <w:spacing w:after="80" w:before="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[Opening paragraph: audience, objective, and priority.]</w:t>
      </w:r>
    </w:p>
    <w:p>
      <w:pPr>
        <w:pBdr>
          <w:bottom w:val="single" w:color="B5AFA7" w:sz="2" w:space="4"/>
        </w:pBdr>
        <w:spacing w:after="120" w:before="40"/>
      </w:pPr>
    </w:p>
    <w:p>
      <w:pPr>
        <w:spacing w:after="20" w:before="10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80808"/>
          <w:sz w:val="23"/>
          <w:szCs w:val="23"/>
        </w:rPr>
        <w:t xml:space="preserve">[Section 1]</w:t>
      </w:r>
    </w:p>
    <w:p>
      <w:pPr>
        <w:spacing w:after="60" w:before="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[Add campaign notes and partner commitments here.]</w:t>
      </w:r>
    </w:p>
    <w:p>
      <w:pPr>
        <w:spacing w:after="20" w:before="100" w:line="276"/>
      </w:pPr>
      <w:r>
        <w:rPr>
          <w:rFonts w:ascii="DM Sans" w:cs="DM Sans" w:eastAsia="DM Sans" w:hAnsi="DM Sans"/>
          <w:b/>
          <w:bCs/>
          <w:i w:val="false"/>
          <w:iCs w:val="false"/>
          <w:color w:val="080808"/>
          <w:sz w:val="23"/>
          <w:szCs w:val="23"/>
        </w:rPr>
        <w:t xml:space="preserve">[Section 2]</w:t>
      </w:r>
    </w:p>
    <w:p>
      <w:pPr>
        <w:spacing w:after="60" w:before="20" w:line="276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816"/>
          <w:sz w:val="22"/>
          <w:szCs w:val="22"/>
        </w:rPr>
        <w:t xml:space="preserve">[Add proof points, dates, and final actions here.]</w:t>
      </w:r>
    </w:p>
    <w:p>
      <w:pPr>
        <w:pBdr>
          <w:bottom w:val="single" w:color="B5AFA7" w:sz="2" w:space="4"/>
        </w:pBdr>
        <w:spacing w:after="120" w:before="40"/>
      </w:pPr>
    </w:p>
    <w:p>
      <w:pPr>
        <w:spacing w:after="0" w:before="140" w:line="276"/>
      </w:pPr>
      <w:r>
        <w:rPr>
          <w:rFonts w:ascii="DM Sans" w:cs="DM Sans" w:eastAsia="DM Sans" w:hAnsi="DM Sans"/>
          <w:b w:val="false"/>
          <w:bCs w:val="false"/>
          <w:i/>
          <w:iCs/>
          <w:color w:val="C4A55E"/>
          <w:sz w:val="21"/>
          <w:szCs w:val="21"/>
        </w:rPr>
        <w:t xml:space="preserve">[Remove all placeholder brackets before publication.]</w:t>
      </w:r>
    </w:p>
    <w:sectPr>
      <w:headerReference w:type="default" r:id="rId7"/>
      <w:footerReference w:type="default" r:id="rId8"/>
      <w:pgSz w:w="11906" w:h="16838" w:orient="portrait"/>
      <w:pgMar w:top="1440" w:right="1224" w:bottom="1224" w:left="1224" w:header="708" w:footer="708" w:gutter="0"/>
      <w:pgBorders>
        <w:top w:val="single" w:color="D4B978" w:sz="10" w:space="24"/>
        <w:bottom w:val="single" w:color="C4A55E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978" w:sz="4" w:space="8"/>
      </w:pBdr>
      <w:spacing w:before="60"/>
      <w:jc w:val="right"/>
    </w:pPr>
    <w:r>
      <w:rPr>
        <w:rFonts w:ascii="IBM Plex Mono" w:cs="IBM Plex Mono" w:eastAsia="IBM Plex Mono" w:hAnsi="IBM Plex Mono"/>
        <w:b/>
        <w:bCs/>
        <w:i w:val="false"/>
        <w:iCs w:val="false"/>
        <w:color w:val="D4B978"/>
        <w:sz w:val="15"/>
        <w:szCs w:val="15"/>
      </w:rPr>
      <w:t xml:space="preserve">https://www.vertu.com</w:t>
    </w:r>
    <w:r>
      <w:rPr>
        <w:rFonts w:ascii="IBM Plex Mono" w:cs="IBM Plex Mono" w:eastAsia="IBM Plex Mono" w:hAnsi="IBM Plex Mono"/>
        <w:b w:val="false"/>
        <w:bCs w:val="false"/>
        <w:i w:val="false"/>
        <w:iCs w:val="false"/>
        <w:color w:val="B5AFA7"/>
        <w:sz w:val="15"/>
        <w:szCs w:val="15"/>
      </w:rPr>
      <w:t xml:space="preserve">  ·  </w:t>
    </w:r>
    <w:r>
      <w:rPr>
        <w:rFonts w:ascii="IBM Plex Mono" w:cs="IBM Plex Mono" w:eastAsia="IBM Plex Mono" w:hAnsi="IBM Plex Mono"/>
        <w:b w:val="false"/>
        <w:bCs w:val="false"/>
        <w:i w:val="false"/>
        <w:iCs w:val="false"/>
        <w:color w:val="8A847C"/>
        <w:sz w:val="15"/>
        <w:szCs w:val="15"/>
      </w:rPr>
      <w:t xml:space="preserve">press@vertu.com</w:t>
    </w:r>
    <w:r>
      <w:rPr>
        <w:rFonts w:ascii="IBM Plex Mono" w:cs="IBM Plex Mono" w:eastAsia="IBM Plex Mono" w:hAnsi="IBM Plex Mono"/>
        <w:b w:val="false"/>
        <w:bCs w:val="false"/>
        <w:i w:val="false"/>
        <w:iCs w:val="false"/>
        <w:color w:val="B5AFA7"/>
        <w:sz w:val="15"/>
        <w:szCs w:val="15"/>
      </w:rPr>
      <w:t xml:space="preserve">  ·  Page </w:t>
    </w:r>
    <w:r>
      <w:rPr>
        <w:rFonts w:ascii="IBM Plex Mono" w:cs="IBM Plex Mono" w:eastAsia="IBM Plex Mono" w:hAnsi="IBM Plex Mono"/>
        <w:color w:val="8A84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978" w:sz="6" w:space="8"/>
      </w:pBdr>
      <w:spacing w:after="140"/>
      <w:jc w:val="left"/>
    </w:pPr>
    <w:r>
      <w:drawing>
        <wp:inline distT="0" distB="0" distL="0" distR="0">
          <wp:extent cx="9144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 w:val="false"/>
        <w:bCs w:val="false"/>
        <w:i w:val="false"/>
        <w:iCs w:val="false"/>
        <w:color w:val="D4B978"/>
        <w:sz w:val="18"/>
        <w:szCs w:val="18"/>
      </w:rPr>
      <w:t xml:space="preserve">   ·   </w:t>
    </w:r>
    <w:r>
      <w:rPr>
        <w:rFonts w:ascii="IBM Plex Mono" w:cs="IBM Plex Mono" w:eastAsia="IBM Plex Mono" w:hAnsi="IBM Plex Mono"/>
        <w:b w:val="false"/>
        <w:bCs w:val="false"/>
        <w:i w:val="false"/>
        <w:iCs w:val="false"/>
        <w:color w:val="8A847C"/>
        <w:sz w:val="15"/>
        <w:szCs w:val="15"/>
      </w:rPr>
      <w:t xml:space="preserve">VERTU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b4cb74591e21892490b2bd721e1717859391f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VERTU Letterhead v4.0</dc:title>
  <dc:creator>VERTU Limited</dc:creator>
  <dc:description>VERTU premium letterhead template.</dc:description>
  <cp:lastModifiedBy>Un-named</cp:lastModifiedBy>
  <cp:revision>1</cp:revision>
  <dcterms:created xsi:type="dcterms:W3CDTF">2026-03-06T16:47:36.438Z</dcterms:created>
  <dcterms:modified xsi:type="dcterms:W3CDTF">2026-03-06T16:47:36.438Z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