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"/>
      </w:pPr>
    </w:p>
    <w:p>
      <w:pPr>
        <w:pStyle w:val="Title"/>
        <w:spacing w:after="40" w:before="0"/>
      </w:pPr>
      <w:r>
        <w:rPr>
          <w:rFonts w:ascii="Instrument Serif" w:cs="Instrument Serif" w:eastAsia="Instrument Serif" w:hAnsi="Instrument Serif"/>
          <w:b/>
          <w:bCs/>
          <w:i w:val="false"/>
          <w:iCs w:val="false"/>
          <w:color w:val="080808"/>
          <w:sz w:val="72"/>
          <w:szCs w:val="72"/>
        </w:rPr>
        <w:t xml:space="preserve">VERTU</w:t>
      </w:r>
    </w:p>
    <w:p>
      <w:pPr>
        <w:pBdr>
          <w:bottom w:val="single" w:color="D4B978" w:sz="6" w:space="6"/>
        </w:pBdr>
        <w:spacing w:after="160" w:before="60"/>
      </w:pPr>
    </w:p>
    <w:p>
      <w:pPr>
        <w:spacing w:after="60" w:before="20" w:line="276"/>
      </w:pPr>
      <w:r>
        <w:rPr>
          <w:rFonts w:ascii="Instrument Serif" w:cs="Instrument Serif" w:eastAsia="Instrument Serif" w:hAnsi="Instrument Serif"/>
          <w:b/>
          <w:bCs/>
          <w:i w:val="false"/>
          <w:iCs w:val="false"/>
          <w:color w:val="1A1816"/>
          <w:sz w:val="38"/>
          <w:szCs w:val="38"/>
        </w:rPr>
        <w:t xml:space="preserve">Letterhead Template</w:t>
      </w:r>
    </w:p>
    <w:p>
      <w:pPr>
        <w:spacing w:after="240" w:before="0" w:line="276"/>
      </w:pPr>
      <w:r>
        <w:rPr>
          <w:rFonts w:ascii="Instrument Serif" w:cs="Instrument Serif" w:eastAsia="Instrument Serif" w:hAnsi="Instrument Serif"/>
          <w:b w:val="false"/>
          <w:bCs w:val="false"/>
          <w:i/>
          <w:iCs/>
          <w:color w:val="C4A55E"/>
          <w:sz w:val="22"/>
          <w:szCs w:val="22"/>
        </w:rPr>
        <w:t xml:space="preserve">Crafted Beyond Measure</w:t>
      </w:r>
    </w:p>
    <w:p>
      <w:pPr>
        <w:spacing w:after="60" w:before="60" w:line="30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816"/>
          <w:sz w:val="22"/>
          <w:szCs w:val="22"/>
        </w:rPr>
        <w:t xml:space="preserve">The VERTU Letterhead template is built for partner-facing materials requiring a premium editorial tone.</w:t>
      </w:r>
    </w:p>
    <w:p>
      <w:pPr>
        <w:spacing w:after="60" w:before="40" w:line="30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816"/>
          <w:sz w:val="22"/>
          <w:szCs w:val="22"/>
        </w:rPr>
        <w:t xml:space="preserve">Use this file as a working production shell. Keep content concise, proofed, and approved before circulation.</w:t>
      </w:r>
    </w:p>
    <w:p>
      <w:pPr>
        <w:spacing w:after="100" w:before="40" w:line="30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816"/>
          <w:sz w:val="22"/>
          <w:szCs w:val="22"/>
        </w:rPr>
        <w:t xml:space="preserve">Spacing and hierarchy should remain unchanged unless legal or regulatory needs require annotations.</w:t>
      </w:r>
    </w:p>
    <w:p>
      <w:pPr>
        <w:pBdr>
          <w:bottom w:val="single" w:color="B5AFA7" w:sz="2" w:space="4"/>
        </w:pBdr>
        <w:spacing w:after="120" w:before="40"/>
      </w:pPr>
    </w:p>
    <w:p>
      <w:pPr>
        <w:spacing w:after="40" w:before="80" w:line="276"/>
      </w:pPr>
      <w:r>
        <w:rPr>
          <w:rFonts w:ascii="IBM Plex Mono" w:cs="IBM Plex Mono" w:eastAsia="IBM Plex Mono" w:hAnsi="IBM Plex Mono"/>
          <w:b w:val="false"/>
          <w:bCs w:val="false"/>
          <w:i w:val="false"/>
          <w:iCs w:val="false"/>
          <w:color w:val="8A847C"/>
          <w:sz w:val="19"/>
          <w:szCs w:val="19"/>
        </w:rPr>
        <w:t xml:space="preserve">Prepared for: VERTU Limited</w:t>
      </w:r>
    </w:p>
    <w:p>
      <w:pPr>
        <w:pBdr>
          <w:bottom w:val="single" w:color="D4B978" w:sz="6" w:space="6"/>
        </w:pBdr>
        <w:spacing w:after="160" w:before="60"/>
      </w:pPr>
    </w:p>
    <w:p>
      <w:pPr>
        <w:pStyle w:val="Heading1"/>
        <w:spacing w:after="100" w:before="40"/>
      </w:pPr>
      <w:r>
        <w:rPr>
          <w:rFonts w:ascii="Instrument Serif" w:cs="Instrument Serif" w:eastAsia="Instrument Serif" w:hAnsi="Instrument Serif"/>
          <w:b/>
          <w:bCs/>
          <w:i w:val="false"/>
          <w:iCs w:val="false"/>
          <w:color w:val="080808"/>
          <w:sz w:val="26"/>
          <w:szCs w:val="26"/>
        </w:rPr>
        <w:t xml:space="preserve">Template Metadata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8%"/>
            <w:shd w:fill="08080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76"/>
            </w:pPr>
            <w:r>
              <w:rPr>
                <w:rFonts w:ascii="IBM Plex Mono" w:cs="IBM Plex Mono" w:eastAsia="IBM Plex Mono" w:hAnsi="IBM Plex Mono"/>
                <w:b/>
                <w:bCs/>
                <w:i w:val="false"/>
                <w:iCs w:val="false"/>
                <w:color w:val="D4B978"/>
                <w:sz w:val="19"/>
                <w:szCs w:val="19"/>
              </w:rPr>
              <w:t xml:space="preserve">Field</w:t>
            </w:r>
          </w:p>
        </w:tc>
        <w:tc>
          <w:tcPr>
            <w:tcW w:type="pct" w:w="72%"/>
            <w:shd w:fill="080808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76"/>
            </w:pPr>
            <w:r>
              <w:rPr>
                <w:rFonts w:ascii="IBM Plex Mono" w:cs="IBM Plex Mono" w:eastAsia="IBM Plex Mono" w:hAnsi="IBM Plex Mono"/>
                <w:b/>
                <w:bCs/>
                <w:i w:val="false"/>
                <w:iCs w:val="false"/>
                <w:color w:val="D4B978"/>
                <w:sz w:val="19"/>
                <w:szCs w:val="19"/>
              </w:rPr>
              <w:t xml:space="preserve">Guidance</w:t>
            </w:r>
          </w:p>
        </w:tc>
      </w:tr>
      <w:tr>
        <w:tc>
          <w:tcPr>
            <w:tcBorders>
              <w:bottom w:val="single" w:color="B5AFA7" w:sz="1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76"/>
            </w:pPr>
            <w:r>
              <w:rPr>
                <w:rFonts w:ascii="IBM Plex Mono" w:cs="IBM Plex Mono" w:eastAsia="IBM Plex Mono" w:hAnsi="IBM Plex Mono"/>
                <w:b/>
                <w:bCs/>
                <w:i w:val="false"/>
                <w:iCs w:val="false"/>
                <w:color w:val="080808"/>
                <w:sz w:val="19"/>
                <w:szCs w:val="19"/>
              </w:rPr>
              <w:t xml:space="preserve">Document Title</w:t>
            </w:r>
          </w:p>
        </w:tc>
        <w:tc>
          <w:tcPr>
            <w:tcBorders>
              <w:bottom w:val="single" w:color="B5AFA7" w:sz="1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76"/>
            </w:pPr>
            <w:r>
              <w:rPr>
                <w:rFonts w:ascii="DM Sans" w:cs="DM Sans" w:eastAsia="DM Sans" w:hAnsi="DM Sans"/>
                <w:b w:val="false"/>
                <w:bCs w:val="false"/>
                <w:i w:val="false"/>
                <w:iCs w:val="false"/>
                <w:color w:val="1A1816"/>
                <w:sz w:val="20"/>
                <w:szCs w:val="20"/>
              </w:rPr>
              <w:t xml:space="preserve">Sentence case with VERTU as the owning brand.</w:t>
            </w:r>
          </w:p>
        </w:tc>
      </w:tr>
      <w:tr>
        <w:tc>
          <w:tcPr>
            <w:tcBorders>
              <w:bottom w:val="single" w:color="B5AFA7" w:sz="1"/>
            </w:tcBorders>
            <w:shd w:fill="FAF7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76"/>
            </w:pPr>
            <w:r>
              <w:rPr>
                <w:rFonts w:ascii="IBM Plex Mono" w:cs="IBM Plex Mono" w:eastAsia="IBM Plex Mono" w:hAnsi="IBM Plex Mono"/>
                <w:b/>
                <w:bCs/>
                <w:i w:val="false"/>
                <w:iCs w:val="false"/>
                <w:color w:val="080808"/>
                <w:sz w:val="19"/>
                <w:szCs w:val="19"/>
              </w:rPr>
              <w:t xml:space="preserve">Reference Code</w:t>
            </w:r>
          </w:p>
        </w:tc>
        <w:tc>
          <w:tcPr>
            <w:tcBorders>
              <w:bottom w:val="single" w:color="B5AFA7" w:sz="1"/>
            </w:tcBorders>
            <w:shd w:fill="FAF7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76"/>
            </w:pPr>
            <w:r>
              <w:rPr>
                <w:rFonts w:ascii="DM Sans" w:cs="DM Sans" w:eastAsia="DM Sans" w:hAnsi="DM Sans"/>
                <w:b w:val="false"/>
                <w:bCs w:val="false"/>
                <w:i w:val="false"/>
                <w:iCs w:val="false"/>
                <w:color w:val="1A1816"/>
                <w:sz w:val="20"/>
                <w:szCs w:val="20"/>
              </w:rPr>
              <w:t xml:space="preserve">Timestamped reference, e.g. VERTU-BRIEF-0001.</w:t>
            </w:r>
          </w:p>
        </w:tc>
      </w:tr>
      <w:tr>
        <w:tc>
          <w:tcPr>
            <w:tcBorders>
              <w:bottom w:val="single" w:color="B5AFA7" w:sz="1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76"/>
            </w:pPr>
            <w:r>
              <w:rPr>
                <w:rFonts w:ascii="IBM Plex Mono" w:cs="IBM Plex Mono" w:eastAsia="IBM Plex Mono" w:hAnsi="IBM Plex Mono"/>
                <w:b/>
                <w:bCs/>
                <w:i w:val="false"/>
                <w:iCs w:val="false"/>
                <w:color w:val="080808"/>
                <w:sz w:val="19"/>
                <w:szCs w:val="19"/>
              </w:rPr>
              <w:t xml:space="preserve">Date</w:t>
            </w:r>
          </w:p>
        </w:tc>
        <w:tc>
          <w:tcPr>
            <w:tcBorders>
              <w:bottom w:val="single" w:color="B5AFA7" w:sz="1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76"/>
            </w:pPr>
            <w:r>
              <w:rPr>
                <w:rFonts w:ascii="DM Sans" w:cs="DM Sans" w:eastAsia="DM Sans" w:hAnsi="DM Sans"/>
                <w:b w:val="false"/>
                <w:bCs w:val="false"/>
                <w:i w:val="false"/>
                <w:iCs w:val="false"/>
                <w:color w:val="1A1816"/>
                <w:sz w:val="20"/>
                <w:szCs w:val="20"/>
              </w:rPr>
              <w:t xml:space="preserve">Issue date in YYYY-MM-DD format.</w:t>
            </w:r>
          </w:p>
        </w:tc>
      </w:tr>
      <w:tr>
        <w:tc>
          <w:tcPr>
            <w:tcBorders>
              <w:bottom w:val="single" w:color="B5AFA7" w:sz="1"/>
            </w:tcBorders>
            <w:shd w:fill="FAF7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76"/>
            </w:pPr>
            <w:r>
              <w:rPr>
                <w:rFonts w:ascii="IBM Plex Mono" w:cs="IBM Plex Mono" w:eastAsia="IBM Plex Mono" w:hAnsi="IBM Plex Mono"/>
                <w:b/>
                <w:bCs/>
                <w:i w:val="false"/>
                <w:iCs w:val="false"/>
                <w:color w:val="080808"/>
                <w:sz w:val="19"/>
                <w:szCs w:val="19"/>
              </w:rPr>
              <w:t xml:space="preserve">Approvals</w:t>
            </w:r>
          </w:p>
        </w:tc>
        <w:tc>
          <w:tcPr>
            <w:tcBorders>
              <w:bottom w:val="single" w:color="B5AFA7" w:sz="1"/>
            </w:tcBorders>
            <w:shd w:fill="FAF7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76"/>
            </w:pPr>
            <w:r>
              <w:rPr>
                <w:rFonts w:ascii="DM Sans" w:cs="DM Sans" w:eastAsia="DM Sans" w:hAnsi="DM Sans"/>
                <w:b w:val="false"/>
                <w:bCs w:val="false"/>
                <w:i w:val="false"/>
                <w:iCs w:val="false"/>
                <w:color w:val="1A1816"/>
                <w:sz w:val="20"/>
                <w:szCs w:val="20"/>
              </w:rPr>
              <w:t xml:space="preserve">Brand and legal approvers where claims exist.</w:t>
            </w:r>
          </w:p>
        </w:tc>
      </w:tr>
      <w:tr>
        <w:tc>
          <w:tcPr>
            <w:tcBorders>
              <w:bottom w:val="single" w:color="B5AFA7" w:sz="1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76"/>
            </w:pPr>
            <w:r>
              <w:rPr>
                <w:rFonts w:ascii="IBM Plex Mono" w:cs="IBM Plex Mono" w:eastAsia="IBM Plex Mono" w:hAnsi="IBM Plex Mono"/>
                <w:b/>
                <w:bCs/>
                <w:i w:val="false"/>
                <w:iCs w:val="false"/>
                <w:color w:val="080808"/>
                <w:sz w:val="19"/>
                <w:szCs w:val="19"/>
              </w:rPr>
              <w:t xml:space="preserve">Region</w:t>
            </w:r>
          </w:p>
        </w:tc>
        <w:tc>
          <w:tcPr>
            <w:tcBorders>
              <w:bottom w:val="single" w:color="B5AFA7" w:sz="1"/>
            </w:tcBorders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line="276"/>
            </w:pPr>
            <w:r>
              <w:rPr>
                <w:rFonts w:ascii="DM Sans" w:cs="DM Sans" w:eastAsia="DM Sans" w:hAnsi="DM Sans"/>
                <w:b w:val="false"/>
                <w:bCs w:val="false"/>
                <w:i w:val="false"/>
                <w:iCs w:val="false"/>
                <w:color w:val="1A1816"/>
                <w:sz w:val="20"/>
                <w:szCs w:val="20"/>
              </w:rPr>
              <w:t xml:space="preserve">Locale and language variant for final circulation.</w:t>
            </w:r>
          </w:p>
        </w:tc>
      </w:tr>
    </w:tbl>
    <w:p>
      <w:pPr>
        <w:pBdr>
          <w:bottom w:val="single" w:color="D4B978" w:sz="6" w:space="6"/>
        </w:pBdr>
        <w:spacing w:after="160" w:before="60"/>
      </w:pPr>
    </w:p>
    <w:p>
      <w:pPr>
        <w:pStyle w:val="Heading1"/>
        <w:spacing w:after="80" w:before="60"/>
      </w:pPr>
      <w:r>
        <w:rPr>
          <w:rFonts w:ascii="Instrument Serif" w:cs="Instrument Serif" w:eastAsia="Instrument Serif" w:hAnsi="Instrument Serif"/>
          <w:b/>
          <w:bCs/>
          <w:i w:val="false"/>
          <w:iCs w:val="false"/>
          <w:color w:val="080808"/>
          <w:sz w:val="26"/>
          <w:szCs w:val="26"/>
        </w:rPr>
        <w:t xml:space="preserve">Production Notes</w:t>
      </w:r>
    </w:p>
    <w:p>
      <w:pPr>
        <w:spacing w:after="60" w:before="60" w:line="276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816"/>
          <w:sz w:val="22"/>
          <w:szCs w:val="22"/>
        </w:rPr>
        <w:t xml:space="preserve">Use this letterhead for partner proposals, campaign briefs, and premium correspondence.</w:t>
      </w:r>
    </w:p>
    <w:p>
      <w:pPr>
        <w:spacing w:after="40" w:before="100" w:line="276"/>
      </w:pPr>
      <w:r>
        <w:rPr>
          <w:rFonts w:ascii="IBM Plex Mono" w:cs="IBM Plex Mono" w:eastAsia="IBM Plex Mono" w:hAnsi="IBM Plex Mono"/>
          <w:b/>
          <w:bCs/>
          <w:i w:val="false"/>
          <w:iCs w:val="false"/>
          <w:color w:val="080808"/>
          <w:sz w:val="20"/>
          <w:szCs w:val="20"/>
        </w:rPr>
        <w:t xml:space="preserve">Core Requirements</w:t>
      </w:r>
    </w:p>
    <w:p>
      <w:pPr>
        <w:spacing w:after="30" w:before="30" w:line="264"/>
      </w:pPr>
      <w:r>
        <w:rPr>
          <w:rFonts w:ascii="IBM Plex Mono" w:cs="IBM Plex Mono" w:eastAsia="IBM Plex Mono" w:hAnsi="IBM Plex Mono"/>
          <w:b w:val="false"/>
          <w:bCs w:val="false"/>
          <w:i w:val="false"/>
          <w:iCs w:val="false"/>
          <w:color w:val="D4B978"/>
          <w:sz w:val="20"/>
          <w:szCs w:val="20"/>
        </w:rPr>
        <w:t xml:space="preserve">• 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816"/>
          <w:sz w:val="21"/>
          <w:szCs w:val="21"/>
        </w:rPr>
        <w:t xml:space="preserve">Use approved logos and media only.</w:t>
      </w:r>
    </w:p>
    <w:p>
      <w:pPr>
        <w:spacing w:after="30" w:before="30" w:line="264"/>
      </w:pPr>
      <w:r>
        <w:rPr>
          <w:rFonts w:ascii="IBM Plex Mono" w:cs="IBM Plex Mono" w:eastAsia="IBM Plex Mono" w:hAnsi="IBM Plex Mono"/>
          <w:b w:val="false"/>
          <w:bCs w:val="false"/>
          <w:i w:val="false"/>
          <w:iCs w:val="false"/>
          <w:color w:val="D4B978"/>
          <w:sz w:val="20"/>
          <w:szCs w:val="20"/>
        </w:rPr>
        <w:t xml:space="preserve">• 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816"/>
          <w:sz w:val="21"/>
          <w:szCs w:val="21"/>
        </w:rPr>
        <w:t xml:space="preserve">Preserve spacing: section headline, body statement, action notes.</w:t>
      </w:r>
    </w:p>
    <w:p>
      <w:pPr>
        <w:spacing w:after="30" w:before="30" w:line="264"/>
      </w:pPr>
      <w:r>
        <w:rPr>
          <w:rFonts w:ascii="IBM Plex Mono" w:cs="IBM Plex Mono" w:eastAsia="IBM Plex Mono" w:hAnsi="IBM Plex Mono"/>
          <w:b w:val="false"/>
          <w:bCs w:val="false"/>
          <w:i w:val="false"/>
          <w:iCs w:val="false"/>
          <w:color w:val="D4B978"/>
          <w:sz w:val="20"/>
          <w:szCs w:val="20"/>
        </w:rPr>
        <w:t xml:space="preserve">• 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816"/>
          <w:sz w:val="21"/>
          <w:szCs w:val="21"/>
        </w:rPr>
        <w:t xml:space="preserve">Use title case for short labels; keep paragraphs concise.</w:t>
      </w:r>
    </w:p>
    <w:p>
      <w:pPr>
        <w:spacing w:after="30" w:before="30" w:line="264"/>
      </w:pPr>
      <w:r>
        <w:rPr>
          <w:rFonts w:ascii="IBM Plex Mono" w:cs="IBM Plex Mono" w:eastAsia="IBM Plex Mono" w:hAnsi="IBM Plex Mono"/>
          <w:b w:val="false"/>
          <w:bCs w:val="false"/>
          <w:i w:val="false"/>
          <w:iCs w:val="false"/>
          <w:color w:val="D4B978"/>
          <w:sz w:val="20"/>
          <w:szCs w:val="20"/>
        </w:rPr>
        <w:t xml:space="preserve">• 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816"/>
          <w:sz w:val="21"/>
          <w:szCs w:val="21"/>
        </w:rPr>
        <w:t xml:space="preserve">Route legal claims through approved review channels.</w:t>
      </w:r>
    </w:p>
    <w:p>
      <w:r>
        <w:br w:type="page"/>
      </w:r>
    </w:p>
    <w:p>
      <w:pPr>
        <w:pStyle w:val="Heading1"/>
        <w:spacing w:after="80" w:before="60"/>
      </w:pPr>
      <w:r>
        <w:rPr>
          <w:rFonts w:ascii="Instrument Serif" w:cs="Instrument Serif" w:eastAsia="Instrument Serif" w:hAnsi="Instrument Serif"/>
          <w:b/>
          <w:bCs/>
          <w:i w:val="false"/>
          <w:iCs w:val="false"/>
          <w:color w:val="080808"/>
          <w:sz w:val="28"/>
          <w:szCs w:val="28"/>
        </w:rPr>
        <w:t xml:space="preserve">Approval Gate</w:t>
      </w:r>
    </w:p>
    <w:p>
      <w:pPr>
        <w:pBdr>
          <w:bottom w:val="single" w:color="D4B978" w:sz="6" w:space="6"/>
        </w:pBdr>
        <w:spacing w:after="160" w:before="60"/>
      </w:pPr>
    </w:p>
    <w:p>
      <w:pPr>
        <w:spacing w:after="80" w:before="40" w:line="276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816"/>
          <w:sz w:val="22"/>
          <w:szCs w:val="22"/>
        </w:rPr>
        <w:t xml:space="preserve">Confirm all checkpoints before circulation.</w:t>
      </w:r>
    </w:p>
    <w:p>
      <w:pPr>
        <w:spacing w:after="40" w:before="40" w:line="264"/>
      </w:pPr>
      <w:r>
        <w:rPr>
          <w:rFonts w:ascii="IBM Plex Mono" w:cs="IBM Plex Mono" w:eastAsia="IBM Plex Mono" w:hAnsi="IBM Plex Mono"/>
          <w:b w:val="false"/>
          <w:bCs w:val="false"/>
          <w:i w:val="false"/>
          <w:iCs w:val="false"/>
          <w:color w:val="D4B978"/>
          <w:sz w:val="24"/>
          <w:szCs w:val="24"/>
        </w:rPr>
        <w:t xml:space="preserve">☐ 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816"/>
          <w:sz w:val="21"/>
          <w:szCs w:val="21"/>
        </w:rPr>
        <w:t xml:space="preserve">Brand tone and claims reviewed</w:t>
      </w:r>
    </w:p>
    <w:p>
      <w:pPr>
        <w:spacing w:after="40" w:before="40" w:line="264"/>
      </w:pPr>
      <w:r>
        <w:rPr>
          <w:rFonts w:ascii="IBM Plex Mono" w:cs="IBM Plex Mono" w:eastAsia="IBM Plex Mono" w:hAnsi="IBM Plex Mono"/>
          <w:b w:val="false"/>
          <w:bCs w:val="false"/>
          <w:i w:val="false"/>
          <w:iCs w:val="false"/>
          <w:color w:val="D4B978"/>
          <w:sz w:val="24"/>
          <w:szCs w:val="24"/>
        </w:rPr>
        <w:t xml:space="preserve">☐ 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816"/>
          <w:sz w:val="21"/>
          <w:szCs w:val="21"/>
        </w:rPr>
        <w:t xml:space="preserve">Legal implications reviewed</w:t>
      </w:r>
    </w:p>
    <w:p>
      <w:pPr>
        <w:spacing w:after="40" w:before="40" w:line="264"/>
      </w:pPr>
      <w:r>
        <w:rPr>
          <w:rFonts w:ascii="IBM Plex Mono" w:cs="IBM Plex Mono" w:eastAsia="IBM Plex Mono" w:hAnsi="IBM Plex Mono"/>
          <w:b w:val="false"/>
          <w:bCs w:val="false"/>
          <w:i w:val="false"/>
          <w:iCs w:val="false"/>
          <w:color w:val="D4B978"/>
          <w:sz w:val="24"/>
          <w:szCs w:val="24"/>
        </w:rPr>
        <w:t xml:space="preserve">☐ 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816"/>
          <w:sz w:val="21"/>
          <w:szCs w:val="21"/>
        </w:rPr>
        <w:t xml:space="preserve">Localization and jurisdiction confirmed</w:t>
      </w:r>
    </w:p>
    <w:p>
      <w:pPr>
        <w:spacing w:after="40" w:before="40" w:line="264"/>
      </w:pPr>
      <w:r>
        <w:rPr>
          <w:rFonts w:ascii="IBM Plex Mono" w:cs="IBM Plex Mono" w:eastAsia="IBM Plex Mono" w:hAnsi="IBM Plex Mono"/>
          <w:b w:val="false"/>
          <w:bCs w:val="false"/>
          <w:i w:val="false"/>
          <w:iCs w:val="false"/>
          <w:color w:val="D4B978"/>
          <w:sz w:val="24"/>
          <w:szCs w:val="24"/>
        </w:rPr>
        <w:t xml:space="preserve">☐ 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816"/>
          <w:sz w:val="21"/>
          <w:szCs w:val="21"/>
        </w:rPr>
        <w:t xml:space="preserve">Visuals pass contrast and metadata checks</w:t>
      </w:r>
    </w:p>
    <w:p>
      <w:pPr>
        <w:pBdr>
          <w:bottom w:val="single" w:color="B5AFA7" w:sz="2" w:space="4"/>
        </w:pBdr>
        <w:spacing w:after="120" w:before="40"/>
      </w:pPr>
    </w:p>
    <w:p>
      <w:pPr>
        <w:spacing w:after="20" w:before="80" w:line="276"/>
      </w:pPr>
      <w:r>
        <w:rPr>
          <w:rFonts w:ascii="IBM Plex Mono" w:cs="IBM Plex Mono" w:eastAsia="IBM Plex Mono" w:hAnsi="IBM Plex Mono"/>
          <w:b w:val="false"/>
          <w:bCs w:val="false"/>
          <w:i w:val="false"/>
          <w:iCs w:val="false"/>
          <w:color w:val="8A847C"/>
          <w:sz w:val="19"/>
          <w:szCs w:val="19"/>
        </w:rPr>
        <w:t xml:space="preserve">Prepared for: VERTU Limited</w:t>
      </w:r>
    </w:p>
    <w:p>
      <w:pPr>
        <w:spacing w:after="0" w:before="20" w:line="276"/>
      </w:pPr>
      <w:r>
        <w:rPr>
          <w:rFonts w:ascii="IBM Plex Mono" w:cs="IBM Plex Mono" w:eastAsia="IBM Plex Mono" w:hAnsi="IBM Plex Mono"/>
          <w:b/>
          <w:bCs/>
          <w:i w:val="false"/>
          <w:iCs w:val="false"/>
          <w:color w:val="C4A55E"/>
          <w:sz w:val="19"/>
          <w:szCs w:val="19"/>
        </w:rPr>
        <w:t xml:space="preserve">press@vertu.com</w:t>
      </w:r>
    </w:p>
    <w:p>
      <w:r>
        <w:br w:type="page"/>
      </w:r>
    </w:p>
    <w:p>
      <w:pPr>
        <w:pStyle w:val="Heading1"/>
        <w:spacing w:after="60" w:before="60"/>
      </w:pPr>
      <w:r>
        <w:rPr>
          <w:rFonts w:ascii="Instrument Serif" w:cs="Instrument Serif" w:eastAsia="Instrument Serif" w:hAnsi="Instrument Serif"/>
          <w:b/>
          <w:bCs/>
          <w:i w:val="false"/>
          <w:iCs w:val="false"/>
          <w:color w:val="080808"/>
          <w:sz w:val="28"/>
          <w:szCs w:val="28"/>
        </w:rPr>
        <w:t xml:space="preserve">Partner Release Sheet</w:t>
      </w:r>
    </w:p>
    <w:p>
      <w:pPr>
        <w:pBdr>
          <w:bottom w:val="single" w:color="D4B978" w:sz="6" w:space="6"/>
        </w:pBdr>
        <w:spacing w:after="160" w:before="60"/>
      </w:pPr>
    </w:p>
    <w:p>
      <w:pPr>
        <w:spacing w:after="40" w:before="60" w:line="276"/>
      </w:pPr>
      <w:r>
        <w:rPr>
          <w:rFonts w:ascii="DM Sans" w:cs="DM Sans" w:eastAsia="DM Sans" w:hAnsi="DM Sans"/>
          <w:b/>
          <w:bCs/>
          <w:i w:val="false"/>
          <w:iCs w:val="false"/>
          <w:color w:val="080808"/>
          <w:sz w:val="24"/>
          <w:szCs w:val="24"/>
        </w:rPr>
        <w:t xml:space="preserve">[Campaign title]</w:t>
      </w:r>
    </w:p>
    <w:p>
      <w:pPr>
        <w:spacing w:after="80" w:before="20" w:line="276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816"/>
          <w:sz w:val="22"/>
          <w:szCs w:val="22"/>
        </w:rPr>
        <w:t xml:space="preserve">[Opening paragraph: audience, objective, and priority.]</w:t>
      </w:r>
    </w:p>
    <w:p>
      <w:pPr>
        <w:pBdr>
          <w:bottom w:val="single" w:color="B5AFA7" w:sz="2" w:space="4"/>
        </w:pBdr>
        <w:spacing w:after="120" w:before="40"/>
      </w:pPr>
    </w:p>
    <w:p>
      <w:pPr>
        <w:spacing w:after="20" w:before="100" w:line="276"/>
      </w:pPr>
      <w:r>
        <w:rPr>
          <w:rFonts w:ascii="DM Sans" w:cs="DM Sans" w:eastAsia="DM Sans" w:hAnsi="DM Sans"/>
          <w:b/>
          <w:bCs/>
          <w:i w:val="false"/>
          <w:iCs w:val="false"/>
          <w:color w:val="080808"/>
          <w:sz w:val="23"/>
          <w:szCs w:val="23"/>
        </w:rPr>
        <w:t xml:space="preserve">[Section 1]</w:t>
      </w:r>
    </w:p>
    <w:p>
      <w:pPr>
        <w:spacing w:after="60" w:before="20" w:line="276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816"/>
          <w:sz w:val="22"/>
          <w:szCs w:val="22"/>
        </w:rPr>
        <w:t xml:space="preserve">[Add campaign notes and partner commitments here.]</w:t>
      </w:r>
    </w:p>
    <w:p>
      <w:pPr>
        <w:spacing w:after="20" w:before="100" w:line="276"/>
      </w:pPr>
      <w:r>
        <w:rPr>
          <w:rFonts w:ascii="DM Sans" w:cs="DM Sans" w:eastAsia="DM Sans" w:hAnsi="DM Sans"/>
          <w:b/>
          <w:bCs/>
          <w:i w:val="false"/>
          <w:iCs w:val="false"/>
          <w:color w:val="080808"/>
          <w:sz w:val="23"/>
          <w:szCs w:val="23"/>
        </w:rPr>
        <w:t xml:space="preserve">[Section 2]</w:t>
      </w:r>
    </w:p>
    <w:p>
      <w:pPr>
        <w:spacing w:after="60" w:before="20" w:line="276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1A1816"/>
          <w:sz w:val="22"/>
          <w:szCs w:val="22"/>
        </w:rPr>
        <w:t xml:space="preserve">[Add proof points, dates, and final actions here.]</w:t>
      </w:r>
    </w:p>
    <w:p>
      <w:pPr>
        <w:pBdr>
          <w:bottom w:val="single" w:color="B5AFA7" w:sz="2" w:space="4"/>
        </w:pBdr>
        <w:spacing w:after="120" w:before="40"/>
      </w:pPr>
    </w:p>
    <w:p>
      <w:pPr>
        <w:spacing w:after="0" w:before="140" w:line="276"/>
      </w:pPr>
      <w:r>
        <w:rPr>
          <w:rFonts w:ascii="DM Sans" w:cs="DM Sans" w:eastAsia="DM Sans" w:hAnsi="DM Sans"/>
          <w:b w:val="false"/>
          <w:bCs w:val="false"/>
          <w:i/>
          <w:iCs/>
          <w:color w:val="C4A55E"/>
          <w:sz w:val="21"/>
          <w:szCs w:val="21"/>
        </w:rPr>
        <w:t xml:space="preserve">[Remove all placeholder brackets before publication.]</w:t>
      </w:r>
    </w:p>
    <w:sectPr>
      <w:headerReference w:type="default" r:id="rId7"/>
      <w:footerReference w:type="default" r:id="rId8"/>
      <w:pgSz w:w="11906" w:h="16838" w:orient="portrait"/>
      <w:pgMar w:top="1440" w:right="1224" w:bottom="1224" w:left="1224" w:header="708" w:footer="708" w:gutter="0"/>
      <w:pgBorders>
        <w:top w:val="single" w:color="D4B978" w:sz="10" w:space="24"/>
        <w:bottom w:val="single" w:color="C4A55E" w:sz="6" w:space="24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4B978" w:sz="4" w:space="8"/>
      </w:pBdr>
      <w:spacing w:before="60"/>
      <w:jc w:val="right"/>
    </w:pPr>
    <w:r>
      <w:rPr>
        <w:rFonts w:ascii="IBM Plex Mono" w:cs="IBM Plex Mono" w:eastAsia="IBM Plex Mono" w:hAnsi="IBM Plex Mono"/>
        <w:b/>
        <w:bCs/>
        <w:i w:val="false"/>
        <w:iCs w:val="false"/>
        <w:color w:val="D4B978"/>
        <w:sz w:val="15"/>
        <w:szCs w:val="15"/>
      </w:rPr>
      <w:t xml:space="preserve">https://www.vertu.com</w:t>
    </w:r>
    <w:r>
      <w:rPr>
        <w:rFonts w:ascii="IBM Plex Mono" w:cs="IBM Plex Mono" w:eastAsia="IBM Plex Mono" w:hAnsi="IBM Plex Mono"/>
        <w:b w:val="false"/>
        <w:bCs w:val="false"/>
        <w:i w:val="false"/>
        <w:iCs w:val="false"/>
        <w:color w:val="B5AFA7"/>
        <w:sz w:val="15"/>
        <w:szCs w:val="15"/>
      </w:rPr>
      <w:t xml:space="preserve">  ·  </w:t>
    </w:r>
    <w:r>
      <w:rPr>
        <w:rFonts w:ascii="IBM Plex Mono" w:cs="IBM Plex Mono" w:eastAsia="IBM Plex Mono" w:hAnsi="IBM Plex Mono"/>
        <w:b w:val="false"/>
        <w:bCs w:val="false"/>
        <w:i w:val="false"/>
        <w:iCs w:val="false"/>
        <w:color w:val="8A847C"/>
        <w:sz w:val="15"/>
        <w:szCs w:val="15"/>
      </w:rPr>
      <w:t xml:space="preserve">press@vertu.com</w:t>
    </w:r>
    <w:r>
      <w:rPr>
        <w:rFonts w:ascii="IBM Plex Mono" w:cs="IBM Plex Mono" w:eastAsia="IBM Plex Mono" w:hAnsi="IBM Plex Mono"/>
        <w:b w:val="false"/>
        <w:bCs w:val="false"/>
        <w:i w:val="false"/>
        <w:iCs w:val="false"/>
        <w:color w:val="B5AFA7"/>
        <w:sz w:val="15"/>
        <w:szCs w:val="15"/>
      </w:rPr>
      <w:t xml:space="preserve">  ·  Page </w:t>
    </w:r>
    <w:r>
      <w:rPr>
        <w:rFonts w:ascii="IBM Plex Mono" w:cs="IBM Plex Mono" w:eastAsia="IBM Plex Mono" w:hAnsi="IBM Plex Mono"/>
        <w:color w:val="8A847C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4B978" w:sz="6" w:space="8"/>
      </w:pBdr>
      <w:spacing w:after="140"/>
      <w:jc w:val="left"/>
    </w:pPr>
    <w:r>
      <w:drawing>
        <wp:inline distT="0" distB="0" distL="0" distR="0">
          <wp:extent cx="914400" cy="3048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14400" cy="3048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BM Plex Mono" w:cs="IBM Plex Mono" w:eastAsia="IBM Plex Mono" w:hAnsi="IBM Plex Mono"/>
        <w:b w:val="false"/>
        <w:bCs w:val="false"/>
        <w:i w:val="false"/>
        <w:iCs w:val="false"/>
        <w:color w:val="D4B978"/>
        <w:sz w:val="18"/>
        <w:szCs w:val="18"/>
      </w:rPr>
      <w:t xml:space="preserve">   ·   </w:t>
    </w:r>
    <w:r>
      <w:rPr>
        <w:rFonts w:ascii="IBM Plex Mono" w:cs="IBM Plex Mono" w:eastAsia="IBM Plex Mono" w:hAnsi="IBM Plex Mono"/>
        <w:b w:val="false"/>
        <w:bCs w:val="false"/>
        <w:i w:val="false"/>
        <w:iCs w:val="false"/>
        <w:color w:val="8A847C"/>
        <w:sz w:val="15"/>
        <w:szCs w:val="15"/>
      </w:rPr>
      <w:t xml:space="preserve">VERTU Limited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b4cb74591e21892490b2bd721e1717859391f39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VERTU Letterhead v4.0</dc:title>
  <dc:creator>VERTU Limited</dc:creator>
  <dc:description>VERTU premium letterhead template.</dc:description>
  <cp:lastModifiedBy>Un-named</cp:lastModifiedBy>
  <cp:revision>1</cp:revision>
  <dcterms:created xsi:type="dcterms:W3CDTF">2026-03-05T03:28:41.436Z</dcterms:created>
  <dcterms:modified xsi:type="dcterms:W3CDTF">2026-03-05T03:28:41.436Z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