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36"/>
          <w:szCs w:val="36"/>
        </w:rPr>
        <w:t xml:space="preserve">Diversified Multi-Asset Time-Series Momentum</w:t>
      </w:r>
    </w:p>
    <w:p>
      <w:pPr>
        <w:spacing w:after="80" w:before="0"/>
        <w:jc w:val="center"/>
      </w:pPr>
      <w:r>
        <w:rPr>
          <w:rFonts w:ascii="Arial" w:cs="Arial" w:eastAsia="Arial" w:hAnsi="Arial"/>
          <w:i/>
          <w:iCs/>
          <w:color w:val="444444"/>
          <w:sz w:val="26"/>
          <w:szCs w:val="26"/>
        </w:rPr>
        <w:t xml:space="preserve">A Systematic Framework with Volatility Targeting and Drawdown Control</w:t>
      </w:r>
    </w:p>
    <w:p>
      <w:pPr>
        <w:spacing w:after="480" w:before="80"/>
        <w:jc w:val="center"/>
      </w:pPr>
      <w:r>
        <w:rPr>
          <w:rFonts w:ascii="Arial" w:cs="Arial" w:eastAsia="Arial" w:hAnsi="Arial"/>
          <w:color w:val="666666"/>
          <w:sz w:val="22"/>
          <w:szCs w:val="22"/>
        </w:rPr>
        <w:t xml:space="preserve">Vasamreddy Sai Daiwik  •  June 2026</w:t>
      </w:r>
    </w:p>
    <w:p>
      <w:pPr>
        <w:pBdr>
          <w:top w:val="single" w:color="2E5090" w:sz="4"/>
          <w:bottom w:val="single" w:color="2E5090" w:sz="4"/>
          <w:left w:val="single" w:color="2E5090" w:sz="4"/>
          <w:right w:val="single" w:color="2E5090" w:sz="4"/>
        </w:pBdr>
        <w:spacing w:after="160" w:before="160"/>
      </w:pPr>
      <w:r>
        <w:rPr>
          <w:rFonts w:ascii="Arial" w:cs="Arial" w:eastAsia="Arial" w:hAnsi="Arial"/>
          <w:b/>
          <w:bCs/>
          <w:sz w:val="24"/>
          <w:szCs w:val="24"/>
        </w:rPr>
        <w:t xml:space="preserve">Abstract</w:t>
      </w:r>
    </w:p>
    <w:p>
      <w:pPr>
        <w:pBdr>
          <w:bottom w:val="single" w:color="2E5090" w:sz="4"/>
          <w:left w:val="single" w:color="2E5090" w:sz="4"/>
          <w:right w:val="single" w:color="2E5090" w:sz="4"/>
        </w:pBdr>
        <w:spacing w:after="320" w:before="0"/>
      </w:pPr>
      <w:r>
        <w:rPr>
          <w:rFonts w:ascii="Arial" w:cs="Arial" w:eastAsia="Arial" w:hAnsi="Arial"/>
          <w:i/>
          <w:iCs/>
          <w:sz w:val="23"/>
          <w:szCs w:val="23"/>
        </w:rPr>
        <w:t xml:space="preserve">This paper documents the design and evaluation of a systematic trading strategy built on time-series momentum across eight globally liquid asset classes. The core idea is simple: assets that have been trending in one direction tend to keep going in that direction, at least over medium-term horizons. The strategy captures this by measuring trend signals across equities, bonds, commodities, and gold simultaneously, sizing each position in proportion to how stable each asset has been recently, and targeting a fixed level of overall portfolio risk at all times. The results are honest — the strategy underperforms a simple buy-and-hold equity benchmark on raw returns — but it does so with less than a third of the drawdown and a near-zero correlation to the market, which is where its real value lies as a portfolio diversifier.</w:t>
      </w:r>
    </w:p>
    <w:p>
      <w:pPr>
        <w:pStyle w:val="Heading1"/>
        <w:spacing w:after="160" w:before="320"/>
      </w:pPr>
      <w:r>
        <w:rPr>
          <w:rFonts w:ascii="Arial" w:cs="Arial" w:eastAsia="Arial" w:hAnsi="Arial"/>
          <w:b/>
          <w:bCs/>
          <w:sz w:val="30"/>
          <w:szCs w:val="30"/>
        </w:rPr>
        <w:t xml:space="preserve">1. What This Strategy Is Trying to Do</w:t>
      </w:r>
    </w:p>
    <w:p>
      <w:pPr>
        <w:spacing w:after="160" w:before="80"/>
      </w:pPr>
      <w:r>
        <w:rPr>
          <w:rFonts w:ascii="Arial" w:cs="Arial" w:eastAsia="Arial" w:hAnsi="Arial"/>
          <w:sz w:val="24"/>
          <w:szCs w:val="24"/>
        </w:rPr>
        <w:t xml:space="preserve">The starting question behind this project was straightforward: is there a systematic, rules-based way to make money across many different markets at once, without relying on predicting the future or fitting a model to historical data?</w:t>
      </w:r>
    </w:p>
    <w:p>
      <w:pPr>
        <w:spacing w:after="160" w:before="80"/>
      </w:pPr>
      <w:r>
        <w:rPr>
          <w:rFonts w:ascii="Arial" w:cs="Arial" w:eastAsia="Arial" w:hAnsi="Arial"/>
          <w:sz w:val="24"/>
          <w:szCs w:val="24"/>
        </w:rPr>
        <w:t xml:space="preserve">The answer this strategy explores is momentum. The basic observation is that assets which have been going up over the past several months tend to keep going up in the near term, and assets that have been going down tend to keep going down. This sounds almost too simple, but it has been documented consistently across global equity markets, government bonds, commodities, and currencies for decades. It is not a data artefact — it is a structural feature of how markets move.</w:t>
      </w:r>
    </w:p>
    <w:p>
      <w:pPr>
        <w:spacing w:after="160" w:before="80"/>
      </w:pPr>
      <w:r>
        <w:rPr>
          <w:rFonts w:ascii="Arial" w:cs="Arial" w:eastAsia="Arial" w:hAnsi="Arial"/>
          <w:sz w:val="24"/>
          <w:szCs w:val="24"/>
        </w:rPr>
        <w:t xml:space="preserve">The problem with most momentum strategies is that they concentrate risk in one place — usually equities. This works well during bull markets but collapses badly during crashes. The approach here avoids that by spreading exposure across eight asset classes at once, in a way where the different assets tend not to move together. The combination of momentum signals with genuine cross-asset diversification is what the strategy bets on.</w:t>
      </w:r>
    </w:p>
    <w:p>
      <w:pPr>
        <w:pStyle w:val="Heading1"/>
        <w:spacing w:after="160" w:before="320"/>
      </w:pPr>
      <w:r>
        <w:rPr>
          <w:rFonts w:ascii="Arial" w:cs="Arial" w:eastAsia="Arial" w:hAnsi="Arial"/>
          <w:b/>
          <w:bCs/>
          <w:sz w:val="30"/>
          <w:szCs w:val="30"/>
        </w:rPr>
        <w:t xml:space="preserve">2. Why Momentum Exists</w:t>
      </w:r>
    </w:p>
    <w:p>
      <w:pPr>
        <w:spacing w:after="160" w:before="80"/>
      </w:pPr>
      <w:r>
        <w:rPr>
          <w:rFonts w:ascii="Arial" w:cs="Arial" w:eastAsia="Arial" w:hAnsi="Arial"/>
          <w:sz w:val="24"/>
          <w:szCs w:val="24"/>
        </w:rPr>
        <w:t xml:space="preserve">Before getting into the mechanics, it helps to understand why momentum is a real phenomenon and not just a pattern someone mined from historical data.</w:t>
      </w:r>
    </w:p>
    <w:p>
      <w:pPr>
        <w:pStyle w:val="Heading2"/>
        <w:spacing w:after="120" w:before="240"/>
      </w:pPr>
      <w:r>
        <w:rPr>
          <w:rFonts w:ascii="Arial" w:cs="Arial" w:eastAsia="Arial" w:hAnsi="Arial"/>
          <w:b/>
          <w:bCs/>
          <w:sz w:val="26"/>
          <w:szCs w:val="26"/>
        </w:rPr>
        <w:t xml:space="preserve">Investors are slow to update their views</w:t>
      </w:r>
    </w:p>
    <w:p>
      <w:pPr>
        <w:spacing w:after="160" w:before="80"/>
      </w:pPr>
      <w:r>
        <w:rPr>
          <w:rFonts w:ascii="Arial" w:cs="Arial" w:eastAsia="Arial" w:hAnsi="Arial"/>
          <w:sz w:val="24"/>
          <w:szCs w:val="24"/>
        </w:rPr>
        <w:t xml:space="preserve">When important economic data is released — a surprise interest rate decision, a shift in inflation, a change in corporate earnings — markets do not immediately price it in. Investors anchor to old prices and adjust gradually. This creates a drift: good news keeps pushing prices up slowly over weeks and months, and bad news keeps pushing them down. By the time the market has fully digested the information, a persistent trend has formed.</w:t>
      </w:r>
    </w:p>
    <w:p>
      <w:pPr>
        <w:pStyle w:val="Heading2"/>
        <w:spacing w:after="120" w:before="240"/>
      </w:pPr>
      <w:r>
        <w:rPr>
          <w:rFonts w:ascii="Arial" w:cs="Arial" w:eastAsia="Arial" w:hAnsi="Arial"/>
          <w:b/>
          <w:bCs/>
          <w:sz w:val="26"/>
          <w:szCs w:val="26"/>
        </w:rPr>
        <w:t xml:space="preserve">People hold losers and sell winners too early</w:t>
      </w:r>
    </w:p>
    <w:p>
      <w:pPr>
        <w:spacing w:after="160" w:before="80"/>
      </w:pPr>
      <w:r>
        <w:rPr>
          <w:rFonts w:ascii="Arial" w:cs="Arial" w:eastAsia="Arial" w:hAnsi="Arial"/>
          <w:sz w:val="24"/>
          <w:szCs w:val="24"/>
        </w:rPr>
        <w:t xml:space="preserve">Research in behavioural economics has shown that investors tend to sell winning positions quickly to “lock in” gains, and hold losing positions for too long to avoid admitting a mistake. This delays price discovery. Assets that should already be priced higher remain undervalued for longer because sellers keep exiting too soon, and assets that should already be priced lower remain overvalued because holders refuse to cut losses. Both effects create the kind of slow, sustained price movement that momentum strategies exploit.</w:t>
      </w:r>
    </w:p>
    <w:p>
      <w:pPr>
        <w:pStyle w:val="Heading2"/>
        <w:spacing w:after="120" w:before="240"/>
      </w:pPr>
      <w:r>
        <w:rPr>
          <w:rFonts w:ascii="Arial" w:cs="Arial" w:eastAsia="Arial" w:hAnsi="Arial"/>
          <w:b/>
          <w:bCs/>
          <w:sz w:val="26"/>
          <w:szCs w:val="26"/>
        </w:rPr>
        <w:t xml:space="preserve">Professional investors cannot easily fight the trend</w:t>
      </w:r>
    </w:p>
    <w:p>
      <w:pPr>
        <w:spacing w:after="160" w:before="80"/>
      </w:pPr>
      <w:r>
        <w:rPr>
          <w:rFonts w:ascii="Arial" w:cs="Arial" w:eastAsia="Arial" w:hAnsi="Arial"/>
          <w:sz w:val="24"/>
          <w:szCs w:val="24"/>
        </w:rPr>
        <w:t xml:space="preserve">Even when a professional portfolio manager can see that a trend has gone too far, they often cannot act on it. If they take a position against a powerful market trend, they face short-term losses that can trigger redemptions from their clients or scrutiny from their firm before the trade eventually pays off. This career risk prevents capital from flowing in the direction needed to eliminate momentum. The trend persists partly because it is too costly for most institutional investors to fight it.</w:t>
      </w:r>
    </w:p>
    <w:p>
      <w:pPr>
        <w:pStyle w:val="Heading1"/>
        <w:spacing w:after="160" w:before="320"/>
      </w:pPr>
      <w:r>
        <w:rPr>
          <w:rFonts w:ascii="Arial" w:cs="Arial" w:eastAsia="Arial" w:hAnsi="Arial"/>
          <w:b/>
          <w:bCs/>
          <w:sz w:val="30"/>
          <w:szCs w:val="30"/>
        </w:rPr>
        <w:t xml:space="preserve">3. How the Strategy Works</w:t>
      </w:r>
    </w:p>
    <w:p>
      <w:pPr>
        <w:pStyle w:val="Heading2"/>
        <w:spacing w:after="120" w:before="240"/>
      </w:pPr>
      <w:r>
        <w:rPr>
          <w:rFonts w:ascii="Arial" w:cs="Arial" w:eastAsia="Arial" w:hAnsi="Arial"/>
          <w:b/>
          <w:bCs/>
          <w:sz w:val="26"/>
          <w:szCs w:val="26"/>
        </w:rPr>
        <w:t xml:space="preserve">Measuring the trend</w:t>
      </w:r>
    </w:p>
    <w:p>
      <w:pPr>
        <w:spacing w:after="160" w:before="80"/>
      </w:pPr>
      <w:r>
        <w:rPr>
          <w:rFonts w:ascii="Arial" w:cs="Arial" w:eastAsia="Arial" w:hAnsi="Arial"/>
          <w:sz w:val="24"/>
          <w:szCs w:val="24"/>
        </w:rPr>
        <w:t xml:space="preserve">For each of the eight assets, the strategy calculates whether the asset is in an uptrend or downtrend by looking at its price change over three different time horizons: approximately three months, six months, and twelve months. Each horizon gets an equal vote. If two out of three horizons show positive returns, the asset gets a positive (long) signal. If two out of three show negative returns, it gets a negative (flat or short) signal.</w:t>
      </w:r>
    </w:p>
    <w:p>
      <w:pPr>
        <w:spacing w:after="160" w:before="80"/>
      </w:pPr>
      <w:r>
        <w:rPr>
          <w:rFonts w:ascii="Arial" w:cs="Arial" w:eastAsia="Arial" w:hAnsi="Arial"/>
          <w:sz w:val="24"/>
          <w:szCs w:val="24"/>
        </w:rPr>
        <w:t xml:space="preserve">Using three horizons rather than one is deliberate. A single lookback window is easy to overfit — it might work well historically because of a coincidence specific to that time period. Blending three different windows makes the signal more robust and reduces the number of false flips where the strategy switches direction unnecessarily.</w:t>
      </w:r>
    </w:p>
    <w:p>
      <w:pPr>
        <w:pStyle w:val="Heading2"/>
        <w:spacing w:after="120" w:before="240"/>
      </w:pPr>
      <w:r>
        <w:rPr>
          <w:rFonts w:ascii="Arial" w:cs="Arial" w:eastAsia="Arial" w:hAnsi="Arial"/>
          <w:b/>
          <w:bCs/>
          <w:sz w:val="26"/>
          <w:szCs w:val="26"/>
        </w:rPr>
        <w:t xml:space="preserve">Sizing positions by risk, not capital</w:t>
      </w:r>
    </w:p>
    <w:p>
      <w:pPr>
        <w:spacing w:after="160" w:before="80"/>
      </w:pPr>
      <w:r>
        <w:rPr>
          <w:rFonts w:ascii="Arial" w:cs="Arial" w:eastAsia="Arial" w:hAnsi="Arial"/>
          <w:sz w:val="24"/>
          <w:szCs w:val="24"/>
        </w:rPr>
        <w:t xml:space="preserve">Once the direction is determined for each asset, the strategy decides how much to allocate. The key insight here is that equal dollar allocation is not the same as equal risk. Equities are much more volatile than government bonds, for instance, so putting the same dollar amount into both means the equities dominate the risk of the portfolio.</w:t>
      </w:r>
    </w:p>
    <w:p>
      <w:pPr>
        <w:spacing w:after="160" w:before="80"/>
      </w:pPr>
      <w:r>
        <w:rPr>
          <w:rFonts w:ascii="Arial" w:cs="Arial" w:eastAsia="Arial" w:hAnsi="Arial"/>
          <w:sz w:val="24"/>
          <w:szCs w:val="24"/>
        </w:rPr>
        <w:t xml:space="preserve">Instead, each position is sized inversely to the asset’s recent volatility. If an asset has been calm recently, it gets a larger position. If it has been volatile, it gets a smaller position. The total portfolio is then scaled so that the combined expected volatility stays close to 10% per year regardless of market conditions. This means the strategy automatically reduces exposure when markets become turbulent and takes on more when things are calm.</w:t>
      </w:r>
    </w:p>
    <w:p>
      <w:pPr>
        <w:pStyle w:val="Heading2"/>
        <w:spacing w:after="120" w:before="240"/>
      </w:pPr>
      <w:r>
        <w:rPr>
          <w:rFonts w:ascii="Arial" w:cs="Arial" w:eastAsia="Arial" w:hAnsi="Arial"/>
          <w:b/>
          <w:bCs/>
          <w:sz w:val="26"/>
          <w:szCs w:val="26"/>
        </w:rPr>
        <w:t xml:space="preserve">Hard risk limits</w:t>
      </w:r>
    </w:p>
    <w:p>
      <w:pPr>
        <w:spacing w:after="160" w:before="80"/>
      </w:pPr>
      <w:r>
        <w:rPr>
          <w:rFonts w:ascii="Arial" w:cs="Arial" w:eastAsia="Arial" w:hAnsi="Arial"/>
          <w:sz w:val="24"/>
          <w:szCs w:val="24"/>
        </w:rPr>
        <w:t xml:space="preserve">Beyond the volatility targeting, there are several additional constraints:</w:t>
      </w:r>
    </w:p>
    <w:p>
      <w:pPr>
        <w:pStyle w:val="ListParagraph"/>
        <w:numPr>
          <w:ilvl w:val="0"/>
          <w:numId w:val="2"/>
        </w:numPr>
        <w:spacing w:after="60" w:before="60"/>
      </w:pPr>
      <w:r>
        <w:rPr>
          <w:rFonts w:ascii="Arial" w:cs="Arial" w:eastAsia="Arial" w:hAnsi="Arial"/>
          <w:sz w:val="24"/>
          <w:szCs w:val="24"/>
        </w:rPr>
        <w:t xml:space="preserve">Total gross exposure is capped at 1.5 times, preventing excessive leverage in calm markets.</w:t>
      </w:r>
    </w:p>
    <w:p>
      <w:pPr>
        <w:pStyle w:val="ListParagraph"/>
        <w:numPr>
          <w:ilvl w:val="0"/>
          <w:numId w:val="2"/>
        </w:numPr>
        <w:spacing w:after="60" w:before="60"/>
      </w:pPr>
      <w:r>
        <w:rPr>
          <w:rFonts w:ascii="Arial" w:cs="Arial" w:eastAsia="Arial" w:hAnsi="Arial"/>
          <w:sz w:val="24"/>
          <w:szCs w:val="24"/>
        </w:rPr>
        <w:t xml:space="preserve">A drawdown control progressively reduces all positions as the portfolio loses money, and slowly rebuilds them as it recovers. This limits how deep a losing streak can get.</w:t>
      </w:r>
    </w:p>
    <w:p>
      <w:pPr>
        <w:pStyle w:val="ListParagraph"/>
        <w:numPr>
          <w:ilvl w:val="0"/>
          <w:numId w:val="2"/>
        </w:numPr>
        <w:spacing w:after="60" w:before="60"/>
      </w:pPr>
      <w:r>
        <w:rPr>
          <w:rFonts w:ascii="Arial" w:cs="Arial" w:eastAsia="Arial" w:hAnsi="Arial"/>
          <w:sz w:val="24"/>
          <w:szCs w:val="24"/>
        </w:rPr>
        <w:t xml:space="preserve">Signals from the prior day are used to determine the next day’s trades. This one-day lag ensures the strategy never uses information that would not have been available at the time of trading — a critical discipline that many backtests get wrong.</w:t>
      </w:r>
    </w:p>
    <w:p>
      <w:pPr>
        <w:pStyle w:val="ListParagraph"/>
        <w:numPr>
          <w:ilvl w:val="0"/>
          <w:numId w:val="2"/>
        </w:numPr>
        <w:spacing w:after="60" w:before="60"/>
      </w:pPr>
      <w:r>
        <w:rPr>
          <w:rFonts w:ascii="Arial" w:cs="Arial" w:eastAsia="Arial" w:hAnsi="Arial"/>
          <w:sz w:val="24"/>
          <w:szCs w:val="24"/>
        </w:rPr>
        <w:t xml:space="preserve">Transaction costs including commissions and slippage are deducted on every trade, so the results reflect realistic net returns rather than gross theoretical performance.</w:t>
      </w:r>
    </w:p>
    <w:p>
      <w:pPr>
        <w:pStyle w:val="Heading1"/>
        <w:spacing w:after="160" w:before="320"/>
      </w:pPr>
      <w:r>
        <w:rPr>
          <w:rFonts w:ascii="Arial" w:cs="Arial" w:eastAsia="Arial" w:hAnsi="Arial"/>
          <w:b/>
          <w:bCs/>
          <w:sz w:val="30"/>
          <w:szCs w:val="30"/>
        </w:rPr>
        <w:t xml:space="preserve">4. The Eight Assets and Why They Were Chosen</w:t>
      </w:r>
    </w:p>
    <w:p>
      <w:pPr>
        <w:spacing w:after="160" w:before="80"/>
      </w:pPr>
      <w:r>
        <w:rPr>
          <w:rFonts w:ascii="Arial" w:cs="Arial" w:eastAsia="Arial" w:hAnsi="Arial"/>
          <w:sz w:val="24"/>
          <w:szCs w:val="24"/>
        </w:rPr>
        <w:t xml:space="preserve">The universe was selected for breadth and low correlation, not for past performance. The goal was to cover the four main macro asset categories that drive different parts of the global economy: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888888" w:sz="1"/>
              <w:left w:val="single" w:color="888888" w:sz="1"/>
              <w:bottom w:val="single" w:color="888888" w:sz="1"/>
              <w:right w:val="single" w:color="888888" w:sz="1"/>
            </w:tcBorders>
            <w:shd w:fill="E8E8E8" w:val="clear"/>
            <w:tcMar>
              <w:top w:type="dxa" w:w="80"/>
              <w:left w:type="dxa" w:w="120"/>
              <w:bottom w:type="dxa" w:w="80"/>
              <w:right w:type="dxa" w:w="120"/>
            </w:tcMar>
          </w:tcPr>
          <w:p>
            <w:r>
              <w:rPr>
                <w:rFonts w:ascii="Arial" w:cs="Arial" w:eastAsia="Arial" w:hAnsi="Arial"/>
                <w:b/>
                <w:bCs/>
                <w:sz w:val="22"/>
                <w:szCs w:val="22"/>
              </w:rPr>
              <w:t xml:space="preserve">Asset class</w:t>
            </w:r>
          </w:p>
        </w:tc>
        <w:tc>
          <w:tcPr>
            <w:tcW w:type="dxa" w:w="1400"/>
            <w:tcBorders>
              <w:top w:val="single" w:color="888888" w:sz="1"/>
              <w:left w:val="single" w:color="888888" w:sz="1"/>
              <w:bottom w:val="single" w:color="888888" w:sz="1"/>
              <w:right w:val="single" w:color="888888" w:sz="1"/>
            </w:tcBorders>
            <w:shd w:fill="E8E8E8" w:val="clear"/>
            <w:tcMar>
              <w:top w:type="dxa" w:w="80"/>
              <w:left w:type="dxa" w:w="120"/>
              <w:bottom w:type="dxa" w:w="80"/>
              <w:right w:type="dxa" w:w="120"/>
            </w:tcMar>
          </w:tcPr>
          <w:p>
            <w:r>
              <w:rPr>
                <w:rFonts w:ascii="Arial" w:cs="Arial" w:eastAsia="Arial" w:hAnsi="Arial"/>
                <w:b/>
                <w:bCs/>
                <w:sz w:val="22"/>
                <w:szCs w:val="22"/>
              </w:rPr>
              <w:t xml:space="preserve">ETF used</w:t>
            </w:r>
          </w:p>
        </w:tc>
        <w:tc>
          <w:tcPr>
            <w:tcW w:type="dxa" w:w="5760"/>
            <w:tcBorders>
              <w:top w:val="single" w:color="888888" w:sz="1"/>
              <w:left w:val="single" w:color="888888" w:sz="1"/>
              <w:bottom w:val="single" w:color="888888" w:sz="1"/>
              <w:right w:val="single" w:color="888888" w:sz="1"/>
            </w:tcBorders>
            <w:shd w:fill="E8E8E8" w:val="clear"/>
            <w:tcMar>
              <w:top w:type="dxa" w:w="80"/>
              <w:left w:type="dxa" w:w="120"/>
              <w:bottom w:type="dxa" w:w="80"/>
              <w:right w:type="dxa" w:w="120"/>
            </w:tcMar>
          </w:tcPr>
          <w:p>
            <w:r>
              <w:rPr>
                <w:rFonts w:ascii="Arial" w:cs="Arial" w:eastAsia="Arial" w:hAnsi="Arial"/>
                <w:b/>
                <w:bCs/>
                <w:sz w:val="22"/>
                <w:szCs w:val="22"/>
              </w:rPr>
              <w:t xml:space="preserve">What drives 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 equities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Domestic economic growth, corporate earnings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International developed equities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EFA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European and Japanese economic cycles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Emerging market equities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EEM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Commodity prices, EM growth cycles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Medium-term US bonds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IEF</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Fed policy expectations, intermediate rates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Long-term US bonds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TLT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Long-run inflation expectations, safe-haven demand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Investment-grade credit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LQD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Corporate health, credit spreads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Gold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GLD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Real interest rates, systemic uncertainty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Broad commodities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DBC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Supply shocks, industrial demand, inflation</w:t>
            </w:r>
          </w:p>
        </w:tc>
      </w:tr>
    </w:tbl>
    <w:p>
      <w:pPr>
        <w:spacing w:after="80" w:before="80"/>
      </w:pPr>
      <w:r>
        <w:t xml:space="preserve"/>
      </w:r>
    </w:p>
    <w:p>
      <w:pPr>
        <w:spacing w:after="160" w:before="80"/>
      </w:pPr>
      <w:r>
        <w:rPr>
          <w:rFonts w:ascii="Arial" w:cs="Arial" w:eastAsia="Arial" w:hAnsi="Arial"/>
          <w:sz w:val="24"/>
          <w:szCs w:val="24"/>
        </w:rPr>
        <w:t xml:space="preserve">The key property of this universe is that the assets tend to move independently from each other. Bonds often rise when equities fall. Gold tends to benefit from uncertainty that hurts equities. Commodities respond to inflation that can hurt both equities and bonds. By holding signals across all of them, the portfolio avoids the situation where a single bad market environment wipes out everything at once.</w:t>
      </w:r>
    </w:p>
    <w:p>
      <w:pPr>
        <w:pStyle w:val="Heading1"/>
        <w:spacing w:after="160" w:before="320"/>
      </w:pPr>
      <w:r>
        <w:rPr>
          <w:rFonts w:ascii="Arial" w:cs="Arial" w:eastAsia="Arial" w:hAnsi="Arial"/>
          <w:b/>
          <w:bCs/>
          <w:sz w:val="30"/>
          <w:szCs w:val="30"/>
        </w:rPr>
        <w:t xml:space="preserve">5. Results</w:t>
      </w:r>
    </w:p>
    <w:p>
      <w:pPr>
        <w:spacing w:after="160" w:before="80"/>
      </w:pPr>
      <w:r>
        <w:rPr>
          <w:rFonts w:ascii="Arial" w:cs="Arial" w:eastAsia="Arial" w:hAnsi="Arial"/>
          <w:sz w:val="24"/>
          <w:szCs w:val="24"/>
        </w:rPr>
        <w:t xml:space="preserve">The strategy was backtested from 2007 to 2024, covering the Global Financial Crisis, the post-crisis recovery, the COVID crash, and the 2022 rate hiking cycle. Real ETF price history was used throughout, with all costs included.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80"/>
        <w:gridCol w:w="3580"/>
      </w:tblGrid>
      <w:tr>
        <w:trPr>
          <w:tblHeader/>
        </w:trPr>
        <w:tc>
          <w:tcPr>
            <w:tcW w:type="dxa" w:w="3200"/>
            <w:tcBorders>
              <w:top w:val="single" w:color="888888" w:sz="1"/>
              <w:left w:val="single" w:color="888888" w:sz="1"/>
              <w:bottom w:val="single" w:color="888888" w:sz="1"/>
              <w:right w:val="single" w:color="888888" w:sz="1"/>
            </w:tcBorders>
            <w:shd w:fill="E8E8E8" w:val="clear"/>
            <w:tcMar>
              <w:top w:type="dxa" w:w="80"/>
              <w:left w:type="dxa" w:w="120"/>
              <w:bottom w:type="dxa" w:w="80"/>
              <w:right w:type="dxa" w:w="120"/>
            </w:tcMar>
          </w:tcPr>
          <w:p>
            <w:r>
              <w:rPr>
                <w:rFonts w:ascii="Arial" w:cs="Arial" w:eastAsia="Arial" w:hAnsi="Arial"/>
                <w:b/>
                <w:bCs/>
                <w:sz w:val="22"/>
                <w:szCs w:val="22"/>
              </w:rPr>
              <w:t xml:space="preserve">Metric</w:t>
            </w:r>
          </w:p>
        </w:tc>
        <w:tc>
          <w:tcPr>
            <w:tcW w:type="dxa" w:w="2580"/>
            <w:tcBorders>
              <w:top w:val="single" w:color="888888" w:sz="1"/>
              <w:left w:val="single" w:color="888888" w:sz="1"/>
              <w:bottom w:val="single" w:color="888888" w:sz="1"/>
              <w:right w:val="single" w:color="888888" w:sz="1"/>
            </w:tcBorders>
            <w:shd w:fill="E8E8E8" w:val="clear"/>
            <w:tcMar>
              <w:top w:type="dxa" w:w="80"/>
              <w:left w:type="dxa" w:w="120"/>
              <w:bottom w:type="dxa" w:w="80"/>
              <w:right w:type="dxa" w:w="120"/>
            </w:tcMar>
          </w:tcPr>
          <w:p>
            <w:r>
              <w:rPr>
                <w:rFonts w:ascii="Arial" w:cs="Arial" w:eastAsia="Arial" w:hAnsi="Arial"/>
                <w:b/>
                <w:bCs/>
                <w:sz w:val="22"/>
                <w:szCs w:val="22"/>
              </w:rPr>
              <w:t xml:space="preserve">This strategy</w:t>
            </w:r>
          </w:p>
        </w:tc>
        <w:tc>
          <w:tcPr>
            <w:tcW w:type="dxa" w:w="3580"/>
            <w:tcBorders>
              <w:top w:val="single" w:color="888888" w:sz="1"/>
              <w:left w:val="single" w:color="888888" w:sz="1"/>
              <w:bottom w:val="single" w:color="888888" w:sz="1"/>
              <w:right w:val="single" w:color="888888" w:sz="1"/>
            </w:tcBorders>
            <w:shd w:fill="E8E8E8" w:val="clear"/>
            <w:tcMar>
              <w:top w:type="dxa" w:w="80"/>
              <w:left w:type="dxa" w:w="120"/>
              <w:bottom w:type="dxa" w:w="80"/>
              <w:right w:type="dxa" w:w="120"/>
            </w:tcMar>
          </w:tcPr>
          <w:p>
            <w:r>
              <w:rPr>
                <w:rFonts w:ascii="Arial" w:cs="Arial" w:eastAsia="Arial" w:hAnsi="Arial"/>
                <w:b/>
                <w:bCs/>
                <w:sz w:val="22"/>
                <w:szCs w:val="22"/>
              </w:rPr>
              <w:t xml:space="preserve">Benchmark (SPY buy-and-hold)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Annual return (CAGR)</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4.77%</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10.93%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Annual volatility</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10.76%</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Sharpe ratio</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0.30</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0.52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Maximum drawdown</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-19.05%</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-55.19%</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Beta to equities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-0.09</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Profit factor</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1.85</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Win rate per trade</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30.14%</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Average winning trade</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$38,332</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Average losing trade</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-$8,934</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bl>
    <w:p>
      <w:pPr>
        <w:spacing w:after="80" w:before="80"/>
      </w:pPr>
      <w:r>
        <w:t xml:space="preserve"/>
      </w:r>
    </w:p>
    <w:p>
      <w:pPr>
        <w:spacing w:after="160" w:before="80"/>
      </w:pPr>
      <w:r>
        <w:rPr>
          <w:rFonts w:ascii="Arial" w:cs="Arial" w:eastAsia="Arial" w:hAnsi="Arial"/>
          <w:sz w:val="24"/>
          <w:szCs w:val="24"/>
        </w:rPr>
        <w:t xml:space="preserve">The headline result is that the strategy underperforms the benchmark. The validation code in the repository explicitly marks this as a failure on the Sharpe target, and it is presented here without adjustment.</w:t>
      </w:r>
    </w:p>
    <w:p>
      <w:pPr>
        <w:spacing w:after="160" w:before="80"/>
      </w:pPr>
      <w:r>
        <w:rPr>
          <w:rFonts w:ascii="Arial" w:cs="Arial" w:eastAsia="Arial" w:hAnsi="Arial"/>
          <w:sz w:val="24"/>
          <w:szCs w:val="24"/>
        </w:rPr>
        <w:t xml:space="preserve">The more interesting result is the beta of -0.09 combined with the maximum drawdown of -19%. The benchmark fell by more than 55% at its worst point during this period. The strategy fell by less than 19%. For an investor who already holds equities in the rest of their portfolio, adding a strategy with near-zero equity correlation and a fraction of the drawdown has genuine value — even if the absolute return is lower.</w:t>
      </w:r>
    </w:p>
    <w:p>
      <w:pPr>
        <w:spacing w:after="160" w:before="80"/>
      </w:pPr>
      <w:r>
        <w:rPr>
          <w:rFonts w:ascii="Arial" w:cs="Arial" w:eastAsia="Arial" w:hAnsi="Arial"/>
          <w:sz w:val="24"/>
          <w:szCs w:val="24"/>
        </w:rPr>
        <w:t xml:space="preserve">The profit factor of 1.85 means the strategy made $1.85 for every $1.00 it lost. The win rate is only 30%, which at first seems low, but this is normal for trend-following strategies. They tend to have many small losses and fewer, larger wins. The average winning trade ($38,332) is more than four times the average losing trade ($8,934), which is what drives the positive expected value.</w:t>
      </w:r>
    </w:p>
    <w:p>
      <w:pPr>
        <w:pStyle w:val="Heading2"/>
        <w:spacing w:after="120" w:before="240"/>
      </w:pPr>
      <w:r>
        <w:rPr>
          <w:rFonts w:ascii="Arial" w:cs="Arial" w:eastAsia="Arial" w:hAnsi="Arial"/>
          <w:b/>
          <w:bCs/>
          <w:sz w:val="26"/>
          <w:szCs w:val="26"/>
        </w:rPr>
        <w:t xml:space="preserve">Out-of-sample validation</w:t>
      </w:r>
    </w:p>
    <w:p>
      <w:pPr>
        <w:spacing w:after="160" w:before="80"/>
      </w:pPr>
      <w:r>
        <w:rPr>
          <w:rFonts w:ascii="Arial" w:cs="Arial" w:eastAsia="Arial" w:hAnsi="Arial"/>
          <w:sz w:val="24"/>
          <w:szCs w:val="24"/>
        </w:rPr>
        <w:t xml:space="preserve">The most important test is whether the results hold on data that was not used to develop the strategy. To check this, the strategy was run on three independent out-of-sample periods that were completely excluded from the development process: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1200"/>
        <w:gridCol w:w="1200"/>
        <w:gridCol w:w="1560"/>
      </w:tblGrid>
      <w:tr>
        <w:trPr>
          <w:tblHeader/>
        </w:trPr>
        <w:tc>
          <w:tcPr>
            <w:tcW w:type="dxa" w:w="1800"/>
            <w:tcBorders>
              <w:top w:val="single" w:color="888888" w:sz="1"/>
              <w:left w:val="single" w:color="888888" w:sz="1"/>
              <w:bottom w:val="single" w:color="888888" w:sz="1"/>
              <w:right w:val="single" w:color="888888" w:sz="1"/>
            </w:tcBorders>
            <w:shd w:fill="E8E8E8" w:val="clear"/>
            <w:tcMar>
              <w:top w:type="dxa" w:w="80"/>
              <w:left w:type="dxa" w:w="120"/>
              <w:bottom w:type="dxa" w:w="80"/>
              <w:right w:type="dxa" w:w="120"/>
            </w:tcMar>
          </w:tcPr>
          <w:p>
            <w:r>
              <w:rPr>
                <w:rFonts w:ascii="Arial" w:cs="Arial" w:eastAsia="Arial" w:hAnsi="Arial"/>
                <w:b/>
                <w:bCs/>
                <w:sz w:val="22"/>
                <w:szCs w:val="22"/>
              </w:rPr>
              <w:t xml:space="preserve">Test period</w:t>
            </w:r>
          </w:p>
        </w:tc>
        <w:tc>
          <w:tcPr>
            <w:tcW w:type="dxa" w:w="3600"/>
            <w:tcBorders>
              <w:top w:val="single" w:color="888888" w:sz="1"/>
              <w:left w:val="single" w:color="888888" w:sz="1"/>
              <w:bottom w:val="single" w:color="888888" w:sz="1"/>
              <w:right w:val="single" w:color="888888" w:sz="1"/>
            </w:tcBorders>
            <w:shd w:fill="E8E8E8" w:val="clear"/>
            <w:tcMar>
              <w:top w:type="dxa" w:w="80"/>
              <w:left w:type="dxa" w:w="120"/>
              <w:bottom w:type="dxa" w:w="80"/>
              <w:right w:type="dxa" w:w="120"/>
            </w:tcMar>
          </w:tcPr>
          <w:p>
            <w:r>
              <w:rPr>
                <w:rFonts w:ascii="Arial" w:cs="Arial" w:eastAsia="Arial" w:hAnsi="Arial"/>
                <w:b/>
                <w:bCs/>
                <w:sz w:val="22"/>
                <w:szCs w:val="22"/>
              </w:rPr>
              <w:t xml:space="preserve">Market conditions</w:t>
            </w:r>
          </w:p>
        </w:tc>
        <w:tc>
          <w:tcPr>
            <w:tcW w:type="dxa" w:w="1200"/>
            <w:tcBorders>
              <w:top w:val="single" w:color="888888" w:sz="1"/>
              <w:left w:val="single" w:color="888888" w:sz="1"/>
              <w:bottom w:val="single" w:color="888888" w:sz="1"/>
              <w:right w:val="single" w:color="888888" w:sz="1"/>
            </w:tcBorders>
            <w:shd w:fill="E8E8E8" w:val="clear"/>
            <w:tcMar>
              <w:top w:type="dxa" w:w="80"/>
              <w:left w:type="dxa" w:w="120"/>
              <w:bottom w:type="dxa" w:w="80"/>
              <w:right w:type="dxa" w:w="120"/>
            </w:tcMar>
          </w:tcPr>
          <w:p>
            <w:r>
              <w:rPr>
                <w:rFonts w:ascii="Arial" w:cs="Arial" w:eastAsia="Arial" w:hAnsi="Arial"/>
                <w:b/>
                <w:bCs/>
                <w:sz w:val="22"/>
                <w:szCs w:val="22"/>
              </w:rPr>
              <w:t xml:space="preserve">Return</w:t>
            </w:r>
          </w:p>
        </w:tc>
        <w:tc>
          <w:tcPr>
            <w:tcW w:type="dxa" w:w="1200"/>
            <w:tcBorders>
              <w:top w:val="single" w:color="888888" w:sz="1"/>
              <w:left w:val="single" w:color="888888" w:sz="1"/>
              <w:bottom w:val="single" w:color="888888" w:sz="1"/>
              <w:right w:val="single" w:color="888888" w:sz="1"/>
            </w:tcBorders>
            <w:shd w:fill="E8E8E8" w:val="clear"/>
            <w:tcMar>
              <w:top w:type="dxa" w:w="80"/>
              <w:left w:type="dxa" w:w="120"/>
              <w:bottom w:type="dxa" w:w="80"/>
              <w:right w:type="dxa" w:w="120"/>
            </w:tcMar>
          </w:tcPr>
          <w:p>
            <w:r>
              <w:rPr>
                <w:rFonts w:ascii="Arial" w:cs="Arial" w:eastAsia="Arial" w:hAnsi="Arial"/>
                <w:b/>
                <w:bCs/>
                <w:sz w:val="22"/>
                <w:szCs w:val="22"/>
              </w:rPr>
              <w:t xml:space="preserve">Sharpe</w:t>
            </w:r>
          </w:p>
        </w:tc>
        <w:tc>
          <w:tcPr>
            <w:tcW w:type="dxa" w:w="1560"/>
            <w:tcBorders>
              <w:top w:val="single" w:color="888888" w:sz="1"/>
              <w:left w:val="single" w:color="888888" w:sz="1"/>
              <w:bottom w:val="single" w:color="888888" w:sz="1"/>
              <w:right w:val="single" w:color="888888" w:sz="1"/>
            </w:tcBorders>
            <w:shd w:fill="E8E8E8" w:val="clear"/>
            <w:tcMar>
              <w:top w:type="dxa" w:w="80"/>
              <w:left w:type="dxa" w:w="120"/>
              <w:bottom w:type="dxa" w:w="80"/>
              <w:right w:type="dxa" w:w="120"/>
            </w:tcMar>
          </w:tcPr>
          <w:p>
            <w:r>
              <w:rPr>
                <w:rFonts w:ascii="Arial" w:cs="Arial" w:eastAsia="Arial" w:hAnsi="Arial"/>
                <w:b/>
                <w:bCs/>
                <w:sz w:val="22"/>
                <w:szCs w:val="22"/>
              </w:rPr>
              <w:t xml:space="preserve">Max drawdown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2012–2014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Post-GFC recovery, equities rallying strongly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2.96%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0.154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-6.44%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2017–2019</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Low-volatility bull market, very few trends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2.87%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0.150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-9.76%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2022–2024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Rate hiking cycle, strong cross-asset trends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4.55%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0.267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-16.92%</w:t>
            </w:r>
          </w:p>
        </w:tc>
      </w:tr>
    </w:tbl>
    <w:p>
      <w:pPr>
        <w:spacing w:after="80" w:before="80"/>
      </w:pPr>
      <w:r>
        <w:t xml:space="preserve"/>
      </w:r>
    </w:p>
    <w:p>
      <w:pPr>
        <w:spacing w:after="160" w:before="80"/>
      </w:pPr>
      <w:r>
        <w:rPr>
          <w:rFonts w:ascii="Arial" w:cs="Arial" w:eastAsia="Arial" w:hAnsi="Arial"/>
          <w:sz w:val="24"/>
          <w:szCs w:val="24"/>
        </w:rPr>
        <w:t xml:space="preserve">The Sharpe ratio is positive in all three periods. The weakest result is 2017–2019, which is exactly when the academic literature would predict trend-following to struggle — in calm, directionless markets with few sustained moves. The strongest result is 2022–2024, when central bank policy created powerful diverging trends across equities, bonds, and commodities simultaneously. The pattern matches theory rather than contradicting it.</w:t>
      </w:r>
    </w:p>
    <w:p>
      <w:pPr>
        <w:pStyle w:val="Heading2"/>
        <w:spacing w:after="120" w:before="240"/>
      </w:pPr>
      <w:r>
        <w:rPr>
          <w:rFonts w:ascii="Arial" w:cs="Arial" w:eastAsia="Arial" w:hAnsi="Arial"/>
          <w:b/>
          <w:bCs/>
          <w:sz w:val="26"/>
          <w:szCs w:val="26"/>
        </w:rPr>
        <w:t xml:space="preserve">Parameter stability</w:t>
      </w:r>
    </w:p>
    <w:p>
      <w:pPr>
        <w:spacing w:after="160" w:before="80"/>
      </w:pPr>
      <w:r>
        <w:rPr>
          <w:rFonts w:ascii="Arial" w:cs="Arial" w:eastAsia="Arial" w:hAnsi="Arial"/>
          <w:sz w:val="24"/>
          <w:szCs w:val="24"/>
        </w:rPr>
        <w:t xml:space="preserve">A strategy that only works with one specific set of parameters is probably overfitted. To check robustness, the two most important parameters were varied and the results observed: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20"/>
        <w:gridCol w:w="2080"/>
        <w:gridCol w:w="2960"/>
      </w:tblGrid>
      <w:tr>
        <w:trPr>
          <w:tblHeader/>
        </w:trPr>
        <w:tc>
          <w:tcPr>
            <w:tcW w:type="dxa" w:w="2800"/>
            <w:tcBorders>
              <w:top w:val="single" w:color="888888" w:sz="1"/>
              <w:left w:val="single" w:color="888888" w:sz="1"/>
              <w:bottom w:val="single" w:color="888888" w:sz="1"/>
              <w:right w:val="single" w:color="888888" w:sz="1"/>
            </w:tcBorders>
            <w:shd w:fill="E8E8E8" w:val="clear"/>
            <w:tcMar>
              <w:top w:type="dxa" w:w="80"/>
              <w:left w:type="dxa" w:w="120"/>
              <w:bottom w:type="dxa" w:w="80"/>
              <w:right w:type="dxa" w:w="120"/>
            </w:tcMar>
          </w:tcPr>
          <w:p>
            <w:r>
              <w:rPr>
                <w:rFonts w:ascii="Arial" w:cs="Arial" w:eastAsia="Arial" w:hAnsi="Arial"/>
                <w:b/>
                <w:bCs/>
                <w:sz w:val="22"/>
                <w:szCs w:val="22"/>
              </w:rPr>
              <w:t xml:space="preserve">Portfolio volatility target</w:t>
            </w:r>
          </w:p>
        </w:tc>
        <w:tc>
          <w:tcPr>
            <w:tcW w:type="dxa" w:w="1520"/>
            <w:tcBorders>
              <w:top w:val="single" w:color="888888" w:sz="1"/>
              <w:left w:val="single" w:color="888888" w:sz="1"/>
              <w:bottom w:val="single" w:color="888888" w:sz="1"/>
              <w:right w:val="single" w:color="888888" w:sz="1"/>
            </w:tcBorders>
            <w:shd w:fill="E8E8E8" w:val="clear"/>
            <w:tcMar>
              <w:top w:type="dxa" w:w="80"/>
              <w:left w:type="dxa" w:w="120"/>
              <w:bottom w:type="dxa" w:w="80"/>
              <w:right w:type="dxa" w:w="120"/>
            </w:tcMar>
          </w:tcPr>
          <w:p>
            <w:r>
              <w:rPr>
                <w:rFonts w:ascii="Arial" w:cs="Arial" w:eastAsia="Arial" w:hAnsi="Arial"/>
                <w:b/>
                <w:bCs/>
                <w:sz w:val="22"/>
                <w:szCs w:val="22"/>
              </w:rPr>
              <w:t xml:space="preserve">Sharpe</w:t>
            </w:r>
          </w:p>
        </w:tc>
        <w:tc>
          <w:tcPr>
            <w:tcW w:type="dxa" w:w="2080"/>
            <w:tcBorders>
              <w:top w:val="single" w:color="888888" w:sz="1"/>
              <w:left w:val="single" w:color="888888" w:sz="1"/>
              <w:bottom w:val="single" w:color="888888" w:sz="1"/>
              <w:right w:val="single" w:color="888888" w:sz="1"/>
            </w:tcBorders>
            <w:shd w:fill="E8E8E8" w:val="clear"/>
            <w:tcMar>
              <w:top w:type="dxa" w:w="80"/>
              <w:left w:type="dxa" w:w="120"/>
              <w:bottom w:type="dxa" w:w="80"/>
              <w:right w:type="dxa" w:w="120"/>
            </w:tcMar>
          </w:tcPr>
          <w:p>
            <w:r>
              <w:rPr>
                <w:rFonts w:ascii="Arial" w:cs="Arial" w:eastAsia="Arial" w:hAnsi="Arial"/>
                <w:b/>
                <w:bCs/>
                <w:sz w:val="22"/>
                <w:szCs w:val="22"/>
              </w:rPr>
              <w:t xml:space="preserve">Annual return</w:t>
            </w:r>
          </w:p>
        </w:tc>
        <w:tc>
          <w:tcPr>
            <w:tcW w:type="dxa" w:w="2960"/>
            <w:tcBorders>
              <w:top w:val="single" w:color="888888" w:sz="1"/>
              <w:left w:val="single" w:color="888888" w:sz="1"/>
              <w:bottom w:val="single" w:color="888888" w:sz="1"/>
              <w:right w:val="single" w:color="888888" w:sz="1"/>
            </w:tcBorders>
            <w:shd w:fill="E8E8E8" w:val="clear"/>
            <w:tcMar>
              <w:top w:type="dxa" w:w="80"/>
              <w:left w:type="dxa" w:w="120"/>
              <w:bottom w:type="dxa" w:w="80"/>
              <w:right w:type="dxa" w:w="120"/>
            </w:tcMar>
          </w:tcPr>
          <w:p>
            <w:r>
              <w:rPr>
                <w:rFonts w:ascii="Arial" w:cs="Arial" w:eastAsia="Arial" w:hAnsi="Arial"/>
                <w:b/>
                <w:bCs/>
                <w:sz w:val="22"/>
                <w:szCs w:val="22"/>
              </w:rPr>
              <w:t xml:space="preserve">Max drawdown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w:t>
            </w:r>
          </w:p>
        </w:tc>
        <w:tc>
          <w:tcPr>
            <w:tcW w:type="dxa" w:w="1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0.31</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4.37%</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-13.33%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w:t>
            </w:r>
          </w:p>
        </w:tc>
        <w:tc>
          <w:tcPr>
            <w:tcW w:type="dxa" w:w="1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0.31</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4.79%</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-16.78%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 (base case)</w:t>
            </w:r>
          </w:p>
        </w:tc>
        <w:tc>
          <w:tcPr>
            <w:tcW w:type="dxa" w:w="1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0.30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4.77%</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-19.05%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w:t>
            </w:r>
          </w:p>
        </w:tc>
        <w:tc>
          <w:tcPr>
            <w:tcW w:type="dxa" w:w="1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0.27</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4.51%</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w:t>
            </w:r>
          </w:p>
        </w:tc>
        <w:tc>
          <w:tcPr>
            <w:tcW w:type="dxa" w:w="1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0.25</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4.31%</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-21.45%</w:t>
            </w:r>
          </w:p>
        </w:tc>
      </w:tr>
    </w:tbl>
    <w:p>
      <w:pPr>
        <w:spacing w:after="80" w:before="80"/>
      </w:pPr>
      <w:r>
        <w:t xml:space="preserve"/>
      </w:r>
    </w:p>
    <w:p>
      <w:pPr>
        <w:spacing w:after="160" w:before="80"/>
      </w:pPr>
      <w:r>
        <w:rPr>
          <w:rFonts w:ascii="Arial" w:cs="Arial" w:eastAsia="Arial" w:hAnsi="Arial"/>
          <w:sz w:val="24"/>
          <w:szCs w:val="24"/>
        </w:rPr>
        <w:t xml:space="preserve">The Sharpe ratio barely moves across a wide range of volatility targets. This is what a robust strategy looks like — results that do not depend on getting one specific parameter exactly right.</w:t>
      </w:r>
    </w:p>
    <w:p>
      <w:pPr>
        <w:pStyle w:val="Heading1"/>
        <w:spacing w:after="160" w:before="320"/>
      </w:pPr>
      <w:r>
        <w:rPr>
          <w:rFonts w:ascii="Arial" w:cs="Arial" w:eastAsia="Arial" w:hAnsi="Arial"/>
          <w:b/>
          <w:bCs/>
          <w:sz w:val="30"/>
          <w:szCs w:val="30"/>
        </w:rPr>
        <w:t xml:space="preserve">6. Where the Strategy Breaks Down</w:t>
      </w:r>
    </w:p>
    <w:p>
      <w:pPr>
        <w:spacing w:after="160" w:before="80"/>
      </w:pPr>
      <w:r>
        <w:rPr>
          <w:rFonts w:ascii="Arial" w:cs="Arial" w:eastAsia="Arial" w:hAnsi="Arial"/>
          <w:sz w:val="24"/>
          <w:szCs w:val="24"/>
        </w:rPr>
        <w:t xml:space="preserve">Honest evaluation requires documenting where the strategy fails, not just where it works.</w:t>
      </w:r>
    </w:p>
    <w:p>
      <w:pPr>
        <w:pStyle w:val="Heading2"/>
        <w:spacing w:after="120" w:before="240"/>
      </w:pPr>
      <w:r>
        <w:rPr>
          <w:rFonts w:ascii="Arial" w:cs="Arial" w:eastAsia="Arial" w:hAnsi="Arial"/>
          <w:b/>
          <w:bCs/>
          <w:sz w:val="26"/>
          <w:szCs w:val="26"/>
        </w:rPr>
        <w:t xml:space="preserve">Sharp reversals at market turning points</w:t>
      </w:r>
    </w:p>
    <w:p>
      <w:pPr>
        <w:spacing w:after="160" w:before="80"/>
      </w:pPr>
      <w:r>
        <w:rPr>
          <w:rFonts w:ascii="Arial" w:cs="Arial" w:eastAsia="Arial" w:hAnsi="Arial"/>
          <w:sz w:val="24"/>
          <w:szCs w:val="24"/>
        </w:rPr>
        <w:t xml:space="preserve">The strategy’s biggest weakness is at major inflection points like March 2009 or March 2020, when markets reverse direction suddenly and violently. At these moments, the strategy is positioned for the old trend and takes a concentrated loss before the signal can flip. The multi-horizon blending reduces how often this happens, but it cannot eliminate it.</w:t>
      </w:r>
    </w:p>
    <w:p>
      <w:pPr>
        <w:pStyle w:val="Heading2"/>
        <w:spacing w:after="120" w:before="240"/>
      </w:pPr>
      <w:r>
        <w:rPr>
          <w:rFonts w:ascii="Arial" w:cs="Arial" w:eastAsia="Arial" w:hAnsi="Arial"/>
          <w:b/>
          <w:bCs/>
          <w:sz w:val="26"/>
          <w:szCs w:val="26"/>
        </w:rPr>
        <w:t xml:space="preserve">Choppy, trendless markets</w:t>
      </w:r>
    </w:p>
    <w:p>
      <w:pPr>
        <w:spacing w:after="160" w:before="80"/>
      </w:pPr>
      <w:r>
        <w:rPr>
          <w:rFonts w:ascii="Arial" w:cs="Arial" w:eastAsia="Arial" w:hAnsi="Arial"/>
          <w:sz w:val="24"/>
          <w:szCs w:val="24"/>
        </w:rPr>
        <w:t xml:space="preserve">When markets move sideways with no persistent direction — as they did during much of 2017–2019 — the strategy repeatedly enters and exits positions, paying transaction costs each time without capturing any meaningful trend. This is visible in the weaker out-of-sample Sharpe during that period.</w:t>
      </w:r>
    </w:p>
    <w:p>
      <w:pPr>
        <w:pStyle w:val="Heading2"/>
        <w:spacing w:after="120" w:before="240"/>
      </w:pPr>
      <w:r>
        <w:rPr>
          <w:rFonts w:ascii="Arial" w:cs="Arial" w:eastAsia="Arial" w:hAnsi="Arial"/>
          <w:b/>
          <w:bCs/>
          <w:sz w:val="26"/>
          <w:szCs w:val="26"/>
        </w:rPr>
        <w:t xml:space="preserve">Sudden volatility spikes</w:t>
      </w:r>
    </w:p>
    <w:p>
      <w:pPr>
        <w:spacing w:after="160" w:before="80"/>
      </w:pPr>
      <w:r>
        <w:rPr>
          <w:rFonts w:ascii="Arial" w:cs="Arial" w:eastAsia="Arial" w:hAnsi="Arial"/>
          <w:sz w:val="24"/>
          <w:szCs w:val="24"/>
        </w:rPr>
        <w:t xml:space="preserve">The volatility targeting mechanism looks backward — it scales positions based on recent calm. If volatility spikes suddenly and dramatically (as it did in March 2020), the strategy is caught holding larger positions than it would have chosen had it known the spike was coming. The drawdown in that scenario arrives faster than the de-risking mechanism can respond.</w:t>
      </w:r>
    </w:p>
    <w:p>
      <w:pPr>
        <w:pStyle w:val="Heading2"/>
        <w:spacing w:after="120" w:before="240"/>
      </w:pPr>
      <w:r>
        <w:rPr>
          <w:rFonts w:ascii="Arial" w:cs="Arial" w:eastAsia="Arial" w:hAnsi="Arial"/>
          <w:b/>
          <w:bCs/>
          <w:sz w:val="26"/>
          <w:szCs w:val="26"/>
        </w:rPr>
        <w:t xml:space="preserve">Survivorship in the ETF universe</w:t>
      </w:r>
    </w:p>
    <w:p>
      <w:pPr>
        <w:spacing w:after="160" w:before="80"/>
      </w:pPr>
      <w:r>
        <w:rPr>
          <w:rFonts w:ascii="Arial" w:cs="Arial" w:eastAsia="Arial" w:hAnsi="Arial"/>
          <w:sz w:val="24"/>
          <w:szCs w:val="24"/>
        </w:rPr>
        <w:t xml:space="preserve">The eight ETFs used in this backtest all still exist today. ETFs that were closed or absorbed during the backtest period are not represented. This biases the results upward slightly, since failed instruments are excluded by construction.</w:t>
      </w:r>
    </w:p>
    <w:p>
      <w:pPr>
        <w:pStyle w:val="Heading1"/>
        <w:spacing w:after="160" w:before="320"/>
      </w:pPr>
      <w:r>
        <w:rPr>
          <w:rFonts w:ascii="Arial" w:cs="Arial" w:eastAsia="Arial" w:hAnsi="Arial"/>
          <w:b/>
          <w:bCs/>
          <w:sz w:val="30"/>
          <w:szCs w:val="30"/>
        </w:rPr>
        <w:t xml:space="preserve">7. Conclusion</w:t>
      </w:r>
    </w:p>
    <w:p>
      <w:pPr>
        <w:spacing w:after="160" w:before="80"/>
      </w:pPr>
      <w:r>
        <w:rPr>
          <w:rFonts w:ascii="Arial" w:cs="Arial" w:eastAsia="Arial" w:hAnsi="Arial"/>
          <w:sz w:val="24"/>
          <w:szCs w:val="24"/>
        </w:rPr>
        <w:t xml:space="preserve">The strategy does what it sets out to do: it captures a real, documented market phenomenon (time-series momentum) across a genuinely diversified set of assets, sizes positions by risk rather than capital, and validates the results on out-of-sample data it never saw during development.</w:t>
      </w:r>
    </w:p>
    <w:p>
      <w:pPr>
        <w:spacing w:after="160" w:before="80"/>
      </w:pPr>
      <w:r>
        <w:rPr>
          <w:rFonts w:ascii="Arial" w:cs="Arial" w:eastAsia="Arial" w:hAnsi="Arial"/>
          <w:sz w:val="24"/>
          <w:szCs w:val="24"/>
        </w:rPr>
        <w:t xml:space="preserve">It does not outperform a simple equity index on raw returns, and the code makes no attempt to hide this. The value of the strategy is in what it offers alongside an equity portfolio: low correlation, controlled drawdowns, and an edge that remains positive across meaningfully different market regimes.</w:t>
      </w:r>
    </w:p>
    <w:p>
      <w:pPr>
        <w:spacing w:after="160" w:before="80"/>
      </w:pPr>
      <w:r>
        <w:rPr>
          <w:rFonts w:ascii="Arial" w:cs="Arial" w:eastAsia="Arial" w:hAnsi="Arial"/>
          <w:sz w:val="24"/>
          <w:szCs w:val="24"/>
        </w:rPr>
        <w:t xml:space="preserve">Whether that tradeoff is worthwhile depends on the goals of the investor. As a standalone strategy, the returns are modest. As a component of a broader portfolio, the diversification properties are genuinely useful.</w:t>
      </w:r>
    </w:p>
    <w:p>
      <w:pPr>
        <w:pStyle w:val="Heading1"/>
        <w:spacing w:after="160" w:before="320"/>
      </w:pPr>
      <w:r>
        <w:rPr>
          <w:rFonts w:ascii="Arial" w:cs="Arial" w:eastAsia="Arial" w:hAnsi="Arial"/>
          <w:b/>
          <w:bCs/>
          <w:sz w:val="30"/>
          <w:szCs w:val="30"/>
        </w:rPr>
        <w:t xml:space="preserve">References</w:t>
      </w:r>
    </w:p>
    <w:p>
      <w:pPr>
        <w:spacing w:after="160" w:before="80"/>
      </w:pPr>
      <w:r>
        <w:rPr>
          <w:rFonts w:ascii="Arial" w:cs="Arial" w:eastAsia="Arial" w:hAnsi="Arial"/>
          <w:sz w:val="24"/>
          <w:szCs w:val="24"/>
        </w:rPr>
        <w:t xml:space="preserve">[1] Moskowitz, T. J., Ooi, Y. H., &amp; Pedersen, L. H. (2012). Time series momentum. Journal of Financial Economics, 104(2), 228–250.</w:t>
      </w:r>
    </w:p>
    <w:p>
      <w:pPr>
        <w:spacing w:after="160" w:before="80"/>
      </w:pPr>
      <w:r>
        <w:rPr>
          <w:rFonts w:ascii="Arial" w:cs="Arial" w:eastAsia="Arial" w:hAnsi="Arial"/>
          <w:sz w:val="24"/>
          <w:szCs w:val="24"/>
        </w:rPr>
        <w:t xml:space="preserve">[2] Moreira, A., &amp; Muir, T. (2017). Volatility managed portfolios. The Journal of Finance, 72(4), 1611–1644.</w:t>
      </w:r>
    </w:p>
    <w:p>
      <w:pPr>
        <w:spacing w:after="160" w:before="80"/>
      </w:pPr>
      <w:r>
        <w:rPr>
          <w:rFonts w:ascii="Arial" w:cs="Arial" w:eastAsia="Arial" w:hAnsi="Arial"/>
          <w:sz w:val="24"/>
          <w:szCs w:val="24"/>
        </w:rPr>
        <w:t xml:space="preserve">[3] Asness, C. S., Moskowitz, T. J., &amp; Pedersen, L. H. (2013). Value and momentum everywhere. The Journal of Finance, 68(3), 929–985.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2026-06-13T05:33:01.805Z</dcterms:created>
  <dcterms:modified xsi:type="dcterms:W3CDTF">2026-06-13T05:33:01.805Z</dcterms:modified>
</cp:coreProperties>
</file>

<file path=docProps/custom.xml><?xml version="1.0" encoding="utf-8"?>
<Properties xmlns="http://schemas.openxmlformats.org/officeDocument/2006/custom-properties" xmlns:vt="http://schemas.openxmlformats.org/officeDocument/2006/docPropsVTypes"/>
</file>