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0F1C2E"/>
          <w:sz w:val="40"/>
        </w:rPr>
        <w:t>An Empirical Framework for Diversified Multi-Asset Time-Series Momentum</w:t>
      </w:r>
    </w:p>
    <w:p>
      <w:pPr>
        <w:spacing w:after="360"/>
        <w:jc w:val="center"/>
      </w:pPr>
      <w:r>
        <w:rPr>
          <w:rFonts w:ascii="Times New Roman" w:hAnsi="Times New Roman"/>
          <w:i/>
          <w:color w:val="444444"/>
          <w:sz w:val="24"/>
        </w:rPr>
        <w:t>Systematic Risk Management, Volatility Targeting, and Drawdown Control Across Macro Regimes</w:t>
      </w:r>
    </w:p>
    <w:p>
      <w:pPr>
        <w:spacing w:after="40"/>
        <w:jc w:val="center"/>
      </w:pPr>
      <w:r>
        <w:rPr>
          <w:b/>
        </w:rPr>
        <w:t>Quantitative Research Department</w:t>
      </w:r>
    </w:p>
    <w:p>
      <w:pPr>
        <w:spacing w:after="480"/>
        <w:jc w:val="center"/>
      </w:pPr>
      <w:r>
        <w:rPr>
          <w:color w:val="666666"/>
          <w:sz w:val="20"/>
        </w:rPr>
        <w:t>June 2026</w:t>
      </w:r>
    </w:p>
    <w:p>
      <w:pPr>
        <w:spacing w:after="360"/>
        <w:jc w:val="center"/>
      </w:pPr>
      <w:r>
        <w:rPr>
          <w:color w:val="CCCCCC"/>
        </w:rPr>
        <w:t>__________________________________________________________________</w:t>
      </w:r>
    </w:p>
    <w:p>
      <w:pPr>
        <w:spacing w:after="80"/>
        <w:jc w:val="center"/>
      </w:pPr>
      <w:r>
        <w:rPr>
          <w:b/>
          <w:color w:val="0F1C2E"/>
          <w:sz w:val="22"/>
        </w:rPr>
        <w:t>ABSTRACT</w:t>
      </w:r>
    </w:p>
    <w:tbl>
      <w:tblPr>
        <w:tblW w:type="auto" w:w="0"/>
        <w:jc w:val="center"/>
        <w:tblLayout w:type="fixed"/>
        <w:tblLook w:firstColumn="1" w:firstRow="1" w:lastColumn="0" w:lastRow="0" w:noHBand="0" w:noVBand="1" w:val="04A0"/>
      </w:tblPr>
      <w:tblGrid>
        <w:gridCol w:w="7920"/>
      </w:tblGrid>
      <w:tr>
        <w:tc>
          <w:tcPr>
            <w:tcW w:type="dxa" w:w="9360"/>
            <w:shd w:val="clear" w:color="auto" w:fill="F8F9FA"/>
            <w:tcMar>
              <w:top w:w="140" w:type="dxa"/>
              <w:bottom w:w="140" w:type="dxa"/>
              <w:left w:w="200" w:type="dxa"/>
              <w:right w:w="200" w:type="dxa"/>
            </w:tcMar>
            <w:tcBorders>
              <w:top w:sz="4" w:val="single" w:color="DDDDDD"/>
              <w:bottom w:sz="4" w:val="single" w:color="DDDDDD"/>
              <w:left w:sz="4" w:val="single" w:color="DDDDDD"/>
              <w:right w:sz="4" w:val="single" w:color="DDDDDD"/>
            </w:tcBorders>
          </w:tcPr>
          <w:p>
            <w:pPr>
              <w:spacing w:after="0"/>
              <w:jc w:val="both"/>
            </w:pPr>
            <w:r>
              <w:rPr>
                <w:sz w:val="20"/>
              </w:rPr>
              <w:t>This paper details the structural and economic rationale underpinning a systematic, diversified multi-asset time-series momentum framework. Moving away from highly concentrated, single-asset equity strategies—which are inherently vulnerable to tail risks and regime shifts—we formalize a cross-asset alternative designed to survive structural market transitions. By implementing absolute momentum signals across equities, fixed income, commodities, and currencies, the framework exploits persistent behavioral biases and structural limits to arbitrage. Furthermore, we integrate explicit volatility targeting and risk management to systematically scale exposures inversely to realized market variance. The objective is to deliver a stable, market-independent risk-return profile (Target Gross Sharpe ≈ 0.7–1.0) capable of maintaining structural drawdown thresholds under 15% across full market cycles.</w:t>
            </w:r>
          </w:p>
        </w:tc>
      </w:tr>
    </w:tbl>
    <w:p>
      <w:pPr>
        <w:spacing w:after="360"/>
      </w:pPr>
    </w:p>
    <w:p>
      <w:pPr>
        <w:keepNext/>
        <w:spacing w:before="360" w:after="120"/>
      </w:pPr>
      <w:r>
        <w:rPr>
          <w:b/>
          <w:color w:val="0F1C2E"/>
          <w:sz w:val="28"/>
        </w:rPr>
        <w:t>1. Introduction &amp; Strategy Philosophy</w:t>
      </w:r>
    </w:p>
    <w:p>
      <w:pPr>
        <w:jc w:val="both"/>
      </w:pPr>
      <w:r>
        <w:t>A central challenge in systematic investment management is engineering a return stream that resists structural regime shifts without relying on market-timing luck. Single-name equity frameworks or long-only multi-asset configurations frequently fail this test; they are structurally bound to the equity risk premium and are vulnerable to tail-risk events. Under a strict maximum drawdown constraint of ≤ 15%, single-asset equity models face mathematical bottlenecks: the structural volatility of the asset class coupled with fat-tailed distribution profiles guarantees breaches during systemic liquidations.</w:t>
      </w:r>
    </w:p>
    <w:p>
      <w:pPr>
        <w:jc w:val="both"/>
      </w:pPr>
      <w:r>
        <w:t>The framework developed herein circumvents this limitation through structural diversification. Rather than seeking localized alpha within a single market, the strategy harvests a robust, universally documented macroeconomic anomaly—time-series (absolute) momentum—across a deeply diversified basket of globally liquid asset classes. Backed by over three-quarters of a century of empirical literature, absolute momentum provides an un-correlated return stream that thrives during sustained macroeconomic expansions and protracted market liquidations alike.</w:t>
      </w:r>
    </w:p>
    <w:p>
      <w:pPr>
        <w:keepNext/>
        <w:spacing w:before="360" w:after="120"/>
      </w:pPr>
      <w:r>
        <w:rPr>
          <w:b/>
          <w:color w:val="0F1C2E"/>
          <w:sz w:val="28"/>
        </w:rPr>
        <w:t>2. Economic Rationale &amp; Institutional Edge</w:t>
      </w:r>
    </w:p>
    <w:p>
      <w:pPr>
        <w:jc w:val="both"/>
      </w:pPr>
      <w:r>
        <w:t>Time-series momentum denotes a market phenomenon where an asset's absolute trailing performance over a medium-term horizon (typically 3 to 12 months) predicts its directional path over the immediate short-term horizon (1 to 3 months). Pioneered formal research by Moskowitz, Ooi, and Pedersen (2012) confirmed this structural tendency across global equities, sovereign debt, physical commodities, and currency pairs. Far from a temporary market glitch, this edge persists due to deeply embedded behavioral traits and institutional constraints.</w:t>
      </w:r>
    </w:p>
    <w:p>
      <w:pPr>
        <w:keepNext/>
        <w:spacing w:before="240" w:after="80"/>
      </w:pPr>
      <w:r>
        <w:rPr>
          <w:b/>
          <w:color w:val="1B365D"/>
          <w:sz w:val="24"/>
        </w:rPr>
        <w:t>A. Behavioral Underreaction and Information Cascades</w:t>
      </w:r>
    </w:p>
    <w:p>
      <w:pPr>
        <w:jc w:val="both"/>
      </w:pPr>
      <w:r>
        <w:t>Market pricing is fundamentally driven by human and institutional decision-making, which is prone to predictable cognitive biases:</w:t>
      </w:r>
    </w:p>
    <w:p>
      <w:pPr>
        <w:pStyle w:val="ListBullet"/>
      </w:pPr>
      <w:r>
        <w:rPr>
          <w:b/>
        </w:rPr>
        <w:t xml:space="preserve">Anchoring Bias: </w:t>
      </w:r>
      <w:r>
        <w:t>Market participants disproportionately anchor their valuations to historical baselines. When transformative macroeconomic data arrives, investors under-adjust their expectations, leading to a gradual rather than instantaneous price adjustment.</w:t>
      </w:r>
    </w:p>
    <w:p>
      <w:pPr>
        <w:pStyle w:val="ListBullet"/>
      </w:pPr>
      <w:r>
        <w:rPr>
          <w:b/>
        </w:rPr>
        <w:t xml:space="preserve">The Disposition Effect: </w:t>
      </w:r>
      <w:r>
        <w:t>Investors exhibit an asymmetric risk appetite, rushing to realize gains in winning positions to lock in safety, while stubbornly holding onto depreciating assets to avoid realizing losses. This mechanism artificially dampens immediate price discovery, creating positive return autocorrelation.</w:t>
      </w:r>
    </w:p>
    <w:p>
      <w:pPr>
        <w:pStyle w:val="ListBullet"/>
      </w:pPr>
      <w:r>
        <w:rPr>
          <w:b/>
        </w:rPr>
        <w:t xml:space="preserve">Slow Information Diffusion &amp; Herding: </w:t>
      </w:r>
      <w:r>
        <w:t>Information does not instantly permeate all market strata. It cascades from specialized fundamental analysts to macro asset allocators, and finally to systematic trend-followers, generating a multi-month directional drift.</w:t>
      </w:r>
    </w:p>
    <w:p>
      <w:pPr>
        <w:keepNext/>
        <w:spacing w:before="240" w:after="80"/>
      </w:pPr>
      <w:r>
        <w:rPr>
          <w:b/>
          <w:color w:val="1B365D"/>
          <w:sz w:val="24"/>
        </w:rPr>
        <w:t>B. Limits to Arbitrage</w:t>
      </w:r>
    </w:p>
    <w:p>
      <w:pPr>
        <w:jc w:val="both"/>
      </w:pPr>
      <w:r>
        <w:t>Classical financial theory suggests that rational arbitrageurs should quickly trade against these behavioral inefficiencies and eliminate them. However, in practical institutional settings, limits to arbitrage prevent this capital equalization:</w:t>
      </w:r>
    </w:p>
    <w:p>
      <w:pPr>
        <w:pStyle w:val="ListBullet"/>
      </w:pPr>
      <w:r>
        <w:rPr>
          <w:b/>
        </w:rPr>
        <w:t xml:space="preserve">Career Risk &amp; Mandate Constraints: </w:t>
      </w:r>
      <w:r>
        <w:t>Portfolio managers face severe operational risks if they fight a powerful macro trend. Standing against a market momentum wave introduces extreme short-term tracking error, which can trigger capital redemptions or termination before the convergence trade normalizes.</w:t>
      </w:r>
    </w:p>
    <w:p>
      <w:pPr>
        <w:pStyle w:val="ListBullet"/>
      </w:pPr>
      <w:r>
        <w:rPr>
          <w:b/>
        </w:rPr>
        <w:t xml:space="preserve">Funding Liquidity &amp; Leverage Path-Dependence: </w:t>
      </w:r>
      <w:r>
        <w:t>Arbitrage requires leverage. If an allocator takes a contrarian position against a runaway trend, intermediate margin calls or volatility spikes can force premature liquidation at the worst possible market juncture, leaving the underlying momentum trend intact.</w:t>
      </w:r>
    </w:p>
    <w:p>
      <w:pPr>
        <w:keepNext/>
        <w:spacing w:before="360" w:after="120"/>
      </w:pPr>
      <w:r>
        <w:rPr>
          <w:b/>
          <w:color w:val="0F1C2E"/>
          <w:sz w:val="28"/>
        </w:rPr>
        <w:t>3. Mathematical Formulation of the Framework</w:t>
      </w:r>
    </w:p>
    <w:p>
      <w:pPr>
        <w:jc w:val="both"/>
      </w:pPr>
      <w:r>
        <w:t>The asset universe consists of N highly liquid assets representing four core macro sleeves: Equities, Rates, Commodities, and Foreign Exchange. The investment process executes on a systematic monthly cadence.</w:t>
      </w:r>
    </w:p>
    <w:p>
      <w:pPr>
        <w:keepNext/>
        <w:spacing w:before="240" w:after="80"/>
      </w:pPr>
      <w:r>
        <w:rPr>
          <w:b/>
          <w:color w:val="1B365D"/>
          <w:sz w:val="24"/>
        </w:rPr>
        <w:t>A. Signal Generation</w:t>
      </w:r>
    </w:p>
    <w:p>
      <w:pPr>
        <w:jc w:val="both"/>
      </w:pPr>
      <w:r>
        <w:t>For each asset i at the end of month t, the absolute momentum signal is derived from an lookback vector. Let P_{i,t} represent the adjusted closing price of asset i. The raw directional trend signal S_{i,t} is formulated as:</w:t>
      </w:r>
    </w:p>
    <w:p>
      <w:pPr>
        <w:spacing w:before="160" w:after="160"/>
        <w:jc w:val="center"/>
      </w:pPr>
      <w:r>
        <w:rPr>
          <w:b/>
          <w:color w:val="1B365D"/>
          <w:sz w:val="23"/>
        </w:rPr>
        <w:t>S_{i,t} = sign( P_{i,t} - P_{i,t-12} )  ∈  {-1, +1}</w:t>
      </w:r>
    </w:p>
    <w:p>
      <w:pPr>
        <w:jc w:val="both"/>
      </w:pPr>
      <w:r>
        <w:t>To refine signal robustness and insulate the portfolio from idiosyncratic monthly noise, we utilize a blended combination of 3-month, 6-month, and 12-month lookback intervals, assigning equal weight to each lookback vector to establish the final directional mandate.</w:t>
      </w:r>
    </w:p>
    <w:p>
      <w:pPr>
        <w:keepNext/>
        <w:spacing w:before="240" w:after="80"/>
      </w:pPr>
      <w:r>
        <w:rPr>
          <w:b/>
          <w:color w:val="1B365D"/>
          <w:sz w:val="24"/>
        </w:rPr>
        <w:t>B. Volatility Targeting and Capital Allocation</w:t>
      </w:r>
    </w:p>
    <w:p>
      <w:pPr>
        <w:jc w:val="both"/>
      </w:pPr>
      <w:r>
        <w:t>A core driver of the strategy's risk-adjusted performance is active volatility management, rooted in the foundational work of Moreira and Muir (2017). Financial market volatility is highly clustered and predictable, whereas raw asset returns exhibit low predictability. By dynamically scaling exposures inversely to recent realized volatility, the strategy aims to maintain a constant risk footprint.</w:t>
      </w:r>
    </w:p>
    <w:p>
      <w:pPr>
        <w:jc w:val="both"/>
      </w:pPr>
      <w:r>
        <w:t>Let σ_{i,t} denote the annualized realized volatility of asset i over a rolling 60-day window. For a predefined portfolio target volatility σ_{target} (e.g., 10%), the target risk-managed weight W_{i,t} for asset i is defined as:</w:t>
      </w:r>
    </w:p>
    <w:p>
      <w:pPr>
        <w:spacing w:before="160" w:after="160"/>
        <w:jc w:val="center"/>
      </w:pPr>
      <w:r>
        <w:rPr>
          <w:b/>
          <w:color w:val="1B365D"/>
          <w:sz w:val="23"/>
        </w:rPr>
        <w:t>W_{i,t} = (1 / N)  ×  (σ_{target} / σ_{i,t})  ×  S_{i,t}</w:t>
      </w:r>
    </w:p>
    <w:p>
      <w:pPr>
        <w:jc w:val="both"/>
      </w:pPr>
      <w:r>
        <w:t>This risk-scaling mechanism ensures that during highly volatile, tail-risk environments, positions scale down rapidly to protect capital. Conversely, in low-volatility, steady-state regimes, positions size up to maximize risk-adjusted capture.</w:t>
      </w:r>
    </w:p>
    <w:tbl>
      <w:tblPr>
        <w:tblW w:type="auto" w:w="0"/>
        <w:jc w:val="center"/>
        <w:tblLayout w:type="fixed"/>
        <w:tblLook w:firstColumn="1" w:firstRow="1" w:lastColumn="0" w:lastRow="0" w:noHBand="0" w:noVBand="1" w:val="04A0"/>
      </w:tblPr>
      <w:tblGrid>
        <w:gridCol w:w="8640"/>
      </w:tblGrid>
      <w:tr>
        <w:tc>
          <w:tcPr>
            <w:tcW w:type="dxa" w:w="9360"/>
            <w:shd w:val="clear" w:color="auto" w:fill="F0F4F8"/>
            <w:tcMar>
              <w:top w:w="100" w:type="dxa"/>
              <w:bottom w:w="100" w:type="dxa"/>
              <w:left w:w="150" w:type="dxa"/>
              <w:right w:w="150" w:type="dxa"/>
            </w:tcMar>
            <w:tcBorders>
              <w:left w:sz="24" w:val="single" w:color="1B365D"/>
            </w:tcBorders>
          </w:tcPr>
          <w:p>
            <w:pPr>
              <w:spacing w:after="0"/>
            </w:pPr>
            <w:r>
              <w:rPr>
                <w:b/>
                <w:color w:val="0F1C2E"/>
              </w:rPr>
              <w:t>The Volatility-Targeting Edge</w:t>
              <w:br/>
            </w:r>
            <w:r>
              <w:rPr>
                <w:sz w:val="20"/>
              </w:rPr>
              <w:t>High-volatility regimes historically correlate with compressed, unpredictable asset return distributions and enhanced tail-risk profiles. Scaling asset exposure inversely to rolling variance acts as an automated risk-mitigation framework, driving a substantial expansion in the long-term Sharpe ratio.</w:t>
            </w:r>
          </w:p>
        </w:tc>
      </w:tr>
    </w:tbl>
    <w:p>
      <w:pPr>
        <w:spacing w:after="240"/>
      </w:pPr>
    </w:p>
    <w:p>
      <w:pPr>
        <w:keepNext/>
        <w:spacing w:before="360" w:after="120"/>
      </w:pPr>
      <w:r>
        <w:rPr>
          <w:b/>
          <w:color w:val="0F1C2E"/>
          <w:sz w:val="28"/>
        </w:rPr>
        <w:t>4. Portfolio Diversification and Asset Matrix</w:t>
      </w:r>
    </w:p>
    <w:p>
      <w:pPr>
        <w:jc w:val="both"/>
      </w:pPr>
      <w:r>
        <w:t>The structural defense against localized equity drawdowns stems directly from cross-asset diversification. Because the directional trend signals across different macro asset groups exhibit structurally low correlation, the combined portfolio benefits from a powerful diversification return.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0F1C2E"/>
            <w:tcMar>
              <w:top w:w="80" w:type="dxa"/>
              <w:bottom w:w="80" w:type="dxa"/>
              <w:left w:w="100" w:type="dxa"/>
              <w:right w:w="100" w:type="dxa"/>
            </w:tcMar>
          </w:tcPr>
          <w:p>
            <w:pPr>
              <w:jc w:val="left"/>
            </w:pPr>
            <w:r>
              <w:rPr>
                <w:b/>
                <w:color w:val="FFFFFF"/>
                <w:sz w:val="19"/>
              </w:rPr>
              <w:t>Macro Sleeve</w:t>
            </w:r>
          </w:p>
        </w:tc>
        <w:tc>
          <w:tcPr>
            <w:tcW w:type="dxa" w:w="2592"/>
            <w:shd w:val="clear" w:color="auto" w:fill="0F1C2E"/>
            <w:tcMar>
              <w:top w:w="80" w:type="dxa"/>
              <w:bottom w:w="80" w:type="dxa"/>
              <w:left w:w="100" w:type="dxa"/>
              <w:right w:w="100" w:type="dxa"/>
            </w:tcMar>
          </w:tcPr>
          <w:p>
            <w:pPr>
              <w:jc w:val="left"/>
            </w:pPr>
            <w:r>
              <w:rPr>
                <w:b/>
                <w:color w:val="FFFFFF"/>
                <w:sz w:val="19"/>
              </w:rPr>
              <w:t>Core Asset Proxies</w:t>
            </w:r>
          </w:p>
        </w:tc>
        <w:tc>
          <w:tcPr>
            <w:tcW w:type="dxa" w:w="2592"/>
            <w:shd w:val="clear" w:color="auto" w:fill="0F1C2E"/>
            <w:tcMar>
              <w:top w:w="80" w:type="dxa"/>
              <w:bottom w:w="80" w:type="dxa"/>
              <w:left w:w="100" w:type="dxa"/>
              <w:right w:w="100" w:type="dxa"/>
            </w:tcMar>
          </w:tcPr>
          <w:p>
            <w:pPr>
              <w:jc w:val="left"/>
            </w:pPr>
            <w:r>
              <w:rPr>
                <w:b/>
                <w:color w:val="FFFFFF"/>
                <w:sz w:val="19"/>
              </w:rPr>
              <w:t>Primary Trend Driver</w:t>
            </w:r>
          </w:p>
        </w:tc>
        <w:tc>
          <w:tcPr>
            <w:tcW w:type="dxa" w:w="2448"/>
            <w:shd w:val="clear" w:color="auto" w:fill="0F1C2E"/>
            <w:tcMar>
              <w:top w:w="80" w:type="dxa"/>
              <w:bottom w:w="80" w:type="dxa"/>
              <w:left w:w="100" w:type="dxa"/>
              <w:right w:w="100" w:type="dxa"/>
            </w:tcMar>
          </w:tcPr>
          <w:p>
            <w:pPr>
              <w:jc w:val="left"/>
            </w:pPr>
            <w:r>
              <w:rPr>
                <w:b/>
                <w:color w:val="FFFFFF"/>
                <w:sz w:val="19"/>
              </w:rPr>
              <w:t>Historical Correlation Regime</w:t>
            </w:r>
          </w:p>
        </w:tc>
      </w:tr>
      <w:tr>
        <w:tc>
          <w:tcPr>
            <w:tcW w:type="dxa" w:w="1728"/>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Equities</w:t>
            </w:r>
          </w:p>
        </w:tc>
        <w:tc>
          <w:tcPr>
            <w:tcW w:type="dxa" w:w="2592"/>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S&amp;P 500, Euro Stoxx 50, MSCI Emerging Markets</w:t>
            </w:r>
          </w:p>
        </w:tc>
        <w:tc>
          <w:tcPr>
            <w:tcW w:type="dxa" w:w="2592"/>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Economic growth cycles, corporate earnings</w:t>
            </w:r>
          </w:p>
        </w:tc>
        <w:tc>
          <w:tcPr>
            <w:tcW w:type="dxa" w:w="2448"/>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High cross-equity correlation; cyclical</w:t>
            </w:r>
          </w:p>
        </w:tc>
      </w:tr>
      <w:tr>
        <w:tc>
          <w:tcPr>
            <w:tcW w:type="dxa" w:w="1728"/>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Fixed Income</w:t>
            </w:r>
          </w:p>
        </w:tc>
        <w:tc>
          <w:tcPr>
            <w:tcW w:type="dxa" w:w="2592"/>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US 10Y Treasuries, German Bunds, JGBs</w:t>
            </w:r>
          </w:p>
        </w:tc>
        <w:tc>
          <w:tcPr>
            <w:tcW w:type="dxa" w:w="2592"/>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Monetary policy, inflation path, flight-to-safety</w:t>
            </w:r>
          </w:p>
        </w:tc>
        <w:tc>
          <w:tcPr>
            <w:tcW w:type="dxa" w:w="2448"/>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Negatively correlated to equities in inflation-stable regimes</w:t>
            </w:r>
          </w:p>
        </w:tc>
      </w:tr>
      <w:tr>
        <w:tc>
          <w:tcPr>
            <w:tcW w:type="dxa" w:w="1728"/>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Commodities</w:t>
            </w:r>
          </w:p>
        </w:tc>
        <w:tc>
          <w:tcPr>
            <w:tcW w:type="dxa" w:w="2592"/>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Crude Oil, Copper, Agricultural Blends</w:t>
            </w:r>
          </w:p>
        </w:tc>
        <w:tc>
          <w:tcPr>
            <w:tcW w:type="dxa" w:w="2592"/>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Supply-chain shifts, industrial demand, structural inflation</w:t>
            </w:r>
          </w:p>
        </w:tc>
        <w:tc>
          <w:tcPr>
            <w:tcW w:type="dxa" w:w="2448"/>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Low correlation to financial assets; pro-inflationary</w:t>
            </w:r>
          </w:p>
        </w:tc>
      </w:tr>
      <w:tr>
        <w:tc>
          <w:tcPr>
            <w:tcW w:type="dxa" w:w="1728"/>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Currencies / Metals</w:t>
            </w:r>
          </w:p>
        </w:tc>
        <w:tc>
          <w:tcPr>
            <w:tcW w:type="dxa" w:w="2592"/>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USD Index, EUR/USD, Gold (XAU)</w:t>
            </w:r>
          </w:p>
        </w:tc>
        <w:tc>
          <w:tcPr>
            <w:tcW w:type="dxa" w:w="2592"/>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Real interest rate differentials, systemic tail hedging</w:t>
            </w:r>
          </w:p>
        </w:tc>
        <w:tc>
          <w:tcPr>
            <w:tcW w:type="dxa" w:w="2448"/>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Asymmetric safe-haven characteristics (Gold)</w:t>
            </w:r>
          </w:p>
        </w:tc>
      </w:tr>
    </w:tbl>
    <w:p>
      <w:pPr>
        <w:spacing w:after="240"/>
      </w:pPr>
    </w:p>
    <w:p>
      <w:pPr>
        <w:keepNext/>
        <w:spacing w:before="360" w:after="120"/>
      </w:pPr>
      <w:r>
        <w:rPr>
          <w:b/>
          <w:color w:val="0F1C2E"/>
          <w:sz w:val="28"/>
        </w:rPr>
        <w:t>5. Structural Risk Management and Vulnerabilities</w:t>
      </w:r>
    </w:p>
    <w:p>
      <w:pPr>
        <w:jc w:val="both"/>
      </w:pPr>
      <w:r>
        <w:t>Achieving institutional execution requires a rigorous assessment of the framework's primary failure modes. Rather than relying on static long-term return assumptions, the strategy actively incorporates defensive parameters tailored to its known vulnerabilities.</w:t>
      </w:r>
    </w:p>
    <w:p>
      <w:pPr>
        <w:keepNext/>
        <w:spacing w:before="240" w:after="80"/>
      </w:pPr>
      <w:r>
        <w:rPr>
          <w:b/>
          <w:color w:val="1B365D"/>
          <w:sz w:val="24"/>
        </w:rPr>
        <w:t>1. Sharp V-Shaped Macro Reversals</w:t>
      </w:r>
    </w:p>
    <w:p>
      <w:pPr>
        <w:jc w:val="both"/>
      </w:pPr>
      <w:r>
        <w:t>The primary operational vulnerability of any trend-following engine is a rapid, high-momentum reversal at major cyclical turning points (e.g., March 2009 global equity trough, March-April 2020 pandemic response, or the 2023 regional banking liquidity crunch). At these junctions, absolute momentum models are heavily positioned for the prevailing trend (e.g., short equities, long safe-havens). When policy interventions or macro shifts abruptly reverse prices, the model suffers a concentrated drawdown before its lookback vectors can adjust.</w:t>
      </w:r>
    </w:p>
    <w:p>
      <w:pPr>
        <w:keepNext/>
        <w:spacing w:before="240" w:after="80"/>
      </w:pPr>
      <w:r>
        <w:rPr>
          <w:b/>
          <w:color w:val="1B365D"/>
          <w:sz w:val="24"/>
        </w:rPr>
        <w:t>2. Range-Bound, Congested Markets</w:t>
      </w:r>
    </w:p>
    <w:p>
      <w:pPr>
        <w:jc w:val="both"/>
      </w:pPr>
      <w:r>
        <w:t>In extended sideways consolidation phases, the system is exposed to 'death by a thousand whipsaws.' In these environments, signals repeatedly flip between long and short regimes, executing transactions near local trend peaks and troughs, resulting in serial friction decay without riding a sustained trend.</w:t>
      </w:r>
    </w:p>
    <w:p>
      <w:pPr>
        <w:keepNext/>
        <w:spacing w:before="240" w:after="80"/>
      </w:pPr>
      <w:r>
        <w:rPr>
          <w:b/>
          <w:color w:val="1B365D"/>
          <w:sz w:val="24"/>
        </w:rPr>
        <w:t>3. Volatility Outrun Shock</w:t>
      </w:r>
    </w:p>
    <w:p>
      <w:pPr>
        <w:jc w:val="both"/>
      </w:pPr>
      <w:r>
        <w:t>Because volatility tracking relies on trailing historical windows, a severe, instantaneous jump in volatility (e.g., a 'Vol-Shock' event) can outrun the targeting engine. In this scenario, the strategy enters the crisis with maximum leverage, taking an immediate draw before the de-risking architecture can scale down exposure.</w:t>
      </w:r>
    </w:p>
    <w:p>
      <w:pPr>
        <w:keepNext/>
        <w:spacing w:before="240" w:after="80"/>
      </w:pPr>
      <w:r>
        <w:rPr>
          <w:b/>
          <w:color w:val="1B365D"/>
          <w:sz w:val="24"/>
        </w:rPr>
        <w:t>4. Transaction Friction &amp; Capital Erosion</w:t>
      </w:r>
    </w:p>
    <w:p>
      <w:pPr>
        <w:jc w:val="both"/>
      </w:pPr>
      <w:r>
        <w:t>A naive, unconstrained daily rebalancing approach quickly degrades trend alpha through transaction fees and market impact. To preserve the structural edge, this model enforces a strict monthly signal execution cadence augmented by no-trade volatility bands. Adjustments to target weights are only executed if the target shift exceeds a specific percentage threshold, isolating the portfolio from minor, low-value rebalancing churn.</w:t>
      </w:r>
    </w:p>
    <w:p>
      <w:pPr>
        <w:keepNext/>
        <w:spacing w:before="360" w:after="120"/>
      </w:pPr>
      <w:r>
        <w:rPr>
          <w:b/>
          <w:color w:val="0F1C2E"/>
          <w:sz w:val="28"/>
        </w:rPr>
        <w:t>6. Empirical Performance Expectations &amp; Empirical Targets</w:t>
      </w:r>
    </w:p>
    <w:p>
      <w:pPr>
        <w:jc w:val="both"/>
      </w:pPr>
      <w:r>
        <w:t>A rigorous review of historical cross-asset trend performance indicates that while a maximum drawdown constraint of ≤ 15% is realistic over multi-decade cycles, it requires disciplined capital sizing. The performance parameters are detailed below.</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0F1C2E"/>
            <w:tcMar>
              <w:top w:w="80" w:type="dxa"/>
              <w:bottom w:w="80" w:type="dxa"/>
              <w:left w:w="100" w:type="dxa"/>
              <w:right w:w="100" w:type="dxa"/>
            </w:tcMar>
          </w:tcPr>
          <w:p>
            <w:r>
              <w:rPr>
                <w:b/>
                <w:color w:val="FFFFFF"/>
                <w:sz w:val="19"/>
              </w:rPr>
              <w:t>Performance Metric</w:t>
            </w:r>
          </w:p>
        </w:tc>
        <w:tc>
          <w:tcPr>
            <w:tcW w:type="dxa" w:w="2160"/>
            <w:shd w:val="clear" w:color="auto" w:fill="0F1C2E"/>
            <w:tcMar>
              <w:top w:w="80" w:type="dxa"/>
              <w:bottom w:w="80" w:type="dxa"/>
              <w:left w:w="100" w:type="dxa"/>
              <w:right w:w="100" w:type="dxa"/>
            </w:tcMar>
          </w:tcPr>
          <w:p>
            <w:r>
              <w:rPr>
                <w:b/>
                <w:color w:val="FFFFFF"/>
                <w:sz w:val="19"/>
              </w:rPr>
              <w:t>Target Projection</w:t>
            </w:r>
          </w:p>
        </w:tc>
        <w:tc>
          <w:tcPr>
            <w:tcW w:type="dxa" w:w="4608"/>
            <w:shd w:val="clear" w:color="auto" w:fill="0F1C2E"/>
            <w:tcMar>
              <w:top w:w="80" w:type="dxa"/>
              <w:bottom w:w="80" w:type="dxa"/>
              <w:left w:w="100" w:type="dxa"/>
              <w:right w:w="100" w:type="dxa"/>
            </w:tcMar>
          </w:tcPr>
          <w:p>
            <w:r>
              <w:rPr>
                <w:b/>
                <w:color w:val="FFFFFF"/>
                <w:sz w:val="19"/>
              </w:rPr>
              <w:t>Structural Driver / Assessment</w:t>
            </w:r>
          </w:p>
        </w:tc>
      </w:tr>
      <w:tr>
        <w:tc>
          <w:tcPr>
            <w:tcW w:type="dxa" w:w="2592"/>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Gross Sharpe Ratio</w:t>
            </w:r>
          </w:p>
        </w:tc>
        <w:tc>
          <w:tcPr>
            <w:tcW w:type="dxa" w:w="2160"/>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0.70 – 1.00</w:t>
            </w:r>
          </w:p>
        </w:tc>
        <w:tc>
          <w:tcPr>
            <w:tcW w:type="dxa" w:w="4608"/>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Supported by cross-asset premium timing and mathematical volatility scaling.</w:t>
            </w:r>
          </w:p>
        </w:tc>
      </w:tr>
      <w:tr>
        <w:tc>
          <w:tcPr>
            <w:tcW w:type="dxa" w:w="2592"/>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Target Portfolio Volatility</w:t>
            </w:r>
          </w:p>
        </w:tc>
        <w:tc>
          <w:tcPr>
            <w:tcW w:type="dxa" w:w="2160"/>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~10.0%</w:t>
            </w:r>
          </w:p>
        </w:tc>
        <w:tc>
          <w:tcPr>
            <w:tcW w:type="dxa" w:w="4608"/>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Actively managed via inverse-realized variance scaling.</w:t>
            </w:r>
          </w:p>
        </w:tc>
      </w:tr>
      <w:tr>
        <w:tc>
          <w:tcPr>
            <w:tcW w:type="dxa" w:w="2592"/>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Max Historical Drawdown</w:t>
            </w:r>
          </w:p>
        </w:tc>
        <w:tc>
          <w:tcPr>
            <w:tcW w:type="dxa" w:w="2160"/>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12.0% – 15.0%</w:t>
            </w:r>
          </w:p>
        </w:tc>
        <w:tc>
          <w:tcPr>
            <w:tcW w:type="dxa" w:w="4608"/>
            <w:shd w:val="clear" w:color="auto" w:fill="FFFFFF"/>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Maintained via cross-asset diversification and tail de-risking. Critical stress test under V-reversals.</w:t>
            </w:r>
          </w:p>
        </w:tc>
      </w:tr>
      <w:tr>
        <w:tc>
          <w:tcPr>
            <w:tcW w:type="dxa" w:w="2592"/>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Expected CAGR</w:t>
            </w:r>
          </w:p>
        </w:tc>
        <w:tc>
          <w:tcPr>
            <w:tcW w:type="dxa" w:w="2160"/>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High-single to Low-double digits</w:t>
            </w:r>
          </w:p>
        </w:tc>
        <w:tc>
          <w:tcPr>
            <w:tcW w:type="dxa" w:w="4608"/>
            <w:shd w:val="clear" w:color="auto" w:fill="F8F9FA"/>
            <w:tcMar>
              <w:top w:w="80" w:type="dxa"/>
              <w:bottom w:w="80" w:type="dxa"/>
              <w:left w:w="100" w:type="dxa"/>
              <w:right w:w="100" w:type="dxa"/>
            </w:tcMar>
            <w:tcBorders>
              <w:top w:sz="2" w:val="single" w:color="DDDDDD"/>
              <w:bottom w:sz="2" w:val="single" w:color="DDDDDD"/>
              <w:left w:sz="2" w:val="single" w:color="DDDDDD"/>
              <w:right w:sz="2" w:val="single" w:color="DDDDDD"/>
            </w:tcBorders>
          </w:tcPr>
          <w:p>
            <w:r>
              <w:rPr>
                <w:sz w:val="19"/>
              </w:rPr>
              <w:t>Derived from compounding multi-sleeve trend capture while avoiding catastrophic left-tail losses.</w:t>
            </w:r>
          </w:p>
        </w:tc>
      </w:tr>
    </w:tbl>
    <w:p>
      <w:pPr>
        <w:spacing w:after="240"/>
      </w:pPr>
    </w:p>
    <w:p>
      <w:pPr>
        <w:keepNext/>
        <w:spacing w:before="360" w:after="120"/>
      </w:pPr>
      <w:r>
        <w:rPr>
          <w:b/>
          <w:color w:val="0F1C2E"/>
          <w:sz w:val="28"/>
        </w:rPr>
        <w:t>7. Conclusion</w:t>
      </w:r>
    </w:p>
    <w:p>
      <w:pPr>
        <w:jc w:val="both"/>
      </w:pPr>
      <w:r>
        <w:t>The diversified multi-asset time-series momentum framework presents a mathematically robust alternative to traditional equity-centric portfolios. By executing directional macro signals across independent asset categories and overlaying strict, systematic volatility targeting, the model bridges the gap between behavioral inefficiencies and operational risk controls. While V-shaped inflection points and low-volatility congestion zones represent structural vulnerabilities, the utilization of multi-horizon signals and monthly execution bands helps safeguard the core trading edge. Ultimately, the framework delivers a reliable, repeatable investment architecture designed to navigate diverse global macroeconomic environments.</w:t>
      </w:r>
    </w:p>
    <w:p>
      <w:pPr>
        <w:keepNext/>
        <w:spacing w:before="480" w:after="120"/>
      </w:pPr>
      <w:r>
        <w:rPr>
          <w:b/>
          <w:sz w:val="22"/>
        </w:rPr>
        <w:t>References</w:t>
      </w:r>
    </w:p>
    <w:p>
      <w:pPr>
        <w:spacing w:after="80"/>
        <w:ind w:left="360"/>
      </w:pPr>
      <w:r>
        <w:rPr>
          <w:color w:val="333333"/>
          <w:sz w:val="19"/>
        </w:rPr>
        <w:t>[1] Moskowitz, T. J., Ooi, Y. H., &amp; Pedersen, L. H. (2012). "Time series momentum." Journal of Financial Economics, 104(2), 228-250.</w:t>
      </w:r>
    </w:p>
    <w:p>
      <w:pPr>
        <w:spacing w:after="80"/>
        <w:ind w:left="360"/>
      </w:pPr>
      <w:r>
        <w:rPr>
          <w:color w:val="333333"/>
          <w:sz w:val="19"/>
        </w:rPr>
        <w:t>[2] Moreira, A., &amp; Muir, T. (2017). "Volatility managed portfolios." The Journal of Finance, 72(4), 1611-1644.</w:t>
      </w:r>
    </w:p>
    <w:p>
      <w:pPr>
        <w:spacing w:after="80"/>
        <w:ind w:left="360"/>
      </w:pPr>
      <w:r>
        <w:rPr>
          <w:color w:val="333333"/>
          <w:sz w:val="19"/>
        </w:rPr>
        <w:t>[3] Asness, C. S., Moskowitz, T. J., &amp; Pedersen, L. H. (2013). "Value and momentum everywhere." The Journal of Finance, 68(3), 929-985.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