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E74B5"/>
          <w:sz w:val="22"/>
        </w:rPr>
        <w:t>ARIMA</w:t>
      </w:r>
    </w:p>
    <w:p>
      <w:pPr>
        <w:spacing w:after="1000"/>
      </w:pPr>
    </w:p>
    <w:p>
      <w:pPr>
        <w:pStyle w:val="Title"/>
      </w:pPr>
      <w:r>
        <w:t>Product, UX &amp;</w:t>
        <w:br/>
        <w:t>Go-to-Market Audit</w:t>
      </w:r>
    </w:p>
    <w:p>
      <w:pPr>
        <w:pStyle w:val="Subtitle"/>
      </w:pPr>
      <w:r>
        <w:t>A direct assessment of the current public product, the path to trust, and the market wedge worth owning.</w:t>
      </w:r>
    </w:p>
    <w:p>
      <w:pPr>
        <w:spacing w:after="520"/>
      </w:pPr>
    </w:p>
    <w:tbl>
      <w:tblPr>
        <w:tblW w:type="auto" w:w="0"/>
        <w:tblLayout w:type="fixed"/>
        <w:tblLook w:firstColumn="1" w:firstRow="1" w:lastColumn="0" w:lastRow="0" w:noHBand="0" w:noVBand="1" w:val="04A0"/>
      </w:tblPr>
      <w:tblGrid>
        <w:gridCol w:w="9720"/>
      </w:tblGrid>
      <w:tr>
        <w:trPr>
          <w:cantSplit/>
        </w:trPr>
        <w:tc>
          <w:tcPr>
            <w:tcW w:type="dxa" w:w="9878"/>
            <w:shd w:fill="EDF4FA"/>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One-line verdict</w:t>
            </w:r>
          </w:p>
          <w:p>
            <w:pPr>
              <w:keepLines/>
              <w:spacing w:after="0" w:line="252" w:lineRule="auto"/>
            </w:pPr>
            <w:r>
              <w:rPr>
                <w:rFonts w:ascii="Arial" w:hAnsi="Arial"/>
                <w:sz w:val="18"/>
              </w:rPr>
              <w:t>Arima has a fundable product wedge—plain language to an inspectable Polymarket strategy—but it is currently hidden inside an overbuilt terminal and weakened by avoidable trust defects.</w:t>
            </w:r>
          </w:p>
        </w:tc>
      </w:tr>
    </w:tbl>
    <w:p>
      <w:pPr>
        <w:spacing w:after="0"/>
      </w:pPr>
    </w:p>
    <w:p>
      <w:pPr>
        <w:spacing w:after="520"/>
      </w:pP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cantSplit/>
        </w:trPr>
        <w:tc>
          <w:tcPr>
            <w:tcW w:type="dxa" w:w="1944"/>
            <w:shd w:fill="17365D"/>
            <w:vAlign w:val="center"/>
            <w:tcMar>
              <w:top w:w="80" w:type="dxa"/>
              <w:start w:w="110" w:type="dxa"/>
              <w:bottom w:w="80" w:type="dxa"/>
              <w:end w:w="110" w:type="dxa"/>
            </w:tcMar>
          </w:tcPr>
          <w:p>
            <w:pPr>
              <w:keepLines/>
              <w:spacing w:after="0" w:line="240" w:lineRule="auto"/>
            </w:pPr>
            <w:r/>
            <w:r>
              <w:rPr>
                <w:rFonts w:ascii="Arial" w:hAnsi="Arial"/>
                <w:b/>
                <w:color w:val="FFFFFF"/>
                <w:sz w:val="18"/>
              </w:rPr>
              <w:t>Lens</w:t>
            </w:r>
          </w:p>
        </w:tc>
        <w:tc>
          <w:tcPr>
            <w:tcW w:type="dxa" w:w="7704"/>
            <w:shd w:fill="17365D"/>
            <w:vAlign w:val="center"/>
            <w:tcMar>
              <w:top w:w="80" w:type="dxa"/>
              <w:start w:w="110" w:type="dxa"/>
              <w:bottom w:w="80" w:type="dxa"/>
              <w:end w:w="110" w:type="dxa"/>
            </w:tcMar>
          </w:tcPr>
          <w:p>
            <w:pPr>
              <w:keepLines/>
              <w:spacing w:after="0" w:line="240" w:lineRule="auto"/>
            </w:pPr>
            <w:r/>
            <w:r>
              <w:rPr>
                <w:rFonts w:ascii="Arial" w:hAnsi="Arial"/>
                <w:b/>
                <w:color w:val="FFFFFF"/>
                <w:sz w:val="18"/>
              </w:rPr>
              <w:t>What was assessed</w:t>
            </w:r>
          </w:p>
        </w:tc>
      </w:tr>
      <w:tr>
        <w:trPr>
          <w:cantSplit/>
          <w:cantSplit/>
        </w:trPr>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8"/>
              </w:rPr>
              <w:t>Trader</w:t>
            </w:r>
          </w:p>
        </w:tc>
        <w:tc>
          <w:tcPr>
            <w:tcW w:type="dxa" w:w="7704"/>
            <w:vAlign w:val="center"/>
            <w:tcMar>
              <w:top w:w="80" w:type="dxa"/>
              <w:start w:w="110" w:type="dxa"/>
              <w:bottom w:w="80" w:type="dxa"/>
              <w:end w:w="110" w:type="dxa"/>
            </w:tcMar>
          </w:tcPr>
          <w:p>
            <w:pPr>
              <w:keepLines/>
              <w:spacing w:after="0" w:line="240" w:lineRule="auto"/>
            </w:pPr>
            <w:r/>
            <w:r>
              <w:rPr>
                <w:rFonts w:ascii="Arial" w:hAnsi="Arial"/>
                <w:b w:val="0"/>
                <w:color w:val="222222"/>
                <w:sz w:val="18"/>
              </w:rPr>
              <w:t>Can I understand it, trust it, and reach a useful outcome fast?</w:t>
            </w:r>
          </w:p>
        </w:tc>
      </w:tr>
      <w:tr>
        <w:trPr>
          <w:cantSplit/>
          <w:cantSplit/>
        </w:trPr>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8"/>
              </w:rPr>
              <w:t>Investor</w:t>
            </w:r>
          </w:p>
        </w:tc>
        <w:tc>
          <w:tcPr>
            <w:tcW w:type="dxa" w:w="77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8"/>
              </w:rPr>
              <w:t>Is the wedge sharp, defensible, validated, and economically plausible?</w:t>
            </w:r>
          </w:p>
        </w:tc>
      </w:tr>
      <w:tr>
        <w:trPr>
          <w:cantSplit/>
          <w:cantSplit/>
        </w:trPr>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8"/>
              </w:rPr>
              <w:t>Product / UX</w:t>
            </w:r>
          </w:p>
        </w:tc>
        <w:tc>
          <w:tcPr>
            <w:tcW w:type="dxa" w:w="7704"/>
            <w:vAlign w:val="center"/>
            <w:tcMar>
              <w:top w:w="80" w:type="dxa"/>
              <w:start w:w="110" w:type="dxa"/>
              <w:bottom w:w="80" w:type="dxa"/>
              <w:end w:w="110" w:type="dxa"/>
            </w:tcMar>
          </w:tcPr>
          <w:p>
            <w:pPr>
              <w:keepLines/>
              <w:spacing w:after="0" w:line="240" w:lineRule="auto"/>
            </w:pPr>
            <w:r/>
            <w:r>
              <w:rPr>
                <w:rFonts w:ascii="Arial" w:hAnsi="Arial"/>
                <w:b w:val="0"/>
                <w:color w:val="222222"/>
                <w:sz w:val="18"/>
              </w:rPr>
              <w:t>Are the flows coherent across desktop and mobile, including failure states?</w:t>
            </w:r>
          </w:p>
        </w:tc>
      </w:tr>
      <w:tr>
        <w:trPr>
          <w:cantSplit/>
          <w:cantSplit/>
        </w:trPr>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8"/>
              </w:rPr>
              <w:t>Marketing</w:t>
            </w:r>
          </w:p>
        </w:tc>
        <w:tc>
          <w:tcPr>
            <w:tcW w:type="dxa" w:w="77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8"/>
              </w:rPr>
              <w:t>Who is the first buyer, what promise will convert, and where can Arima reach them?</w:t>
            </w:r>
          </w:p>
        </w:tc>
      </w:tr>
    </w:tbl>
    <w:p>
      <w:pPr>
        <w:spacing w:after="0"/>
      </w:pPr>
    </w:p>
    <w:p>
      <w:pPr>
        <w:pStyle w:val="Small"/>
      </w:pPr>
      <w:r>
        <w:t>Audit date: 20 July 2026  •  Public site: arima.finance  •  Repository: local project review</w:t>
      </w:r>
    </w:p>
    <w:p>
      <w:pPr>
        <w:pStyle w:val="Small"/>
      </w:pPr>
      <w:r>
        <w:t>Scope note: Public and unauthenticated flows were tested, including the AI builder and simulation. No wallet signing, deposits, live orders, withdrawals, or signed-in notification delivery were performed. No product source code was changed.</w:t>
      </w:r>
    </w:p>
    <w:p>
      <w:r>
        <w:br w:type="page"/>
      </w:r>
    </w:p>
    <w:p>
      <w:pPr>
        <w:keepNext/>
        <w:spacing w:after="80"/>
      </w:pPr>
      <w:r>
        <w:rPr>
          <w:rFonts w:ascii="Arial" w:hAnsi="Arial"/>
          <w:b/>
          <w:color w:val="2E74B5"/>
          <w:sz w:val="18"/>
        </w:rPr>
        <w:t>EXECUTIVE SUMMARY</w:t>
      </w:r>
    </w:p>
    <w:p>
      <w:pPr>
        <w:pStyle w:val="Title"/>
      </w:pPr>
      <w:r>
        <w:t>The honest read</w:t>
      </w:r>
    </w:p>
    <w:p>
      <w:r>
        <w:t>Arima’s best moment is excellent: a trader types an idea, gets a structured rule on a visual canvas, sees live market context and a payoff simulation, and can inspect what will happen before signing. That is not another market browser; it is a programmable order layer for Polymarket.</w:t>
      </w:r>
    </w:p>
    <w:p>
      <w:r>
        <w:t>The product loses credibility around that moment. The homepage changes its promise after hydration. Trading and geoblock status contradict themselves. “Proven plays” foreground positive backtests despite explicit selection bias. Most seriously, “Make it $200” was interpreted as 200 shares—turning a dollar budget into a different risk amount. On mobile, the builder overflows a 390 px viewport and hides core controls.</w:t>
      </w:r>
    </w:p>
    <w:p>
      <w:r>
        <w:t>The repository tells a similar story: unusually strong engineering discipline and test coverage, but far more product surface than the current validation stage justifies. Arima has built much of a trading terminal, wallet/funds stack, notifications, and execution machinery before proving one repeated workflow with a narrow group of traders.</w:t>
      </w:r>
    </w:p>
    <w:tbl>
      <w:tblPr>
        <w:tblW w:type="auto" w:w="0"/>
        <w:tblLayout w:type="fixed"/>
        <w:tblLook w:firstColumn="1" w:firstRow="1" w:lastColumn="0" w:lastRow="0" w:noHBand="0" w:noVBand="1" w:val="04A0"/>
      </w:tblPr>
      <w:tblGrid>
        <w:gridCol w:w="9720"/>
      </w:tblGrid>
      <w:tr>
        <w:trPr>
          <w:cantSplit/>
        </w:trPr>
        <w:tc>
          <w:tcPr>
            <w:tcW w:type="dxa" w:w="9878"/>
            <w:shd w:fill="FCE4D6"/>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Recommendation</w:t>
            </w:r>
          </w:p>
          <w:p>
            <w:pPr>
              <w:keepLines/>
              <w:spacing w:after="0" w:line="252" w:lineRule="auto"/>
            </w:pPr>
            <w:r>
              <w:rPr>
                <w:rFonts w:ascii="Arial" w:hAnsi="Arial"/>
                <w:sz w:val="18"/>
              </w:rPr>
              <w:t>Stop expanding breadth. Make “describe → inspect → simulate → watch → manually confirm” flawless for one active-trader segment. Treat safety semantics, status truth, mobile reflow, and a neutral evidence model as release blockers.</w:t>
            </w:r>
          </w:p>
        </w:tc>
      </w:tr>
    </w:tbl>
    <w:p>
      <w:pPr>
        <w:spacing w:after="0"/>
      </w:pPr>
    </w:p>
    <w:p>
      <w:pPr>
        <w:pStyle w:val="Heading1"/>
      </w:pPr>
      <w:r>
        <w:t>Scorecard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2952"/>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Dimension</w:t>
            </w:r>
          </w:p>
        </w:tc>
        <w:tc>
          <w:tcPr>
            <w:tcW w:type="dxa" w:w="1224"/>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Score</w:t>
            </w:r>
          </w:p>
        </w:tc>
        <w:tc>
          <w:tcPr>
            <w:tcW w:type="dxa" w:w="5472"/>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Read</w:t>
            </w:r>
          </w:p>
        </w:tc>
      </w:tr>
      <w:tr>
        <w:trPr>
          <w:cantSplit/>
          <w:cantSplit/>
        </w:trPr>
        <w:tc>
          <w:tcPr>
            <w:tcW w:type="dxa" w:w="2952"/>
            <w:vAlign w:val="center"/>
            <w:tcMar>
              <w:top w:w="80" w:type="dxa"/>
              <w:start w:w="110" w:type="dxa"/>
              <w:bottom w:w="80" w:type="dxa"/>
              <w:end w:w="110" w:type="dxa"/>
            </w:tcMar>
          </w:tcPr>
          <w:p>
            <w:pPr>
              <w:keepLines/>
              <w:spacing w:after="0" w:line="240" w:lineRule="auto"/>
            </w:pPr>
            <w:r/>
            <w:r>
              <w:rPr>
                <w:rFonts w:ascii="Arial" w:hAnsi="Arial"/>
                <w:b w:val="0"/>
                <w:color w:val="222222"/>
                <w:sz w:val="17"/>
              </w:rPr>
              <w:t>Core product wedge</w:t>
            </w:r>
          </w:p>
        </w:tc>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8.5 / 10</w:t>
            </w:r>
          </w:p>
        </w:tc>
        <w:tc>
          <w:tcPr>
            <w:tcW w:type="dxa" w:w="5472"/>
            <w:vAlign w:val="center"/>
            <w:tcMar>
              <w:top w:w="80" w:type="dxa"/>
              <w:start w:w="110" w:type="dxa"/>
              <w:bottom w:w="80" w:type="dxa"/>
              <w:end w:w="110" w:type="dxa"/>
            </w:tcMar>
          </w:tcPr>
          <w:p>
            <w:pPr>
              <w:keepLines/>
              <w:spacing w:after="0" w:line="240" w:lineRule="auto"/>
            </w:pPr>
            <w:r/>
            <w:r>
              <w:rPr>
                <w:rFonts w:ascii="Arial" w:hAnsi="Arial"/>
                <w:b w:val="0"/>
                <w:color w:val="222222"/>
                <w:sz w:val="17"/>
              </w:rPr>
              <w:t>Distinctive, useful, easy to demonstrate.</w:t>
            </w:r>
          </w:p>
        </w:tc>
      </w:tr>
      <w:tr>
        <w:trPr>
          <w:cantSplit/>
          <w:cantSplit/>
        </w:trPr>
        <w:tc>
          <w:tcPr>
            <w:tcW w:type="dxa" w:w="29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Desktop builder / aha moment</w:t>
            </w:r>
          </w:p>
        </w:tc>
        <w:tc>
          <w:tcPr>
            <w:tcW w:type="dxa" w:w="12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8 / 10</w:t>
            </w:r>
          </w:p>
        </w:tc>
        <w:tc>
          <w:tcPr>
            <w:tcW w:type="dxa" w:w="547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Powerful once reached; editing model still needs simplification.</w:t>
            </w:r>
          </w:p>
        </w:tc>
      </w:tr>
      <w:tr>
        <w:trPr>
          <w:cantSplit/>
          <w:cantSplit/>
        </w:trPr>
        <w:tc>
          <w:tcPr>
            <w:tcW w:type="dxa" w:w="2952"/>
            <w:vAlign w:val="center"/>
            <w:tcMar>
              <w:top w:w="80" w:type="dxa"/>
              <w:start w:w="110" w:type="dxa"/>
              <w:bottom w:w="80" w:type="dxa"/>
              <w:end w:w="110" w:type="dxa"/>
            </w:tcMar>
          </w:tcPr>
          <w:p>
            <w:pPr>
              <w:keepLines/>
              <w:spacing w:after="0" w:line="240" w:lineRule="auto"/>
            </w:pPr>
            <w:r/>
            <w:r>
              <w:rPr>
                <w:rFonts w:ascii="Arial" w:hAnsi="Arial"/>
                <w:b w:val="0"/>
                <w:color w:val="222222"/>
                <w:sz w:val="17"/>
              </w:rPr>
              <w:t>First-visit clarity</w:t>
            </w:r>
          </w:p>
        </w:tc>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6 / 10</w:t>
            </w:r>
          </w:p>
        </w:tc>
        <w:tc>
          <w:tcPr>
            <w:tcW w:type="dxa" w:w="5472"/>
            <w:vAlign w:val="center"/>
            <w:tcMar>
              <w:top w:w="80" w:type="dxa"/>
              <w:start w:w="110" w:type="dxa"/>
              <w:bottom w:w="80" w:type="dxa"/>
              <w:end w:w="110" w:type="dxa"/>
            </w:tcMar>
          </w:tcPr>
          <w:p>
            <w:pPr>
              <w:keepLines/>
              <w:spacing w:after="0" w:line="240" w:lineRule="auto"/>
            </w:pPr>
            <w:r/>
            <w:r>
              <w:rPr>
                <w:rFonts w:ascii="Arial" w:hAnsi="Arial"/>
                <w:b w:val="0"/>
                <w:color w:val="222222"/>
                <w:sz w:val="17"/>
              </w:rPr>
              <w:t>Promise is understandable, but “AI trader vs terminal vs automation tool” remains fuzzy.</w:t>
            </w:r>
          </w:p>
        </w:tc>
      </w:tr>
      <w:tr>
        <w:trPr>
          <w:cantSplit/>
          <w:cantSplit/>
        </w:trPr>
        <w:tc>
          <w:tcPr>
            <w:tcW w:type="dxa" w:w="29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Trader trust &amp; safety</w:t>
            </w:r>
          </w:p>
        </w:tc>
        <w:tc>
          <w:tcPr>
            <w:tcW w:type="dxa" w:w="12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4.5 / 10</w:t>
            </w:r>
          </w:p>
        </w:tc>
        <w:tc>
          <w:tcPr>
            <w:tcW w:type="dxa" w:w="547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Unit bug, optimistic proof language, status contradictions, and missing rule context.</w:t>
            </w:r>
          </w:p>
        </w:tc>
      </w:tr>
      <w:tr>
        <w:trPr>
          <w:cantSplit/>
          <w:cantSplit/>
        </w:trPr>
        <w:tc>
          <w:tcPr>
            <w:tcW w:type="dxa" w:w="2952"/>
            <w:vAlign w:val="center"/>
            <w:tcMar>
              <w:top w:w="80" w:type="dxa"/>
              <w:start w:w="110" w:type="dxa"/>
              <w:bottom w:w="80" w:type="dxa"/>
              <w:end w:w="110" w:type="dxa"/>
            </w:tcMar>
          </w:tcPr>
          <w:p>
            <w:pPr>
              <w:keepLines/>
              <w:spacing w:after="0" w:line="240" w:lineRule="auto"/>
            </w:pPr>
            <w:r/>
            <w:r>
              <w:rPr>
                <w:rFonts w:ascii="Arial" w:hAnsi="Arial"/>
                <w:b w:val="0"/>
                <w:color w:val="222222"/>
                <w:sz w:val="17"/>
              </w:rPr>
              <w:t>Market discovery</w:t>
            </w:r>
          </w:p>
        </w:tc>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7 / 10</w:t>
            </w:r>
          </w:p>
        </w:tc>
        <w:tc>
          <w:tcPr>
            <w:tcW w:type="dxa" w:w="5472"/>
            <w:vAlign w:val="center"/>
            <w:tcMar>
              <w:top w:w="80" w:type="dxa"/>
              <w:start w:w="110" w:type="dxa"/>
              <w:bottom w:w="80" w:type="dxa"/>
              <w:end w:w="110" w:type="dxa"/>
            </w:tcMar>
          </w:tcPr>
          <w:p>
            <w:pPr>
              <w:keepLines/>
              <w:spacing w:after="0" w:line="240" w:lineRule="auto"/>
            </w:pPr>
            <w:r/>
            <w:r>
              <w:rPr>
                <w:rFonts w:ascii="Arial" w:hAnsi="Arial"/>
                <w:b w:val="0"/>
                <w:color w:val="222222"/>
                <w:sz w:val="17"/>
              </w:rPr>
              <w:t>Good density and automation handoff; weak event/rules framing.</w:t>
            </w:r>
          </w:p>
        </w:tc>
      </w:tr>
      <w:tr>
        <w:trPr>
          <w:cantSplit/>
          <w:cantSplit/>
        </w:trPr>
        <w:tc>
          <w:tcPr>
            <w:tcW w:type="dxa" w:w="29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Mobile builder</w:t>
            </w:r>
          </w:p>
        </w:tc>
        <w:tc>
          <w:tcPr>
            <w:tcW w:type="dxa" w:w="12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3 / 10</w:t>
            </w:r>
          </w:p>
        </w:tc>
        <w:tc>
          <w:tcPr>
            <w:tcW w:type="dxa" w:w="547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Horizontal overflow and obscured controls make the core workflow unreliable.</w:t>
            </w:r>
          </w:p>
        </w:tc>
      </w:tr>
      <w:tr>
        <w:trPr>
          <w:cantSplit/>
          <w:cantSplit/>
        </w:trPr>
        <w:tc>
          <w:tcPr>
            <w:tcW w:type="dxa" w:w="2952"/>
            <w:vAlign w:val="center"/>
            <w:tcMar>
              <w:top w:w="80" w:type="dxa"/>
              <w:start w:w="110" w:type="dxa"/>
              <w:bottom w:w="80" w:type="dxa"/>
              <w:end w:w="110" w:type="dxa"/>
            </w:tcMar>
          </w:tcPr>
          <w:p>
            <w:pPr>
              <w:keepLines/>
              <w:spacing w:after="0" w:line="240" w:lineRule="auto"/>
            </w:pPr>
            <w:r/>
            <w:r>
              <w:rPr>
                <w:rFonts w:ascii="Arial" w:hAnsi="Arial"/>
                <w:b w:val="0"/>
                <w:color w:val="222222"/>
                <w:sz w:val="17"/>
              </w:rPr>
              <w:t>Engineering foundation</w:t>
            </w:r>
          </w:p>
        </w:tc>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9 / 10</w:t>
            </w:r>
          </w:p>
        </w:tc>
        <w:tc>
          <w:tcPr>
            <w:tcW w:type="dxa" w:w="5472"/>
            <w:vAlign w:val="center"/>
            <w:tcMar>
              <w:top w:w="80" w:type="dxa"/>
              <w:start w:w="110" w:type="dxa"/>
              <w:bottom w:w="80" w:type="dxa"/>
              <w:end w:w="110" w:type="dxa"/>
            </w:tcMar>
          </w:tcPr>
          <w:p>
            <w:pPr>
              <w:keepLines/>
              <w:spacing w:after="0" w:line="240" w:lineRule="auto"/>
            </w:pPr>
            <w:r/>
            <w:r>
              <w:rPr>
                <w:rFonts w:ascii="Arial" w:hAnsi="Arial"/>
                <w:b w:val="0"/>
                <w:color w:val="222222"/>
                <w:sz w:val="17"/>
              </w:rPr>
              <w:t>Typed architecture, ADRs, fail-closed patterns, broad automated tests.</w:t>
            </w:r>
          </w:p>
        </w:tc>
      </w:tr>
      <w:tr>
        <w:trPr>
          <w:cantSplit/>
          <w:cantSplit/>
        </w:trPr>
        <w:tc>
          <w:tcPr>
            <w:tcW w:type="dxa" w:w="29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Growth readiness</w:t>
            </w:r>
          </w:p>
        </w:tc>
        <w:tc>
          <w:tcPr>
            <w:tcW w:type="dxa" w:w="12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4.5 / 10</w:t>
            </w:r>
          </w:p>
        </w:tc>
        <w:tc>
          <w:tcPr>
            <w:tcW w:type="dxa" w:w="547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No visible customer proof, pricing, focused acquisition loop, or activation evidence.</w:t>
            </w:r>
          </w:p>
        </w:tc>
      </w:tr>
      <w:tr>
        <w:trPr>
          <w:cantSplit/>
          <w:cantSplit/>
        </w:trPr>
        <w:tc>
          <w:tcPr>
            <w:tcW w:type="dxa" w:w="2952"/>
            <w:vAlign w:val="center"/>
            <w:tcMar>
              <w:top w:w="80" w:type="dxa"/>
              <w:start w:w="110" w:type="dxa"/>
              <w:bottom w:w="80" w:type="dxa"/>
              <w:end w:w="110" w:type="dxa"/>
            </w:tcMar>
          </w:tcPr>
          <w:p>
            <w:pPr>
              <w:keepLines/>
              <w:spacing w:after="0" w:line="240" w:lineRule="auto"/>
            </w:pPr>
            <w:r/>
            <w:r>
              <w:rPr>
                <w:rFonts w:ascii="Arial" w:hAnsi="Arial"/>
                <w:b w:val="0"/>
                <w:color w:val="222222"/>
                <w:sz w:val="17"/>
              </w:rPr>
              <w:t>Investor readiness</w:t>
            </w:r>
          </w:p>
        </w:tc>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5.5 / 10</w:t>
            </w:r>
          </w:p>
        </w:tc>
        <w:tc>
          <w:tcPr>
            <w:tcW w:type="dxa" w:w="5472"/>
            <w:vAlign w:val="center"/>
            <w:tcMar>
              <w:top w:w="80" w:type="dxa"/>
              <w:start w:w="110" w:type="dxa"/>
              <w:bottom w:w="80" w:type="dxa"/>
              <w:end w:w="110" w:type="dxa"/>
            </w:tcMar>
          </w:tcPr>
          <w:p>
            <w:pPr>
              <w:keepLines/>
              <w:spacing w:after="0" w:line="240" w:lineRule="auto"/>
            </w:pPr>
            <w:r/>
            <w:r>
              <w:rPr>
                <w:rFonts w:ascii="Arial" w:hAnsi="Arial"/>
                <w:b w:val="0"/>
                <w:color w:val="222222"/>
                <w:sz w:val="17"/>
              </w:rPr>
              <w:t>Strong demo and technical moat ingredients; weak focus and validation story.</w:t>
            </w:r>
          </w:p>
        </w:tc>
      </w:tr>
    </w:tbl>
    <w:p>
      <w:pPr>
        <w:spacing w:after="0"/>
      </w:pPr>
    </w:p>
    <w:p>
      <w:r>
        <w:br w:type="page"/>
      </w:r>
    </w:p>
    <w:p>
      <w:pPr>
        <w:keepNext/>
        <w:spacing w:after="80"/>
      </w:pPr>
      <w:r>
        <w:rPr>
          <w:rFonts w:ascii="Arial" w:hAnsi="Arial"/>
          <w:b/>
          <w:color w:val="2E74B5"/>
          <w:sz w:val="18"/>
        </w:rPr>
        <w:t>PART I — PRODUCT AUDIT</w:t>
      </w:r>
    </w:p>
    <w:p>
      <w:pPr>
        <w:pStyle w:val="Title"/>
      </w:pPr>
      <w:r>
        <w:t>1. What Arima actually is today</w:t>
      </w:r>
    </w:p>
    <w:p>
      <w:r>
        <w:t>The public product contains three overlapping ideas:</w:t>
      </w:r>
    </w:p>
    <w:p>
      <w:pPr>
        <w:spacing w:after="60"/>
        <w:ind w:left="360" w:hanging="288"/>
      </w:pPr>
      <w:r>
        <w:rPr>
          <w:b/>
        </w:rPr>
        <w:t xml:space="preserve">1.  </w:t>
      </w:r>
      <w:r>
        <w:t>A Polymarket discovery terminal: markets, charts, order book, trades, holders, related markets, and portfolio surfaces.</w:t>
      </w:r>
    </w:p>
    <w:p>
      <w:pPr>
        <w:spacing w:after="60"/>
        <w:ind w:left="360" w:hanging="288"/>
      </w:pPr>
      <w:r>
        <w:rPr>
          <w:b/>
        </w:rPr>
        <w:t xml:space="preserve">2.  </w:t>
      </w:r>
      <w:r>
        <w:t>An AI strategy composer: plain language becomes typed conditions and actions on a visual canvas.</w:t>
      </w:r>
    </w:p>
    <w:p>
      <w:pPr>
        <w:spacing w:after="60"/>
        <w:ind w:left="360" w:hanging="288"/>
      </w:pPr>
      <w:r>
        <w:rPr>
          <w:b/>
        </w:rPr>
        <w:t xml:space="preserve">3.  </w:t>
      </w:r>
      <w:r>
        <w:t>A trading operations layer: wallet/funds, notifications, conditional execution, and order management.</w:t>
      </w:r>
    </w:p>
    <w:p>
      <w:r>
        <w:t>All three are coherent parts of a future platform. They are not equally good acquisition messages. The AI strategy composer is the differentiated wedge. Market intelligence should support it; wallet and operations should appear only when the trader is ready to save, watch, or execute.</w:t>
      </w:r>
    </w:p>
    <w:tbl>
      <w:tblPr>
        <w:tblW w:type="auto" w:w="0"/>
        <w:tblLayout w:type="fixed"/>
        <w:tblLook w:firstColumn="1" w:firstRow="1" w:lastColumn="0" w:lastRow="0" w:noHBand="0" w:noVBand="1" w:val="04A0"/>
      </w:tblPr>
      <w:tblGrid>
        <w:gridCol w:w="9720"/>
      </w:tblGrid>
      <w:tr>
        <w:trPr>
          <w:cantSplit/>
        </w:trPr>
        <w:tc>
          <w:tcPr>
            <w:tcW w:type="dxa" w:w="9878"/>
            <w:shd w:fill="FDE9E7"/>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Positioning diagnosis</w:t>
            </w:r>
          </w:p>
          <w:p>
            <w:pPr>
              <w:keepLines/>
              <w:spacing w:after="0" w:line="252" w:lineRule="auto"/>
            </w:pPr>
            <w:r>
              <w:rPr>
                <w:rFonts w:ascii="Arial" w:hAnsi="Arial"/>
                <w:sz w:val="18"/>
              </w:rPr>
              <w:t>The homepage sells “type a thought.” The navigation and market pages sell a terminal. The wallet sells infrastructure. A new visitor must assemble the category themselves.</w:t>
            </w:r>
          </w:p>
        </w:tc>
      </w:tr>
    </w:tbl>
    <w:p>
      <w:pPr>
        <w:spacing w:after="0"/>
      </w:pPr>
    </w:p>
    <w:p>
      <w:pPr>
        <w:pStyle w:val="Heading1"/>
      </w:pPr>
      <w:r>
        <w:t>2. What is objectively good and interesting</w:t>
      </w:r>
    </w:p>
    <w:p>
      <w:pPr>
        <w:pStyle w:val="ListBullet"/>
        <w:spacing w:after="40"/>
        <w:ind w:left="317" w:hanging="230"/>
      </w:pPr>
      <w:r>
        <w:t>Immediate value without an account. A visitor can open a market scenario, enter the builder, and simulate a strategy before connecting a wallet.</w:t>
      </w:r>
    </w:p>
    <w:p>
      <w:pPr>
        <w:pStyle w:val="ListBullet"/>
        <w:spacing w:after="40"/>
        <w:ind w:left="317" w:hanging="230"/>
      </w:pPr>
      <w:r>
        <w:t>Inspectability. The sentence, canvas blocks, market data, trigger state, and payoff projection make the AI output visible rather than magical.</w:t>
      </w:r>
    </w:p>
    <w:p>
      <w:pPr>
        <w:pStyle w:val="ListBullet"/>
        <w:spacing w:after="40"/>
        <w:ind w:left="317" w:hanging="230"/>
      </w:pPr>
      <w:r>
        <w:t>Strong market-to-builder handoff. “Buy the dip,” “patient limit entry,” and other scenarios turn abstract automation into concrete jobs.</w:t>
      </w:r>
    </w:p>
    <w:p>
      <w:pPr>
        <w:pStyle w:val="ListBullet"/>
        <w:spacing w:after="40"/>
        <w:ind w:left="317" w:hanging="230"/>
      </w:pPr>
      <w:r>
        <w:t>Honest execution caveats. Simulation calls out fees, slippage, partial fills, and unmodeled behavior instead of pretending to predict profit.</w:t>
      </w:r>
    </w:p>
    <w:p>
      <w:pPr>
        <w:pStyle w:val="ListBullet"/>
        <w:spacing w:after="40"/>
        <w:ind w:left="317" w:hanging="230"/>
      </w:pPr>
      <w:r>
        <w:t>Calm market density. Cards show probability, YES/NO price, volume, and time remaining without copying Polymarket’s information overload.</w:t>
      </w:r>
    </w:p>
    <w:p>
      <w:pPr>
        <w:pStyle w:val="ListBullet"/>
        <w:spacing w:after="40"/>
        <w:ind w:left="317" w:hanging="230"/>
      </w:pPr>
      <w:r>
        <w:t>Optional onboarding. Walkthroughs are dismissible and replayable, and the builder has context-specific help.</w:t>
      </w:r>
    </w:p>
    <w:p>
      <w:pPr>
        <w:pStyle w:val="ListBullet"/>
        <w:spacing w:after="40"/>
        <w:ind w:left="317" w:hanging="230"/>
      </w:pPr>
      <w:r>
        <w:t>Serious engineering underneath. The local suite passed 1,019 tests (738 root + 281 web; 3 skipped); type checks passed. State machines, idempotency, audit trails, and adapters are visible in the architecture.</w:t>
      </w:r>
    </w:p>
    <w:p>
      <w:pPr>
        <w:pStyle w:val="Heading1"/>
      </w:pPr>
      <w:r>
        <w:t>3. The investor-grade asset</w:t>
      </w:r>
    </w:p>
    <w:p>
      <w:r>
        <w:t>Arima’s defensible story is not “we added AI to prediction markets.” It is: a typed strategy language, grounded in live market data, rendered so humans can inspect it, simulated before use, and connected to reliable execution evidence. The moat grows through reliability, strategy history, reusable templates, trader behavior data, and distribution—not through the prompt box alone.</w:t>
      </w:r>
    </w:p>
    <w:p>
      <w:r>
        <w:br w:type="page"/>
      </w:r>
    </w:p>
    <w:p>
      <w:pPr>
        <w:keepNext/>
        <w:spacing w:after="80"/>
      </w:pPr>
      <w:r>
        <w:rPr>
          <w:rFonts w:ascii="Arial" w:hAnsi="Arial"/>
          <w:b/>
          <w:color w:val="2E74B5"/>
          <w:sz w:val="18"/>
        </w:rPr>
        <w:t>PART I — CURRENT EXPERIENCE</w:t>
      </w:r>
    </w:p>
    <w:p>
      <w:pPr>
        <w:pStyle w:val="Title"/>
      </w:pPr>
      <w:r>
        <w:t>4. The current “what is this?” → “I want it” path</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1152"/>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Time</w:t>
            </w:r>
          </w:p>
        </w:tc>
        <w:tc>
          <w:tcPr>
            <w:tcW w:type="dxa" w:w="3816"/>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What happens now</w:t>
            </w:r>
          </w:p>
        </w:tc>
        <w:tc>
          <w:tcPr>
            <w:tcW w:type="dxa" w:w="4680"/>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User interpretation / friction</w:t>
            </w:r>
          </w:p>
        </w:tc>
      </w:tr>
      <w:tr>
        <w:trPr>
          <w:cantSplit/>
          <w:cantSplit/>
        </w:trPr>
        <w:tc>
          <w:tcPr>
            <w:tcW w:type="dxa" w:w="1152"/>
            <w:vAlign w:val="center"/>
            <w:tcMar>
              <w:top w:w="80" w:type="dxa"/>
              <w:start w:w="110" w:type="dxa"/>
              <w:bottom w:w="80" w:type="dxa"/>
              <w:end w:w="110" w:type="dxa"/>
            </w:tcMar>
          </w:tcPr>
          <w:p>
            <w:pPr>
              <w:keepLines/>
              <w:spacing w:after="0" w:line="240" w:lineRule="auto"/>
            </w:pPr>
            <w:r/>
            <w:r>
              <w:rPr>
                <w:rFonts w:ascii="Arial" w:hAnsi="Arial"/>
                <w:b w:val="0"/>
                <w:color w:val="222222"/>
                <w:sz w:val="16"/>
              </w:rPr>
              <w:t>0–5 sec</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6"/>
              </w:rPr>
              <w:t>Hero appears, then changes from “Build smart orders visually” to “Type a thought.”</w:t>
            </w:r>
          </w:p>
        </w:tc>
        <w:tc>
          <w:tcPr>
            <w:tcW w:type="dxa" w:w="4680"/>
            <w:vAlign w:val="center"/>
            <w:tcMar>
              <w:top w:w="80" w:type="dxa"/>
              <w:start w:w="110" w:type="dxa"/>
              <w:bottom w:w="80" w:type="dxa"/>
              <w:end w:w="110" w:type="dxa"/>
            </w:tcMar>
          </w:tcPr>
          <w:p>
            <w:pPr>
              <w:keepLines/>
              <w:spacing w:after="0" w:line="240" w:lineRule="auto"/>
            </w:pPr>
            <w:r/>
            <w:r>
              <w:rPr>
                <w:rFonts w:ascii="Arial" w:hAnsi="Arial"/>
                <w:b w:val="0"/>
                <w:color w:val="222222"/>
                <w:sz w:val="16"/>
              </w:rPr>
              <w:t>Category is unstable. The visitor asks: terminal, AI trader, or bot? The visible content shift costs polish and trust.</w:t>
            </w:r>
          </w:p>
        </w:tc>
      </w:tr>
      <w:tr>
        <w:trPr>
          <w:cantSplit/>
          <w:cantSplit/>
        </w:trPr>
        <w:tc>
          <w:tcPr>
            <w:tcW w:type="dxa" w:w="11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5–20 sec</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Prompt, examples, “Proven plays,” and live market cards explain conditional strategies.</w:t>
            </w:r>
          </w:p>
        </w:tc>
        <w:tc>
          <w:tcPr>
            <w:tcW w:type="dxa" w:w="468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The idea becomes clearer, but profit-forward labels create skepticism for experienced traders.</w:t>
            </w:r>
          </w:p>
        </w:tc>
      </w:tr>
      <w:tr>
        <w:trPr>
          <w:cantSplit/>
          <w:cantSplit/>
        </w:trPr>
        <w:tc>
          <w:tcPr>
            <w:tcW w:type="dxa" w:w="1152"/>
            <w:vAlign w:val="center"/>
            <w:tcMar>
              <w:top w:w="80" w:type="dxa"/>
              <w:start w:w="110" w:type="dxa"/>
              <w:bottom w:w="80" w:type="dxa"/>
              <w:end w:w="110" w:type="dxa"/>
            </w:tcMar>
          </w:tcPr>
          <w:p>
            <w:pPr>
              <w:keepLines/>
              <w:spacing w:after="0" w:line="240" w:lineRule="auto"/>
            </w:pPr>
            <w:r/>
            <w:r>
              <w:rPr>
                <w:rFonts w:ascii="Arial" w:hAnsi="Arial"/>
                <w:b w:val="0"/>
                <w:color w:val="222222"/>
                <w:sz w:val="16"/>
              </w:rPr>
              <w:t>20–45 sec</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6"/>
              </w:rPr>
              <w:t>Visitor starts a six-step “30-second” tour or enters a prompt.</w:t>
            </w:r>
          </w:p>
        </w:tc>
        <w:tc>
          <w:tcPr>
            <w:tcW w:type="dxa" w:w="4680"/>
            <w:vAlign w:val="center"/>
            <w:tcMar>
              <w:top w:w="80" w:type="dxa"/>
              <w:start w:w="110" w:type="dxa"/>
              <w:bottom w:w="80" w:type="dxa"/>
              <w:end w:w="110" w:type="dxa"/>
            </w:tcMar>
          </w:tcPr>
          <w:p>
            <w:pPr>
              <w:keepLines/>
              <w:spacing w:after="0" w:line="240" w:lineRule="auto"/>
            </w:pPr>
            <w:r/>
            <w:r>
              <w:rPr>
                <w:rFonts w:ascii="Arial" w:hAnsi="Arial"/>
                <w:b w:val="0"/>
                <w:color w:val="222222"/>
                <w:sz w:val="16"/>
              </w:rPr>
              <w:t>The tour inventories features instead of delivering one win. Prompting is the faster route.</w:t>
            </w:r>
          </w:p>
        </w:tc>
      </w:tr>
      <w:tr>
        <w:trPr>
          <w:cantSplit/>
          <w:cantSplit/>
        </w:trPr>
        <w:tc>
          <w:tcPr>
            <w:tcW w:type="dxa" w:w="11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45–120 sec</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Builder shows a sentence, visual rule, live market, and simulation.</w:t>
            </w:r>
          </w:p>
        </w:tc>
        <w:tc>
          <w:tcPr>
            <w:tcW w:type="dxa" w:w="468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This is the aha moment: “it converted my setup into something I can inspect.”</w:t>
            </w:r>
          </w:p>
        </w:tc>
      </w:tr>
      <w:tr>
        <w:trPr>
          <w:cantSplit/>
          <w:cantSplit/>
        </w:trPr>
        <w:tc>
          <w:tcPr>
            <w:tcW w:type="dxa" w:w="1152"/>
            <w:vAlign w:val="center"/>
            <w:tcMar>
              <w:top w:w="80" w:type="dxa"/>
              <w:start w:w="110" w:type="dxa"/>
              <w:bottom w:w="80" w:type="dxa"/>
              <w:end w:w="110" w:type="dxa"/>
            </w:tcMar>
          </w:tcPr>
          <w:p>
            <w:pPr>
              <w:keepLines/>
              <w:spacing w:after="0" w:line="240" w:lineRule="auto"/>
            </w:pPr>
            <w:r/>
            <w:r>
              <w:rPr>
                <w:rFonts w:ascii="Arial" w:hAnsi="Arial"/>
                <w:b w:val="0"/>
                <w:color w:val="222222"/>
                <w:sz w:val="16"/>
              </w:rPr>
              <w:t>2–5 min</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6"/>
              </w:rPr>
              <w:t>Visitor tries to edit, save, use portfolio, or enable trading.</w:t>
            </w:r>
          </w:p>
        </w:tc>
        <w:tc>
          <w:tcPr>
            <w:tcW w:type="dxa" w:w="4680"/>
            <w:vAlign w:val="center"/>
            <w:tcMar>
              <w:top w:w="80" w:type="dxa"/>
              <w:start w:w="110" w:type="dxa"/>
              <w:bottom w:w="80" w:type="dxa"/>
              <w:end w:w="110" w:type="dxa"/>
            </w:tcMar>
          </w:tcPr>
          <w:p>
            <w:pPr>
              <w:keepLines/>
              <w:spacing w:after="0" w:line="240" w:lineRule="auto"/>
            </w:pPr>
            <w:r/>
            <w:r>
              <w:rPr>
                <w:rFonts w:ascii="Arial" w:hAnsi="Arial"/>
                <w:b w:val="0"/>
                <w:color w:val="222222"/>
                <w:sz w:val="16"/>
              </w:rPr>
              <w:t>Terse tabs, wallet/pUSD language, missing in-page sign-in CTAs, geoblock status, and mobile layout increase uncertainty.</w:t>
            </w:r>
          </w:p>
        </w:tc>
      </w:tr>
      <w:tr>
        <w:trPr>
          <w:cantSplit/>
          <w:cantSplit/>
        </w:trPr>
        <w:tc>
          <w:tcPr>
            <w:tcW w:type="dxa" w:w="11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Later</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A trigger should return the user to evidence and a manual decision.</w:t>
            </w:r>
          </w:p>
        </w:tc>
        <w:tc>
          <w:tcPr>
            <w:tcW w:type="dxa" w:w="468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This retention loop is the real product, but it is not yet the center of the landing narrative or public proof.</w:t>
            </w:r>
          </w:p>
        </w:tc>
      </w:tr>
    </w:tbl>
    <w:p>
      <w:pPr>
        <w:spacing w:after="0"/>
      </w:pPr>
    </w:p>
    <w:p>
      <w:pPr>
        <w:pStyle w:val="Heading1"/>
      </w:pPr>
      <w:r>
        <w:t>Time-to-value assessment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3024"/>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Moment</w:t>
            </w:r>
          </w:p>
        </w:tc>
        <w:tc>
          <w:tcPr>
            <w:tcW w:type="dxa" w:w="3240"/>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Current</w:t>
            </w:r>
          </w:p>
        </w:tc>
        <w:tc>
          <w:tcPr>
            <w:tcW w:type="dxa" w:w="3384"/>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Target</w:t>
            </w:r>
          </w:p>
        </w:tc>
      </w:tr>
      <w:tr>
        <w:trPr>
          <w:cantSplit/>
          <w:cantSplit/>
        </w:trPr>
        <w:tc>
          <w:tcPr>
            <w:tcW w:type="dxa" w:w="3024"/>
            <w:vAlign w:val="center"/>
            <w:tcMar>
              <w:top w:w="80" w:type="dxa"/>
              <w:start w:w="110" w:type="dxa"/>
              <w:bottom w:w="80" w:type="dxa"/>
              <w:end w:w="110" w:type="dxa"/>
            </w:tcMar>
          </w:tcPr>
          <w:p>
            <w:pPr>
              <w:keepLines/>
              <w:spacing w:after="0" w:line="240" w:lineRule="auto"/>
            </w:pPr>
            <w:r/>
            <w:r>
              <w:rPr>
                <w:rFonts w:ascii="Arial" w:hAnsi="Arial"/>
                <w:b w:val="0"/>
                <w:color w:val="222222"/>
                <w:sz w:val="17"/>
              </w:rPr>
              <w:t>Understand the category</w:t>
            </w:r>
          </w:p>
        </w:tc>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7"/>
              </w:rPr>
              <w:t>20–30 seconds</w:t>
            </w:r>
          </w:p>
        </w:tc>
        <w:tc>
          <w:tcPr>
            <w:tcW w:type="dxa" w:w="3384"/>
            <w:vAlign w:val="center"/>
            <w:tcMar>
              <w:top w:w="80" w:type="dxa"/>
              <w:start w:w="110" w:type="dxa"/>
              <w:bottom w:w="80" w:type="dxa"/>
              <w:end w:w="110" w:type="dxa"/>
            </w:tcMar>
          </w:tcPr>
          <w:p>
            <w:pPr>
              <w:keepLines/>
              <w:spacing w:after="0" w:line="240" w:lineRule="auto"/>
            </w:pPr>
            <w:r/>
            <w:r>
              <w:rPr>
                <w:rFonts w:ascii="Arial" w:hAnsi="Arial"/>
                <w:b w:val="0"/>
                <w:color w:val="222222"/>
                <w:sz w:val="17"/>
              </w:rPr>
              <w:t>≤ 5 seconds</w:t>
            </w:r>
          </w:p>
        </w:tc>
      </w:tr>
      <w:tr>
        <w:trPr>
          <w:cantSplit/>
          <w:cantSplit/>
        </w:trPr>
        <w:tc>
          <w:tcPr>
            <w:tcW w:type="dxa" w:w="30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Reach first useful strategy</w:t>
            </w:r>
          </w:p>
        </w:tc>
        <w:tc>
          <w:tcPr>
            <w:tcW w:type="dxa" w:w="32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45–120 seconds desktop</w:t>
            </w:r>
          </w:p>
        </w:tc>
        <w:tc>
          <w:tcPr>
            <w:tcW w:type="dxa" w:w="338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 45 seconds</w:t>
            </w:r>
          </w:p>
        </w:tc>
      </w:tr>
      <w:tr>
        <w:trPr>
          <w:cantSplit/>
          <w:cantSplit/>
        </w:trPr>
        <w:tc>
          <w:tcPr>
            <w:tcW w:type="dxa" w:w="3024"/>
            <w:vAlign w:val="center"/>
            <w:tcMar>
              <w:top w:w="80" w:type="dxa"/>
              <w:start w:w="110" w:type="dxa"/>
              <w:bottom w:w="80" w:type="dxa"/>
              <w:end w:w="110" w:type="dxa"/>
            </w:tcMar>
          </w:tcPr>
          <w:p>
            <w:pPr>
              <w:keepLines/>
              <w:spacing w:after="0" w:line="240" w:lineRule="auto"/>
            </w:pPr>
            <w:r/>
            <w:r>
              <w:rPr>
                <w:rFonts w:ascii="Arial" w:hAnsi="Arial"/>
                <w:b w:val="0"/>
                <w:color w:val="222222"/>
                <w:sz w:val="17"/>
              </w:rPr>
              <w:t>Understand risk / assumptions</w:t>
            </w:r>
          </w:p>
        </w:tc>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7"/>
              </w:rPr>
              <w:t>1–3 minutes, if simulation is opened</w:t>
            </w:r>
          </w:p>
        </w:tc>
        <w:tc>
          <w:tcPr>
            <w:tcW w:type="dxa" w:w="3384"/>
            <w:vAlign w:val="center"/>
            <w:tcMar>
              <w:top w:w="80" w:type="dxa"/>
              <w:start w:w="110" w:type="dxa"/>
              <w:bottom w:w="80" w:type="dxa"/>
              <w:end w:w="110" w:type="dxa"/>
            </w:tcMar>
          </w:tcPr>
          <w:p>
            <w:pPr>
              <w:keepLines/>
              <w:spacing w:after="0" w:line="240" w:lineRule="auto"/>
            </w:pPr>
            <w:r/>
            <w:r>
              <w:rPr>
                <w:rFonts w:ascii="Arial" w:hAnsi="Arial"/>
                <w:b w:val="0"/>
                <w:color w:val="222222"/>
                <w:sz w:val="17"/>
              </w:rPr>
              <w:t>Visible before any save or execution</w:t>
            </w:r>
          </w:p>
        </w:tc>
      </w:tr>
      <w:tr>
        <w:trPr>
          <w:cantSplit/>
          <w:cantSplit/>
        </w:trPr>
        <w:tc>
          <w:tcPr>
            <w:tcW w:type="dxa" w:w="30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Feel enough trust to connect wallet</w:t>
            </w:r>
          </w:p>
        </w:tc>
        <w:tc>
          <w:tcPr>
            <w:tcW w:type="dxa" w:w="32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Uncertain; credibility drops in setup</w:t>
            </w:r>
          </w:p>
        </w:tc>
        <w:tc>
          <w:tcPr>
            <w:tcW w:type="dxa" w:w="338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Only after a successful simulation and clear guardrails</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878"/>
            <w:shd w:fill="E2F0D9"/>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Aha moment</w:t>
            </w:r>
          </w:p>
          <w:p>
            <w:pPr>
              <w:keepLines/>
              <w:spacing w:after="0" w:line="252" w:lineRule="auto"/>
            </w:pPr>
            <w:r>
              <w:rPr>
                <w:rFonts w:ascii="Arial" w:hAnsi="Arial"/>
                <w:sz w:val="18"/>
              </w:rPr>
              <w:t>“The AI translated my setup correctly, I can see every assumption, and I know what happens next.” Wallet connection is not activation. A saved strategy or first useful alert is.</w:t>
            </w:r>
          </w:p>
        </w:tc>
      </w:tr>
    </w:tbl>
    <w:p>
      <w:pPr>
        <w:spacing w:after="0"/>
      </w:pPr>
    </w:p>
    <w:p>
      <w:r>
        <w:br w:type="page"/>
      </w:r>
    </w:p>
    <w:p>
      <w:pPr>
        <w:pStyle w:val="Heading1"/>
      </w:pPr>
      <w:r>
        <w:t>5. How the path needs to work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1440"/>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Time</w:t>
            </w:r>
          </w:p>
        </w:tc>
        <w:tc>
          <w:tcPr>
            <w:tcW w:type="dxa" w:w="4104"/>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Desired outcome</w:t>
            </w:r>
          </w:p>
        </w:tc>
        <w:tc>
          <w:tcPr>
            <w:tcW w:type="dxa" w:w="4176"/>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Trust signal</w:t>
            </w:r>
          </w:p>
        </w:tc>
      </w:tr>
      <w:tr>
        <w:trPr>
          <w:cantSplit/>
          <w:cantSplit/>
        </w:trPr>
        <w:tc>
          <w:tcPr>
            <w:tcW w:type="dxa" w:w="1440"/>
            <w:vAlign w:val="center"/>
            <w:tcMar>
              <w:top w:w="80" w:type="dxa"/>
              <w:start w:w="110" w:type="dxa"/>
              <w:bottom w:w="80" w:type="dxa"/>
              <w:end w:w="110" w:type="dxa"/>
            </w:tcMar>
          </w:tcPr>
          <w:p>
            <w:pPr>
              <w:keepLines/>
              <w:spacing w:after="0" w:line="240" w:lineRule="auto"/>
            </w:pPr>
            <w:r/>
            <w:r>
              <w:rPr>
                <w:rFonts w:ascii="Arial" w:hAnsi="Arial"/>
                <w:b w:val="0"/>
                <w:color w:val="222222"/>
                <w:sz w:val="17"/>
              </w:rPr>
              <w:t>0–5 sec</w:t>
            </w:r>
          </w:p>
        </w:tc>
        <w:tc>
          <w:tcPr>
            <w:tcW w:type="dxa" w:w="4104"/>
            <w:vAlign w:val="center"/>
            <w:tcMar>
              <w:top w:w="80" w:type="dxa"/>
              <w:start w:w="110" w:type="dxa"/>
              <w:bottom w:w="80" w:type="dxa"/>
              <w:end w:w="110" w:type="dxa"/>
            </w:tcMar>
          </w:tcPr>
          <w:p>
            <w:pPr>
              <w:keepLines/>
              <w:spacing w:after="0" w:line="240" w:lineRule="auto"/>
            </w:pPr>
            <w:r/>
            <w:r>
              <w:rPr>
                <w:rFonts w:ascii="Arial" w:hAnsi="Arial"/>
                <w:b w:val="0"/>
                <w:color w:val="222222"/>
                <w:sz w:val="17"/>
              </w:rPr>
              <w:t>Understand the job: stop babysitting a setup.</w:t>
            </w:r>
          </w:p>
        </w:tc>
        <w:tc>
          <w:tcPr>
            <w:tcW w:type="dxa" w:w="4176"/>
            <w:vAlign w:val="center"/>
            <w:tcMar>
              <w:top w:w="80" w:type="dxa"/>
              <w:start w:w="110" w:type="dxa"/>
              <w:bottom w:w="80" w:type="dxa"/>
              <w:end w:w="110" w:type="dxa"/>
            </w:tcMar>
          </w:tcPr>
          <w:p>
            <w:pPr>
              <w:keepLines/>
              <w:spacing w:after="0" w:line="240" w:lineRule="auto"/>
            </w:pPr>
            <w:r/>
            <w:r>
              <w:rPr>
                <w:rFonts w:ascii="Arial" w:hAnsi="Arial"/>
                <w:b w:val="0"/>
                <w:color w:val="222222"/>
                <w:sz w:val="17"/>
              </w:rPr>
              <w:t>No wallet to simulate; manual signature by default.</w:t>
            </w:r>
          </w:p>
        </w:tc>
      </w:tr>
      <w:tr>
        <w:trPr>
          <w:cantSplit/>
          <w:cantSplit/>
        </w:trPr>
        <w:tc>
          <w:tcPr>
            <w:tcW w:type="dxa" w:w="14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5–15 sec</w:t>
            </w:r>
          </w:p>
        </w:tc>
        <w:tc>
          <w:tcPr>
            <w:tcW w:type="dxa" w:w="41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Start from one live, prefilled example.</w:t>
            </w:r>
          </w:p>
        </w:tc>
        <w:tc>
          <w:tcPr>
            <w:tcW w:type="dxa" w:w="41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The source market and current data are visible.</w:t>
            </w:r>
          </w:p>
        </w:tc>
      </w:tr>
      <w:tr>
        <w:trPr>
          <w:cantSplit/>
          <w:cantSplit/>
        </w:trPr>
        <w:tc>
          <w:tcPr>
            <w:tcW w:type="dxa" w:w="1440"/>
            <w:vAlign w:val="center"/>
            <w:tcMar>
              <w:top w:w="80" w:type="dxa"/>
              <w:start w:w="110" w:type="dxa"/>
              <w:bottom w:w="80" w:type="dxa"/>
              <w:end w:w="110" w:type="dxa"/>
            </w:tcMar>
          </w:tcPr>
          <w:p>
            <w:pPr>
              <w:keepLines/>
              <w:spacing w:after="0" w:line="240" w:lineRule="auto"/>
            </w:pPr>
            <w:r/>
            <w:r>
              <w:rPr>
                <w:rFonts w:ascii="Arial" w:hAnsi="Arial"/>
                <w:b w:val="0"/>
                <w:color w:val="222222"/>
                <w:sz w:val="17"/>
              </w:rPr>
              <w:t>15–45 sec</w:t>
            </w:r>
          </w:p>
        </w:tc>
        <w:tc>
          <w:tcPr>
            <w:tcW w:type="dxa" w:w="4104"/>
            <w:vAlign w:val="center"/>
            <w:tcMar>
              <w:top w:w="80" w:type="dxa"/>
              <w:start w:w="110" w:type="dxa"/>
              <w:bottom w:w="80" w:type="dxa"/>
              <w:end w:w="110" w:type="dxa"/>
            </w:tcMar>
          </w:tcPr>
          <w:p>
            <w:pPr>
              <w:keepLines/>
              <w:spacing w:after="0" w:line="240" w:lineRule="auto"/>
            </w:pPr>
            <w:r/>
            <w:r>
              <w:rPr>
                <w:rFonts w:ascii="Arial" w:hAnsi="Arial"/>
                <w:b w:val="0"/>
                <w:color w:val="222222"/>
                <w:sz w:val="17"/>
              </w:rPr>
              <w:t>Receive a grounded draft.</w:t>
            </w:r>
          </w:p>
        </w:tc>
        <w:tc>
          <w:tcPr>
            <w:tcW w:type="dxa" w:w="4176"/>
            <w:vAlign w:val="center"/>
            <w:tcMar>
              <w:top w:w="80" w:type="dxa"/>
              <w:start w:w="110" w:type="dxa"/>
              <w:bottom w:w="80" w:type="dxa"/>
              <w:end w:w="110" w:type="dxa"/>
            </w:tcMar>
          </w:tcPr>
          <w:p>
            <w:pPr>
              <w:keepLines/>
              <w:spacing w:after="0" w:line="240" w:lineRule="auto"/>
            </w:pPr>
            <w:r/>
            <w:r>
              <w:rPr>
                <w:rFonts w:ascii="Arial" w:hAnsi="Arial"/>
                <w:b w:val="0"/>
                <w:color w:val="222222"/>
                <w:sz w:val="17"/>
              </w:rPr>
              <w:t>Market, units, assumptions, and ambiguity are explicit.</w:t>
            </w:r>
          </w:p>
        </w:tc>
      </w:tr>
      <w:tr>
        <w:trPr>
          <w:cantSplit/>
          <w:cantSplit/>
        </w:trPr>
        <w:tc>
          <w:tcPr>
            <w:tcW w:type="dxa" w:w="14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45–75 sec</w:t>
            </w:r>
          </w:p>
        </w:tc>
        <w:tc>
          <w:tcPr>
            <w:tcW w:type="dxa" w:w="41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Review evidence and downside.</w:t>
            </w:r>
          </w:p>
        </w:tc>
        <w:tc>
          <w:tcPr>
            <w:tcW w:type="dxa" w:w="41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Neutral baseline, fill assumptions, and “not triggered yet.”</w:t>
            </w:r>
          </w:p>
        </w:tc>
      </w:tr>
      <w:tr>
        <w:trPr>
          <w:cantSplit/>
          <w:cantSplit/>
        </w:trPr>
        <w:tc>
          <w:tcPr>
            <w:tcW w:type="dxa" w:w="1440"/>
            <w:vAlign w:val="center"/>
            <w:tcMar>
              <w:top w:w="80" w:type="dxa"/>
              <w:start w:w="110" w:type="dxa"/>
              <w:bottom w:w="80" w:type="dxa"/>
              <w:end w:w="110" w:type="dxa"/>
            </w:tcMar>
          </w:tcPr>
          <w:p>
            <w:pPr>
              <w:keepLines/>
              <w:spacing w:after="0" w:line="240" w:lineRule="auto"/>
            </w:pPr>
            <w:r/>
            <w:r>
              <w:rPr>
                <w:rFonts w:ascii="Arial" w:hAnsi="Arial"/>
                <w:b w:val="0"/>
                <w:color w:val="222222"/>
                <w:sz w:val="17"/>
              </w:rPr>
              <w:t>75–100 sec</w:t>
            </w:r>
          </w:p>
        </w:tc>
        <w:tc>
          <w:tcPr>
            <w:tcW w:type="dxa" w:w="4104"/>
            <w:vAlign w:val="center"/>
            <w:tcMar>
              <w:top w:w="80" w:type="dxa"/>
              <w:start w:w="110" w:type="dxa"/>
              <w:bottom w:w="80" w:type="dxa"/>
              <w:end w:w="110" w:type="dxa"/>
            </w:tcMar>
          </w:tcPr>
          <w:p>
            <w:pPr>
              <w:keepLines/>
              <w:spacing w:after="0" w:line="240" w:lineRule="auto"/>
            </w:pPr>
            <w:r/>
            <w:r>
              <w:rPr>
                <w:rFonts w:ascii="Arial" w:hAnsi="Arial"/>
                <w:b w:val="0"/>
                <w:color w:val="222222"/>
                <w:sz w:val="17"/>
              </w:rPr>
              <w:t>Save and watch.</w:t>
            </w:r>
          </w:p>
        </w:tc>
        <w:tc>
          <w:tcPr>
            <w:tcW w:type="dxa" w:w="4176"/>
            <w:vAlign w:val="center"/>
            <w:tcMar>
              <w:top w:w="80" w:type="dxa"/>
              <w:start w:w="110" w:type="dxa"/>
              <w:bottom w:w="80" w:type="dxa"/>
              <w:end w:w="110" w:type="dxa"/>
            </w:tcMar>
          </w:tcPr>
          <w:p>
            <w:pPr>
              <w:keepLines/>
              <w:spacing w:after="0" w:line="240" w:lineRule="auto"/>
            </w:pPr>
            <w:r/>
            <w:r>
              <w:rPr>
                <w:rFonts w:ascii="Arial" w:hAnsi="Arial"/>
                <w:b w:val="0"/>
                <w:color w:val="222222"/>
                <w:sz w:val="17"/>
              </w:rPr>
              <w:t>Account/wallet requested only when necessary.</w:t>
            </w:r>
          </w:p>
        </w:tc>
      </w:tr>
      <w:tr>
        <w:trPr>
          <w:cantSplit/>
          <w:cantSplit/>
        </w:trPr>
        <w:tc>
          <w:tcPr>
            <w:tcW w:type="dxa" w:w="14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Return</w:t>
            </w:r>
          </w:p>
        </w:tc>
        <w:tc>
          <w:tcPr>
            <w:tcW w:type="dxa" w:w="41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Understand exactly why state changed.</w:t>
            </w:r>
          </w:p>
        </w:tc>
        <w:tc>
          <w:tcPr>
            <w:tcW w:type="dxa" w:w="41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Freshness, trigger evidence, and manual action are shown.</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878"/>
            <w:shd w:fill="E2F0D9"/>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Design rule</w:t>
            </w:r>
          </w:p>
          <w:p>
            <w:pPr>
              <w:keepLines/>
              <w:spacing w:after="0" w:line="252" w:lineRule="auto"/>
            </w:pPr>
            <w:r>
              <w:rPr>
                <w:rFonts w:ascii="Arial" w:hAnsi="Arial"/>
                <w:sz w:val="18"/>
              </w:rPr>
              <w:t>Every step answers one question and earns the next commitment. The product should never request financial authority before it has demonstrated semantic correctness.</w:t>
            </w:r>
          </w:p>
        </w:tc>
      </w:tr>
    </w:tbl>
    <w:p>
      <w:pPr>
        <w:spacing w:after="0"/>
      </w:pPr>
    </w:p>
    <w:p>
      <w:r>
        <w:br w:type="page"/>
      </w:r>
    </w:p>
    <w:p>
      <w:pPr>
        <w:keepNext/>
        <w:spacing w:after="80"/>
      </w:pPr>
      <w:r>
        <w:rPr>
          <w:rFonts w:ascii="Arial" w:hAnsi="Arial"/>
          <w:b/>
          <w:color w:val="2E74B5"/>
          <w:sz w:val="18"/>
        </w:rPr>
        <w:t>PART I — DETAILED FINDINGS</w:t>
      </w:r>
    </w:p>
    <w:p>
      <w:pPr>
        <w:pStyle w:val="Title"/>
      </w:pPr>
      <w:r>
        <w:t>6. High-severity defects and trust breaks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864"/>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Severity</w:t>
            </w:r>
          </w:p>
        </w:tc>
        <w:tc>
          <w:tcPr>
            <w:tcW w:type="dxa" w:w="4104"/>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Finding</w:t>
            </w:r>
          </w:p>
        </w:tc>
        <w:tc>
          <w:tcPr>
            <w:tcW w:type="dxa" w:w="4752"/>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Why it matters</w:t>
            </w:r>
          </w:p>
        </w:tc>
      </w:tr>
      <w:tr>
        <w:trPr>
          <w:cantSplit/>
          <w:cantSplit/>
        </w:trPr>
        <w:tc>
          <w:tcPr>
            <w:tcW w:type="dxa" w:w="864"/>
            <w:vAlign w:val="center"/>
            <w:tcMar>
              <w:top w:w="80" w:type="dxa"/>
              <w:start w:w="110" w:type="dxa"/>
              <w:bottom w:w="80" w:type="dxa"/>
              <w:end w:w="110" w:type="dxa"/>
            </w:tcMar>
          </w:tcPr>
          <w:p>
            <w:pPr>
              <w:keepLines/>
              <w:spacing w:after="0" w:line="240" w:lineRule="auto"/>
            </w:pPr>
            <w:r/>
            <w:r>
              <w:rPr>
                <w:rFonts w:ascii="Arial" w:hAnsi="Arial"/>
                <w:b w:val="0"/>
                <w:color w:val="222222"/>
                <w:sz w:val="16"/>
              </w:rPr>
              <w:t>P0</w:t>
            </w:r>
          </w:p>
        </w:tc>
        <w:tc>
          <w:tcPr>
            <w:tcW w:type="dxa" w:w="4104"/>
            <w:vAlign w:val="center"/>
            <w:tcMar>
              <w:top w:w="80" w:type="dxa"/>
              <w:start w:w="110" w:type="dxa"/>
              <w:bottom w:w="80" w:type="dxa"/>
              <w:end w:w="110" w:type="dxa"/>
            </w:tcMar>
          </w:tcPr>
          <w:p>
            <w:pPr>
              <w:keepLines/>
              <w:spacing w:after="0" w:line="240" w:lineRule="auto"/>
            </w:pPr>
            <w:r/>
            <w:r>
              <w:rPr>
                <w:rFonts w:ascii="Arial" w:hAnsi="Arial"/>
                <w:b w:val="0"/>
                <w:color w:val="222222"/>
                <w:sz w:val="16"/>
              </w:rPr>
              <w:t>“Make it $200” became “buy 200 YES shares.” At 90¢, that commits about $180, not a $200 budget.</w:t>
            </w:r>
          </w:p>
        </w:tc>
        <w:tc>
          <w:tcPr>
            <w:tcW w:type="dxa" w:w="4752"/>
            <w:vAlign w:val="center"/>
            <w:tcMar>
              <w:top w:w="80" w:type="dxa"/>
              <w:start w:w="110" w:type="dxa"/>
              <w:bottom w:w="80" w:type="dxa"/>
              <w:end w:w="110" w:type="dxa"/>
            </w:tcMar>
          </w:tcPr>
          <w:p>
            <w:pPr>
              <w:keepLines/>
              <w:spacing w:after="0" w:line="240" w:lineRule="auto"/>
            </w:pPr>
            <w:r/>
            <w:r>
              <w:rPr>
                <w:rFonts w:ascii="Arial" w:hAnsi="Arial"/>
                <w:b w:val="0"/>
                <w:color w:val="222222"/>
                <w:sz w:val="16"/>
              </w:rPr>
              <w:t>Financial intent changed silently. The system schema accepts shares, but the prompt layer does not resolve dollar-vs-share ambiguity.</w:t>
            </w:r>
          </w:p>
        </w:tc>
      </w:tr>
      <w:tr>
        <w:trPr>
          <w:cantSplit/>
          <w:cantSplit/>
        </w:trPr>
        <w:tc>
          <w:tcPr>
            <w:tcW w:type="dxa" w:w="8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P0</w:t>
            </w:r>
          </w:p>
        </w:tc>
        <w:tc>
          <w:tcPr>
            <w:tcW w:type="dxa" w:w="41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Trading status rendered OFF / preview-only, then changed to ON; geoblock showed “blocked (IE)” beside copy saying orders route to CLOB.</w:t>
            </w:r>
          </w:p>
        </w:tc>
        <w:tc>
          <w:tcPr>
            <w:tcW w:type="dxa" w:w="47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Users cannot tell whether real money can move. Status must be server-consistent, jurisdiction-aware, and fail closed.</w:t>
            </w:r>
          </w:p>
        </w:tc>
      </w:tr>
      <w:tr>
        <w:trPr>
          <w:cantSplit/>
          <w:cantSplit/>
        </w:trPr>
        <w:tc>
          <w:tcPr>
            <w:tcW w:type="dxa" w:w="864"/>
            <w:vAlign w:val="center"/>
            <w:tcMar>
              <w:top w:w="80" w:type="dxa"/>
              <w:start w:w="110" w:type="dxa"/>
              <w:bottom w:w="80" w:type="dxa"/>
              <w:end w:w="110" w:type="dxa"/>
            </w:tcMar>
          </w:tcPr>
          <w:p>
            <w:pPr>
              <w:keepLines/>
              <w:spacing w:after="0" w:line="240" w:lineRule="auto"/>
            </w:pPr>
            <w:r/>
            <w:r>
              <w:rPr>
                <w:rFonts w:ascii="Arial" w:hAnsi="Arial"/>
                <w:b w:val="0"/>
                <w:color w:val="222222"/>
                <w:sz w:val="16"/>
              </w:rPr>
              <w:t>P0</w:t>
            </w:r>
          </w:p>
        </w:tc>
        <w:tc>
          <w:tcPr>
            <w:tcW w:type="dxa" w:w="4104"/>
            <w:vAlign w:val="center"/>
            <w:tcMar>
              <w:top w:w="80" w:type="dxa"/>
              <w:start w:w="110" w:type="dxa"/>
              <w:bottom w:w="80" w:type="dxa"/>
              <w:end w:w="110" w:type="dxa"/>
            </w:tcMar>
          </w:tcPr>
          <w:p>
            <w:pPr>
              <w:keepLines/>
              <w:spacing w:after="0" w:line="240" w:lineRule="auto"/>
            </w:pPr>
            <w:r/>
            <w:r>
              <w:rPr>
                <w:rFonts w:ascii="Arial" w:hAnsi="Arial"/>
                <w:b w:val="0"/>
                <w:color w:val="222222"/>
                <w:sz w:val="16"/>
              </w:rPr>
              <w:t>The 390 px mobile builder produced a 564 px document, clipping strategy context and canvas nodes.</w:t>
            </w:r>
          </w:p>
        </w:tc>
        <w:tc>
          <w:tcPr>
            <w:tcW w:type="dxa" w:w="4752"/>
            <w:vAlign w:val="center"/>
            <w:tcMar>
              <w:top w:w="80" w:type="dxa"/>
              <w:start w:w="110" w:type="dxa"/>
              <w:bottom w:w="80" w:type="dxa"/>
              <w:end w:w="110" w:type="dxa"/>
            </w:tcMar>
          </w:tcPr>
          <w:p>
            <w:pPr>
              <w:keepLines/>
              <w:spacing w:after="0" w:line="240" w:lineRule="auto"/>
            </w:pPr>
            <w:r/>
            <w:r>
              <w:rPr>
                <w:rFonts w:ascii="Arial" w:hAnsi="Arial"/>
                <w:b w:val="0"/>
                <w:color w:val="222222"/>
                <w:sz w:val="16"/>
              </w:rPr>
              <w:t>The core product is not reliably usable on a common viewport. If mobile is not supported, say so; otherwise reflow is a release condition.</w:t>
            </w:r>
          </w:p>
        </w:tc>
      </w:tr>
      <w:tr>
        <w:trPr>
          <w:cantSplit/>
          <w:cantSplit/>
        </w:trPr>
        <w:tc>
          <w:tcPr>
            <w:tcW w:type="dxa" w:w="8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P0</w:t>
            </w:r>
          </w:p>
        </w:tc>
        <w:tc>
          <w:tcPr>
            <w:tcW w:type="dxa" w:w="41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Repository governance still records owner acceptance and low-value staging checks as pending while the public UI reports live trading ON.</w:t>
            </w:r>
          </w:p>
        </w:tc>
        <w:tc>
          <w:tcPr>
            <w:tcW w:type="dxa" w:w="47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The product claim and release gate are not visibly aligned. This is a control problem, not cosmetic copy.</w:t>
            </w:r>
          </w:p>
        </w:tc>
      </w:tr>
      <w:tr>
        <w:trPr>
          <w:cantSplit/>
          <w:cantSplit/>
        </w:trPr>
        <w:tc>
          <w:tcPr>
            <w:tcW w:type="dxa" w:w="864"/>
            <w:vAlign w:val="center"/>
            <w:tcMar>
              <w:top w:w="80" w:type="dxa"/>
              <w:start w:w="110" w:type="dxa"/>
              <w:bottom w:w="80" w:type="dxa"/>
              <w:end w:w="110" w:type="dxa"/>
            </w:tcMar>
          </w:tcPr>
          <w:p>
            <w:pPr>
              <w:keepLines/>
              <w:spacing w:after="0" w:line="240" w:lineRule="auto"/>
            </w:pPr>
            <w:r/>
            <w:r>
              <w:rPr>
                <w:rFonts w:ascii="Arial" w:hAnsi="Arial"/>
                <w:b w:val="0"/>
                <w:color w:val="222222"/>
                <w:sz w:val="16"/>
              </w:rPr>
              <w:t>P1</w:t>
            </w:r>
          </w:p>
        </w:tc>
        <w:tc>
          <w:tcPr>
            <w:tcW w:type="dxa" w:w="4104"/>
            <w:vAlign w:val="center"/>
            <w:tcMar>
              <w:top w:w="80" w:type="dxa"/>
              <w:start w:w="110" w:type="dxa"/>
              <w:bottom w:w="80" w:type="dxa"/>
              <w:end w:w="110" w:type="dxa"/>
            </w:tcMar>
          </w:tcPr>
          <w:p>
            <w:pPr>
              <w:keepLines/>
              <w:spacing w:after="0" w:line="240" w:lineRule="auto"/>
            </w:pPr>
            <w:r/>
            <w:r>
              <w:rPr>
                <w:rFonts w:ascii="Arial" w:hAnsi="Arial"/>
                <w:b w:val="0"/>
                <w:color w:val="222222"/>
                <w:sz w:val="16"/>
              </w:rPr>
              <w:t>Hero and system-state content change after hydration.</w:t>
            </w:r>
          </w:p>
        </w:tc>
        <w:tc>
          <w:tcPr>
            <w:tcW w:type="dxa" w:w="4752"/>
            <w:vAlign w:val="center"/>
            <w:tcMar>
              <w:top w:w="80" w:type="dxa"/>
              <w:start w:w="110" w:type="dxa"/>
              <w:bottom w:w="80" w:type="dxa"/>
              <w:end w:w="110" w:type="dxa"/>
            </w:tcMar>
          </w:tcPr>
          <w:p>
            <w:pPr>
              <w:keepLines/>
              <w:spacing w:after="0" w:line="240" w:lineRule="auto"/>
            </w:pPr>
            <w:r/>
            <w:r>
              <w:rPr>
                <w:rFonts w:ascii="Arial" w:hAnsi="Arial"/>
                <w:b w:val="0"/>
                <w:color w:val="222222"/>
                <w:sz w:val="16"/>
              </w:rPr>
              <w:t>First paint is not the final truth; visible layout shift makes the app feel unfinished and can damage Web Vitals.</w:t>
            </w:r>
          </w:p>
        </w:tc>
      </w:tr>
      <w:tr>
        <w:trPr>
          <w:cantSplit/>
          <w:cantSplit/>
        </w:trPr>
        <w:tc>
          <w:tcPr>
            <w:tcW w:type="dxa" w:w="8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P1</w:t>
            </w:r>
          </w:p>
        </w:tc>
        <w:tc>
          <w:tcPr>
            <w:tcW w:type="dxa" w:w="410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“Proven plays” sits beside hypothetical, positive-only, selection-biased examples.</w:t>
            </w:r>
          </w:p>
        </w:tc>
        <w:tc>
          <w:tcPr>
            <w:tcW w:type="dxa" w:w="475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Sophisticated traders will read this as marketing overreach. It also creates avoidable compliance and reputation risk.</w:t>
            </w:r>
          </w:p>
        </w:tc>
      </w:tr>
    </w:tbl>
    <w:p>
      <w:pPr>
        <w:spacing w:after="0"/>
      </w:pPr>
    </w:p>
    <w:p>
      <w:pPr>
        <w:pStyle w:val="Heading1"/>
      </w:pPr>
      <w:r>
        <w:t>Root cause confirmed in the project</w:t>
      </w:r>
    </w:p>
    <w:p>
      <w:r>
        <w:t>The AI order tool defines size in shares and maps the result directly into the strategy. The prompt instructs “Order size is in SHARES” but does not require the model to ask or convert when a user speaks in dollars. This must be fixed at contract, prompt, validation, confirmation, and test layers—not with copy alone.</w:t>
      </w:r>
    </w:p>
    <w:p>
      <w:pPr>
        <w:pStyle w:val="Heading1"/>
      </w:pPr>
      <w:r>
        <w:t>7. UX issues that make the product feel stranger than it is</w:t>
      </w:r>
    </w:p>
    <w:p>
      <w:pPr>
        <w:pStyle w:val="ListBullet"/>
        <w:spacing w:after="40"/>
        <w:ind w:left="317" w:hanging="230"/>
      </w:pPr>
      <w:r>
        <w:t>Clicking a canvas condition marks it active but does not move the side panel to the Block editor, despite helper copy saying “click a block to edit.”</w:t>
      </w:r>
    </w:p>
    <w:p>
      <w:pPr>
        <w:pStyle w:val="ListBullet"/>
        <w:spacing w:after="40"/>
        <w:ind w:left="317" w:hanging="230"/>
      </w:pPr>
      <w:r>
        <w:t>AI / Block / Simulate / Market / Settings compete as five terse modes. The interface exposes the internal model before the user has completed the basic task.</w:t>
      </w:r>
    </w:p>
    <w:p>
      <w:pPr>
        <w:pStyle w:val="ListBullet"/>
        <w:spacing w:after="40"/>
        <w:ind w:left="317" w:hanging="230"/>
      </w:pPr>
      <w:r>
        <w:t>The “30-second” product tour has six steps and explains the product map. It should demonstrate one outcome, then teach controls when they become relevant.</w:t>
      </w:r>
    </w:p>
    <w:p>
      <w:pPr>
        <w:pStyle w:val="ListBullet"/>
        <w:spacing w:after="40"/>
        <w:ind w:left="317" w:hanging="230"/>
      </w:pPr>
      <w:r>
        <w:t>A second builder-tour invitation overlays lower-right controls and content; on mobile it materially blocks work.</w:t>
      </w:r>
    </w:p>
    <w:p>
      <w:pPr>
        <w:pStyle w:val="ListBullet"/>
        <w:spacing w:after="40"/>
        <w:ind w:left="317" w:hanging="230"/>
      </w:pPr>
      <w:r>
        <w:t>Portfolio and Wallet unauthenticated states tell the user to connect/sign in but do not provide a strong contextual CTA in the main panel.</w:t>
      </w:r>
    </w:p>
    <w:p>
      <w:pPr>
        <w:pStyle w:val="ListBullet"/>
        <w:spacing w:after="40"/>
        <w:ind w:left="317" w:hanging="230"/>
      </w:pPr>
      <w:r>
        <w:t>“pUSD” appears before it is explained. Funding vocabulary should describe the user’s goal first: “Add USDC for trading.”</w:t>
      </w:r>
    </w:p>
    <w:p>
      <w:pPr>
        <w:pStyle w:val="ListBullet"/>
        <w:spacing w:after="40"/>
        <w:ind w:left="317" w:hanging="230"/>
      </w:pPr>
      <w:r>
        <w:t>Market-detail action is repeated across scenario cards, templates, builder buttons, and the trade ticket. More calls to action do not create more clarity.</w:t>
      </w:r>
    </w:p>
    <w:p>
      <w:pPr>
        <w:pStyle w:val="ListBullet"/>
        <w:spacing w:after="40"/>
        <w:ind w:left="317" w:hanging="230"/>
      </w:pPr>
      <w:r>
        <w:t>The Advanced tab feels additive rather than a deliberate expert mode; it exposes a tape and classic rule form without a coherent job or transition.</w:t>
      </w:r>
    </w:p>
    <w:p>
      <w:r>
        <w:br w:type="page"/>
      </w:r>
    </w:p>
    <w:p>
      <w:pPr>
        <w:keepNext/>
        <w:spacing w:after="80"/>
      </w:pPr>
      <w:r>
        <w:rPr>
          <w:rFonts w:ascii="Arial" w:hAnsi="Arial"/>
          <w:b/>
          <w:color w:val="2E74B5"/>
          <w:sz w:val="18"/>
        </w:rPr>
        <w:t>PART I — SURFACE-BY-SURFACE</w:t>
      </w:r>
    </w:p>
    <w:p>
      <w:pPr>
        <w:pStyle w:val="Title"/>
      </w:pPr>
      <w:r>
        <w:t>8. Product surface audit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1512"/>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Surface</w:t>
            </w:r>
          </w:p>
        </w:tc>
        <w:tc>
          <w:tcPr>
            <w:tcW w:type="dxa" w:w="3672"/>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What works</w:t>
            </w:r>
          </w:p>
        </w:tc>
        <w:tc>
          <w:tcPr>
            <w:tcW w:type="dxa" w:w="4464"/>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What is weak / odd</w:t>
            </w:r>
          </w:p>
        </w:tc>
      </w:tr>
      <w:tr>
        <w:trPr>
          <w:cantSplit/>
          <w:cantSplit/>
        </w:trPr>
        <w:tc>
          <w:tcPr>
            <w:tcW w:type="dxa" w:w="1512"/>
            <w:vAlign w:val="center"/>
            <w:tcMar>
              <w:top w:w="80" w:type="dxa"/>
              <w:start w:w="110" w:type="dxa"/>
              <w:bottom w:w="80" w:type="dxa"/>
              <w:end w:w="110" w:type="dxa"/>
            </w:tcMar>
          </w:tcPr>
          <w:p>
            <w:pPr>
              <w:keepLines/>
              <w:spacing w:after="0" w:line="240" w:lineRule="auto"/>
            </w:pPr>
            <w:r/>
            <w:r>
              <w:rPr>
                <w:rFonts w:ascii="Arial" w:hAnsi="Arial"/>
                <w:b w:val="0"/>
                <w:color w:val="222222"/>
                <w:sz w:val="16"/>
              </w:rPr>
              <w:t>Homepage</w:t>
            </w:r>
          </w:p>
        </w:tc>
        <w:tc>
          <w:tcPr>
            <w:tcW w:type="dxa" w:w="3672"/>
            <w:vAlign w:val="center"/>
            <w:tcMar>
              <w:top w:w="80" w:type="dxa"/>
              <w:start w:w="110" w:type="dxa"/>
              <w:bottom w:w="80" w:type="dxa"/>
              <w:end w:w="110" w:type="dxa"/>
            </w:tcMar>
          </w:tcPr>
          <w:p>
            <w:pPr>
              <w:keepLines/>
              <w:spacing w:after="0" w:line="240" w:lineRule="auto"/>
            </w:pPr>
            <w:r/>
            <w:r>
              <w:rPr>
                <w:rFonts w:ascii="Arial" w:hAnsi="Arial"/>
                <w:b w:val="0"/>
                <w:color w:val="222222"/>
                <w:sz w:val="16"/>
              </w:rPr>
              <w:t>Composer-first interaction; no-account promise; live examples; good visual calm.</w:t>
            </w:r>
          </w:p>
        </w:tc>
        <w:tc>
          <w:tcPr>
            <w:tcW w:type="dxa" w:w="4464"/>
            <w:vAlign w:val="center"/>
            <w:tcMar>
              <w:top w:w="80" w:type="dxa"/>
              <w:start w:w="110" w:type="dxa"/>
              <w:bottom w:w="80" w:type="dxa"/>
              <w:end w:w="110" w:type="dxa"/>
            </w:tcMar>
          </w:tcPr>
          <w:p>
            <w:pPr>
              <w:keepLines/>
              <w:spacing w:after="0" w:line="240" w:lineRule="auto"/>
            </w:pPr>
            <w:r/>
            <w:r>
              <w:rPr>
                <w:rFonts w:ascii="Arial" w:hAnsi="Arial"/>
                <w:b w:val="0"/>
                <w:color w:val="222222"/>
                <w:sz w:val="16"/>
              </w:rPr>
              <w:t>Two competing SSR/hydrated heroes; vague category; optimistic proof; no customer evidence, pricing, or clear manual-control promise.</w:t>
            </w:r>
          </w:p>
        </w:tc>
      </w:tr>
      <w:tr>
        <w:trPr>
          <w:cantSplit/>
          <w:cantSplit/>
        </w:trPr>
        <w:tc>
          <w:tcPr>
            <w:tcW w:type="dxa" w:w="151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Markets</w:t>
            </w:r>
          </w:p>
        </w:tc>
        <w:tc>
          <w:tcPr>
            <w:tcW w:type="dxa" w:w="367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Readable cards; fast automation hook; useful YES/NO context.</w:t>
            </w:r>
          </w:p>
        </w:tc>
        <w:tc>
          <w:tcPr>
            <w:tcW w:type="dxa" w:w="44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No strong category/event structure, resolution source, or rules context; skeleton occupies most of viewport; every card repeats “Automate.”</w:t>
            </w:r>
          </w:p>
        </w:tc>
      </w:tr>
      <w:tr>
        <w:trPr>
          <w:cantSplit/>
          <w:cantSplit/>
        </w:trPr>
        <w:tc>
          <w:tcPr>
            <w:tcW w:type="dxa" w:w="1512"/>
            <w:vAlign w:val="center"/>
            <w:tcMar>
              <w:top w:w="80" w:type="dxa"/>
              <w:start w:w="110" w:type="dxa"/>
              <w:bottom w:w="80" w:type="dxa"/>
              <w:end w:w="110" w:type="dxa"/>
            </w:tcMar>
          </w:tcPr>
          <w:p>
            <w:pPr>
              <w:keepLines/>
              <w:spacing w:after="0" w:line="240" w:lineRule="auto"/>
            </w:pPr>
            <w:r/>
            <w:r>
              <w:rPr>
                <w:rFonts w:ascii="Arial" w:hAnsi="Arial"/>
                <w:b w:val="0"/>
                <w:color w:val="222222"/>
                <w:sz w:val="16"/>
              </w:rPr>
              <w:t>Market detail</w:t>
            </w:r>
          </w:p>
        </w:tc>
        <w:tc>
          <w:tcPr>
            <w:tcW w:type="dxa" w:w="3672"/>
            <w:vAlign w:val="center"/>
            <w:tcMar>
              <w:top w:w="80" w:type="dxa"/>
              <w:start w:w="110" w:type="dxa"/>
              <w:bottom w:w="80" w:type="dxa"/>
              <w:end w:w="110" w:type="dxa"/>
            </w:tcMar>
          </w:tcPr>
          <w:p>
            <w:pPr>
              <w:keepLines/>
              <w:spacing w:after="0" w:line="240" w:lineRule="auto"/>
            </w:pPr>
            <w:r/>
            <w:r>
              <w:rPr>
                <w:rFonts w:ascii="Arial" w:hAnsi="Arial"/>
                <w:b w:val="0"/>
                <w:color w:val="222222"/>
                <w:sz w:val="16"/>
              </w:rPr>
              <w:t>Best research surface: chart, scenarios, order book, trades, holders, related markets.</w:t>
            </w:r>
          </w:p>
        </w:tc>
        <w:tc>
          <w:tcPr>
            <w:tcW w:type="dxa" w:w="4464"/>
            <w:vAlign w:val="center"/>
            <w:tcMar>
              <w:top w:w="80" w:type="dxa"/>
              <w:start w:w="110" w:type="dxa"/>
              <w:bottom w:w="80" w:type="dxa"/>
              <w:end w:w="110" w:type="dxa"/>
            </w:tcMar>
          </w:tcPr>
          <w:p>
            <w:pPr>
              <w:keepLines/>
              <w:spacing w:after="0" w:line="240" w:lineRule="auto"/>
            </w:pPr>
            <w:r/>
            <w:r>
              <w:rPr>
                <w:rFonts w:ascii="Arial" w:hAnsi="Arial"/>
                <w:b w:val="0"/>
                <w:color w:val="222222"/>
                <w:sz w:val="16"/>
              </w:rPr>
              <w:t>Overlong hierarchy; default 50¢ order price can be far from the market; inconsistent volume labels; malformed holder/trade identifier; rules are not prominent.</w:t>
            </w:r>
          </w:p>
        </w:tc>
      </w:tr>
      <w:tr>
        <w:trPr>
          <w:cantSplit/>
          <w:cantSplit/>
        </w:trPr>
        <w:tc>
          <w:tcPr>
            <w:tcW w:type="dxa" w:w="151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Builder</w:t>
            </w:r>
          </w:p>
        </w:tc>
        <w:tc>
          <w:tcPr>
            <w:tcW w:type="dxa" w:w="367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Differentiated visual logic; live data; simulation; AI refinement; manual-signature model.</w:t>
            </w:r>
          </w:p>
        </w:tc>
        <w:tc>
          <w:tcPr>
            <w:tcW w:type="dxa" w:w="44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Unsafe unit interpretation; mode competition; click-to-edit mismatch; overlays; mobile overflow; advanced language arrives too early.</w:t>
            </w:r>
          </w:p>
        </w:tc>
      </w:tr>
      <w:tr>
        <w:trPr>
          <w:cantSplit/>
          <w:cantSplit/>
        </w:trPr>
        <w:tc>
          <w:tcPr>
            <w:tcW w:type="dxa" w:w="1512"/>
            <w:vAlign w:val="center"/>
            <w:tcMar>
              <w:top w:w="80" w:type="dxa"/>
              <w:start w:w="110" w:type="dxa"/>
              <w:bottom w:w="80" w:type="dxa"/>
              <w:end w:w="110" w:type="dxa"/>
            </w:tcMar>
          </w:tcPr>
          <w:p>
            <w:pPr>
              <w:keepLines/>
              <w:spacing w:after="0" w:line="240" w:lineRule="auto"/>
            </w:pPr>
            <w:r/>
            <w:r>
              <w:rPr>
                <w:rFonts w:ascii="Arial" w:hAnsi="Arial"/>
                <w:b w:val="0"/>
                <w:color w:val="222222"/>
                <w:sz w:val="16"/>
              </w:rPr>
              <w:t>Smart Orders</w:t>
            </w:r>
          </w:p>
        </w:tc>
        <w:tc>
          <w:tcPr>
            <w:tcW w:type="dxa" w:w="3672"/>
            <w:vAlign w:val="center"/>
            <w:tcMar>
              <w:top w:w="80" w:type="dxa"/>
              <w:start w:w="110" w:type="dxa"/>
              <w:bottom w:w="80" w:type="dxa"/>
              <w:end w:w="110" w:type="dxa"/>
            </w:tcMar>
          </w:tcPr>
          <w:p>
            <w:pPr>
              <w:keepLines/>
              <w:spacing w:after="0" w:line="240" w:lineRule="auto"/>
            </w:pPr>
            <w:r/>
            <w:r>
              <w:rPr>
                <w:rFonts w:ascii="Arial" w:hAnsi="Arial"/>
                <w:b w:val="0"/>
                <w:color w:val="222222"/>
                <w:sz w:val="16"/>
              </w:rPr>
              <w:t>Clear unauthenticated promise and “try free” escape hatch.</w:t>
            </w:r>
          </w:p>
        </w:tc>
        <w:tc>
          <w:tcPr>
            <w:tcW w:type="dxa" w:w="4464"/>
            <w:vAlign w:val="center"/>
            <w:tcMar>
              <w:top w:w="80" w:type="dxa"/>
              <w:start w:w="110" w:type="dxa"/>
              <w:bottom w:w="80" w:type="dxa"/>
              <w:end w:w="110" w:type="dxa"/>
            </w:tcMar>
          </w:tcPr>
          <w:p>
            <w:pPr>
              <w:keepLines/>
              <w:spacing w:after="0" w:line="240" w:lineRule="auto"/>
            </w:pPr>
            <w:r/>
            <w:r>
              <w:rPr>
                <w:rFonts w:ascii="Arial" w:hAnsi="Arial"/>
                <w:b w:val="0"/>
                <w:color w:val="222222"/>
                <w:sz w:val="16"/>
              </w:rPr>
              <w:t>The future retention loop is not demonstrated with an example alert, trigger explanation, or audit history on the public page.</w:t>
            </w:r>
          </w:p>
        </w:tc>
      </w:tr>
      <w:tr>
        <w:trPr>
          <w:cantSplit/>
          <w:cantSplit/>
        </w:trPr>
        <w:tc>
          <w:tcPr>
            <w:tcW w:type="dxa" w:w="151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Portfolio</w:t>
            </w:r>
          </w:p>
        </w:tc>
        <w:tc>
          <w:tcPr>
            <w:tcW w:type="dxa" w:w="367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Simple concept.</w:t>
            </w:r>
          </w:p>
        </w:tc>
        <w:tc>
          <w:tcPr>
            <w:tcW w:type="dxa" w:w="44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“Checking session…” then a dead-end instruction; no useful preview or main CTA.</w:t>
            </w:r>
          </w:p>
        </w:tc>
      </w:tr>
      <w:tr>
        <w:trPr>
          <w:cantSplit/>
          <w:cantSplit/>
        </w:trPr>
        <w:tc>
          <w:tcPr>
            <w:tcW w:type="dxa" w:w="1512"/>
            <w:vAlign w:val="center"/>
            <w:tcMar>
              <w:top w:w="80" w:type="dxa"/>
              <w:start w:w="110" w:type="dxa"/>
              <w:bottom w:w="80" w:type="dxa"/>
              <w:end w:w="110" w:type="dxa"/>
            </w:tcMar>
          </w:tcPr>
          <w:p>
            <w:pPr>
              <w:keepLines/>
              <w:spacing w:after="0" w:line="240" w:lineRule="auto"/>
            </w:pPr>
            <w:r/>
            <w:r>
              <w:rPr>
                <w:rFonts w:ascii="Arial" w:hAnsi="Arial"/>
                <w:b w:val="0"/>
                <w:color w:val="222222"/>
                <w:sz w:val="16"/>
              </w:rPr>
              <w:t>Wallet</w:t>
            </w:r>
          </w:p>
        </w:tc>
        <w:tc>
          <w:tcPr>
            <w:tcW w:type="dxa" w:w="3672"/>
            <w:vAlign w:val="center"/>
            <w:tcMar>
              <w:top w:w="80" w:type="dxa"/>
              <w:start w:w="110" w:type="dxa"/>
              <w:bottom w:w="80" w:type="dxa"/>
              <w:end w:w="110" w:type="dxa"/>
            </w:tcMar>
          </w:tcPr>
          <w:p>
            <w:pPr>
              <w:keepLines/>
              <w:spacing w:after="0" w:line="240" w:lineRule="auto"/>
            </w:pPr>
            <w:r/>
            <w:r>
              <w:rPr>
                <w:rFonts w:ascii="Arial" w:hAnsi="Arial"/>
                <w:b w:val="0"/>
                <w:color w:val="222222"/>
                <w:sz w:val="16"/>
              </w:rPr>
              <w:t>Standard wallet choices; educational modal.</w:t>
            </w:r>
          </w:p>
        </w:tc>
        <w:tc>
          <w:tcPr>
            <w:tcW w:type="dxa" w:w="4464"/>
            <w:vAlign w:val="center"/>
            <w:tcMar>
              <w:top w:w="80" w:type="dxa"/>
              <w:start w:w="110" w:type="dxa"/>
              <w:bottom w:w="80" w:type="dxa"/>
              <w:end w:w="110" w:type="dxa"/>
            </w:tcMar>
          </w:tcPr>
          <w:p>
            <w:pPr>
              <w:keepLines/>
              <w:spacing w:after="0" w:line="240" w:lineRule="auto"/>
            </w:pPr>
            <w:r/>
            <w:r>
              <w:rPr>
                <w:rFonts w:ascii="Arial" w:hAnsi="Arial"/>
                <w:b w:val="0"/>
                <w:color w:val="222222"/>
                <w:sz w:val="16"/>
              </w:rPr>
              <w:t>Infrastructure-first language, unexplained pUSD, no main CTA, and recurring Reown remote-config HTTP 403 warning.</w:t>
            </w:r>
          </w:p>
        </w:tc>
      </w:tr>
    </w:tbl>
    <w:p>
      <w:pPr>
        <w:spacing w:after="0"/>
      </w:pPr>
    </w:p>
    <w:p>
      <w:pPr>
        <w:pStyle w:val="Heading1"/>
      </w:pPr>
      <w:r>
        <w:t>9. Competitive patterns worth borrowing—not copying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1368"/>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Product</w:t>
            </w:r>
          </w:p>
        </w:tc>
        <w:tc>
          <w:tcPr>
            <w:tcW w:type="dxa" w:w="3888"/>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What it does well</w:t>
            </w:r>
          </w:p>
        </w:tc>
        <w:tc>
          <w:tcPr>
            <w:tcW w:type="dxa" w:w="4392"/>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Arima lesson</w:t>
            </w:r>
          </w:p>
        </w:tc>
      </w:tr>
      <w:tr>
        <w:trPr>
          <w:cantSplit/>
          <w:cantSplit/>
        </w:trPr>
        <w:tc>
          <w:tcPr>
            <w:tcW w:type="dxa" w:w="1368"/>
            <w:vAlign w:val="center"/>
            <w:tcMar>
              <w:top w:w="80" w:type="dxa"/>
              <w:start w:w="110" w:type="dxa"/>
              <w:bottom w:w="80" w:type="dxa"/>
              <w:end w:w="110" w:type="dxa"/>
            </w:tcMar>
          </w:tcPr>
          <w:p>
            <w:pPr>
              <w:keepLines/>
              <w:spacing w:after="0" w:line="240" w:lineRule="auto"/>
            </w:pPr>
            <w:r/>
            <w:r>
              <w:rPr>
                <w:rFonts w:ascii="Arial" w:hAnsi="Arial"/>
                <w:b w:val="0"/>
                <w:color w:val="222222"/>
                <w:sz w:val="16"/>
              </w:rPr>
              <w:t>Polymarket</w:t>
            </w:r>
          </w:p>
        </w:tc>
        <w:tc>
          <w:tcPr>
            <w:tcW w:type="dxa" w:w="3888"/>
            <w:vAlign w:val="center"/>
            <w:tcMar>
              <w:top w:w="80" w:type="dxa"/>
              <w:start w:w="110" w:type="dxa"/>
              <w:bottom w:w="80" w:type="dxa"/>
              <w:end w:w="110" w:type="dxa"/>
            </w:tcMar>
          </w:tcPr>
          <w:p>
            <w:pPr>
              <w:keepLines/>
              <w:spacing w:after="0" w:line="240" w:lineRule="auto"/>
            </w:pPr>
            <w:r/>
            <w:r>
              <w:rPr>
                <w:rFonts w:ascii="Arial" w:hAnsi="Arial"/>
                <w:b w:val="0"/>
                <w:color w:val="222222"/>
                <w:sz w:val="16"/>
              </w:rPr>
              <w:t>Shows live questions, probabilities, volume, categories, news, and community context immediately.</w:t>
            </w:r>
          </w:p>
        </w:tc>
        <w:tc>
          <w:tcPr>
            <w:tcW w:type="dxa" w:w="4392"/>
            <w:vAlign w:val="center"/>
            <w:tcMar>
              <w:top w:w="80" w:type="dxa"/>
              <w:start w:w="110" w:type="dxa"/>
              <w:bottom w:w="80" w:type="dxa"/>
              <w:end w:w="110" w:type="dxa"/>
            </w:tcMar>
          </w:tcPr>
          <w:p>
            <w:pPr>
              <w:keepLines/>
              <w:spacing w:after="0" w:line="240" w:lineRule="auto"/>
            </w:pPr>
            <w:r/>
            <w:r>
              <w:rPr>
                <w:rFonts w:ascii="Arial" w:hAnsi="Arial"/>
                <w:b w:val="0"/>
                <w:color w:val="222222"/>
                <w:sz w:val="16"/>
              </w:rPr>
              <w:t>Keep Arima focused, but make event/rules/context legible before automation.</w:t>
            </w:r>
          </w:p>
        </w:tc>
      </w:tr>
      <w:tr>
        <w:trPr>
          <w:cantSplit/>
          <w:cantSplit/>
        </w:trPr>
        <w:tc>
          <w:tcPr>
            <w:tcW w:type="dxa" w:w="136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Claude</w:t>
            </w:r>
          </w:p>
        </w:tc>
        <w:tc>
          <w:tcPr>
            <w:tcW w:type="dxa" w:w="388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Starts with a conversation and frames the product as a partner for concrete work.</w:t>
            </w:r>
          </w:p>
        </w:tc>
        <w:tc>
          <w:tcPr>
            <w:tcW w:type="dxa" w:w="43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One composer can be the front door; the output must feel reliable and collaborative, not magical.</w:t>
            </w:r>
          </w:p>
        </w:tc>
      </w:tr>
      <w:tr>
        <w:trPr>
          <w:cantSplit/>
          <w:cantSplit/>
        </w:trPr>
        <w:tc>
          <w:tcPr>
            <w:tcW w:type="dxa" w:w="1368"/>
            <w:vAlign w:val="center"/>
            <w:tcMar>
              <w:top w:w="80" w:type="dxa"/>
              <w:start w:w="110" w:type="dxa"/>
              <w:bottom w:w="80" w:type="dxa"/>
              <w:end w:w="110" w:type="dxa"/>
            </w:tcMar>
          </w:tcPr>
          <w:p>
            <w:pPr>
              <w:keepLines/>
              <w:spacing w:after="0" w:line="240" w:lineRule="auto"/>
            </w:pPr>
            <w:r/>
            <w:r>
              <w:rPr>
                <w:rFonts w:ascii="Arial" w:hAnsi="Arial"/>
                <w:b w:val="0"/>
                <w:color w:val="222222"/>
                <w:sz w:val="16"/>
              </w:rPr>
              <w:t>Lovable</w:t>
            </w:r>
          </w:p>
        </w:tc>
        <w:tc>
          <w:tcPr>
            <w:tcW w:type="dxa" w:w="3888"/>
            <w:vAlign w:val="center"/>
            <w:tcMar>
              <w:top w:w="80" w:type="dxa"/>
              <w:start w:w="110" w:type="dxa"/>
              <w:bottom w:w="80" w:type="dxa"/>
              <w:end w:w="110" w:type="dxa"/>
            </w:tcMar>
          </w:tcPr>
          <w:p>
            <w:pPr>
              <w:keepLines/>
              <w:spacing w:after="0" w:line="240" w:lineRule="auto"/>
            </w:pPr>
            <w:r/>
            <w:r>
              <w:rPr>
                <w:rFonts w:ascii="Arial" w:hAnsi="Arial"/>
                <w:b w:val="0"/>
                <w:color w:val="222222"/>
                <w:sz w:val="16"/>
              </w:rPr>
              <w:t>Prompt-first creation, templates, deep links, remixing, and a very short idea-to-output loop.</w:t>
            </w:r>
          </w:p>
        </w:tc>
        <w:tc>
          <w:tcPr>
            <w:tcW w:type="dxa" w:w="4392"/>
            <w:vAlign w:val="center"/>
            <w:tcMar>
              <w:top w:w="80" w:type="dxa"/>
              <w:start w:w="110" w:type="dxa"/>
              <w:bottom w:w="80" w:type="dxa"/>
              <w:end w:w="110" w:type="dxa"/>
            </w:tcMar>
          </w:tcPr>
          <w:p>
            <w:pPr>
              <w:keepLines/>
              <w:spacing w:after="0" w:line="240" w:lineRule="auto"/>
            </w:pPr>
            <w:r/>
            <w:r>
              <w:rPr>
                <w:rFonts w:ascii="Arial" w:hAnsi="Arial"/>
                <w:b w:val="0"/>
                <w:color w:val="222222"/>
                <w:sz w:val="16"/>
              </w:rPr>
              <w:t>Make every strategy example clonable; preserve the prompt through auth; turn results into shareable acquisition objects.</w:t>
            </w:r>
          </w:p>
        </w:tc>
      </w:tr>
      <w:tr>
        <w:trPr>
          <w:cantSplit/>
          <w:cantSplit/>
        </w:trPr>
        <w:tc>
          <w:tcPr>
            <w:tcW w:type="dxa" w:w="136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Notion</w:t>
            </w:r>
          </w:p>
        </w:tc>
        <w:tc>
          <w:tcPr>
            <w:tcW w:type="dxa" w:w="388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Makes a broad platform concrete through jobs, templates, customer stories, and education.</w:t>
            </w:r>
          </w:p>
        </w:tc>
        <w:tc>
          <w:tcPr>
            <w:tcW w:type="dxa" w:w="43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6"/>
              </w:rPr>
              <w:t>Name trader jobs—entry, protection, cross-market hedge—not generic platform capability.</w:t>
            </w:r>
          </w:p>
        </w:tc>
      </w:tr>
      <w:tr>
        <w:trPr>
          <w:cantSplit/>
          <w:cantSplit/>
        </w:trPr>
        <w:tc>
          <w:tcPr>
            <w:tcW w:type="dxa" w:w="1368"/>
            <w:vAlign w:val="center"/>
            <w:tcMar>
              <w:top w:w="80" w:type="dxa"/>
              <w:start w:w="110" w:type="dxa"/>
              <w:bottom w:w="80" w:type="dxa"/>
              <w:end w:w="110" w:type="dxa"/>
            </w:tcMar>
          </w:tcPr>
          <w:p>
            <w:pPr>
              <w:keepLines/>
              <w:spacing w:after="0" w:line="240" w:lineRule="auto"/>
            </w:pPr>
            <w:r/>
            <w:r>
              <w:rPr>
                <w:rFonts w:ascii="Arial" w:hAnsi="Arial"/>
                <w:b w:val="0"/>
                <w:color w:val="222222"/>
                <w:sz w:val="16"/>
              </w:rPr>
              <w:t>Obsidian</w:t>
            </w:r>
          </w:p>
        </w:tc>
        <w:tc>
          <w:tcPr>
            <w:tcW w:type="dxa" w:w="3888"/>
            <w:vAlign w:val="center"/>
            <w:tcMar>
              <w:top w:w="80" w:type="dxa"/>
              <w:start w:w="110" w:type="dxa"/>
              <w:bottom w:w="80" w:type="dxa"/>
              <w:end w:w="110" w:type="dxa"/>
            </w:tcMar>
          </w:tcPr>
          <w:p>
            <w:pPr>
              <w:keepLines/>
              <w:spacing w:after="0" w:line="240" w:lineRule="auto"/>
            </w:pPr>
            <w:r/>
            <w:r>
              <w:rPr>
                <w:rFonts w:ascii="Arial" w:hAnsi="Arial"/>
                <w:b w:val="0"/>
                <w:color w:val="222222"/>
                <w:sz w:val="16"/>
              </w:rPr>
              <w:t>A crisp philosophy: private, durable, flexible. Product decisions reinforce it.</w:t>
            </w:r>
          </w:p>
        </w:tc>
        <w:tc>
          <w:tcPr>
            <w:tcW w:type="dxa" w:w="4392"/>
            <w:vAlign w:val="center"/>
            <w:tcMar>
              <w:top w:w="80" w:type="dxa"/>
              <w:start w:w="110" w:type="dxa"/>
              <w:bottom w:w="80" w:type="dxa"/>
              <w:end w:w="110" w:type="dxa"/>
            </w:tcMar>
          </w:tcPr>
          <w:p>
            <w:pPr>
              <w:keepLines/>
              <w:spacing w:after="0" w:line="240" w:lineRule="auto"/>
            </w:pPr>
            <w:r/>
            <w:r>
              <w:rPr>
                <w:rFonts w:ascii="Arial" w:hAnsi="Arial"/>
                <w:b w:val="0"/>
                <w:color w:val="222222"/>
                <w:sz w:val="16"/>
              </w:rPr>
              <w:t>Publish trust principles: non-custodial, inspectable, neutral evidence, manual confirmation by default.</w:t>
            </w:r>
          </w:p>
        </w:tc>
      </w:tr>
    </w:tbl>
    <w:p>
      <w:pPr>
        <w:spacing w:after="0"/>
      </w:pPr>
    </w:p>
    <w:p>
      <w:r>
        <w:br w:type="page"/>
      </w:r>
    </w:p>
    <w:p>
      <w:pPr>
        <w:keepNext/>
        <w:spacing w:after="80"/>
      </w:pPr>
      <w:r>
        <w:rPr>
          <w:rFonts w:ascii="Arial" w:hAnsi="Arial"/>
          <w:b/>
          <w:color w:val="2E74B5"/>
          <w:sz w:val="18"/>
        </w:rPr>
        <w:t>PART II — WHAT MUST CHANGE</w:t>
      </w:r>
    </w:p>
    <w:p>
      <w:pPr>
        <w:pStyle w:val="Title"/>
      </w:pPr>
      <w:r>
        <w:t>10. Priority repair plan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792"/>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Priority</w:t>
            </w:r>
          </w:p>
        </w:tc>
        <w:tc>
          <w:tcPr>
            <w:tcW w:type="dxa" w:w="4608"/>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Change</w:t>
            </w:r>
          </w:p>
        </w:tc>
        <w:tc>
          <w:tcPr>
            <w:tcW w:type="dxa" w:w="4320"/>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Acceptance signal</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5"/>
              </w:rPr>
              <w:t>P0</w:t>
            </w:r>
          </w:p>
        </w:tc>
        <w:tc>
          <w:tcPr>
            <w:tcW w:type="dxa" w:w="4608"/>
            <w:vAlign w:val="center"/>
            <w:tcMar>
              <w:top w:w="80" w:type="dxa"/>
              <w:start w:w="110" w:type="dxa"/>
              <w:bottom w:w="80" w:type="dxa"/>
              <w:end w:w="110" w:type="dxa"/>
            </w:tcMar>
          </w:tcPr>
          <w:p>
            <w:pPr>
              <w:keepLines/>
              <w:spacing w:after="0" w:line="240" w:lineRule="auto"/>
            </w:pPr>
            <w:r/>
            <w:r>
              <w:rPr>
                <w:rFonts w:ascii="Arial" w:hAnsi="Arial"/>
                <w:b w:val="0"/>
                <w:color w:val="222222"/>
                <w:sz w:val="15"/>
              </w:rPr>
              <w:t>Make money units explicit everywhere. Parse `$200`, `200 USD`, and `200 shares` as different types; confirm ambiguous changes; show before/after capital.</w:t>
            </w:r>
          </w:p>
        </w:tc>
        <w:tc>
          <w:tcPr>
            <w:tcW w:type="dxa" w:w="4320"/>
            <w:vAlign w:val="center"/>
            <w:tcMar>
              <w:top w:w="80" w:type="dxa"/>
              <w:start w:w="110" w:type="dxa"/>
              <w:bottom w:w="80" w:type="dxa"/>
              <w:end w:w="110" w:type="dxa"/>
            </w:tcMar>
          </w:tcPr>
          <w:p>
            <w:pPr>
              <w:keepLines/>
              <w:spacing w:after="0" w:line="240" w:lineRule="auto"/>
            </w:pPr>
            <w:r/>
            <w:r>
              <w:rPr>
                <w:rFonts w:ascii="Arial" w:hAnsi="Arial"/>
                <w:b w:val="0"/>
                <w:color w:val="222222"/>
                <w:sz w:val="15"/>
              </w:rPr>
              <w:t>No silent unit conversion. Contract and end-to-end tests cover dollars, shares, cents, percentages, and malformed inputs.</w:t>
            </w:r>
          </w:p>
        </w:tc>
      </w:tr>
      <w:tr>
        <w:trPr>
          <w:cantSplit/>
          <w:cantSplit/>
        </w:trPr>
        <w:tc>
          <w:tcPr>
            <w:tcW w:type="dxa" w:w="7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P0</w:t>
            </w:r>
          </w:p>
        </w:tc>
        <w:tc>
          <w:tcPr>
            <w:tcW w:type="dxa" w:w="460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Create one authoritative Trading Availability component fed by server truth: live flag, region mode, signing requirement, and reason.</w:t>
            </w:r>
          </w:p>
        </w:tc>
        <w:tc>
          <w:tcPr>
            <w:tcW w:type="dxa" w:w="43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No hydration flip; public UI, API, and release gate agree; unavailable action is disabled with a plain-language reason.</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5"/>
              </w:rPr>
              <w:t>P0</w:t>
            </w:r>
          </w:p>
        </w:tc>
        <w:tc>
          <w:tcPr>
            <w:tcW w:type="dxa" w:w="4608"/>
            <w:vAlign w:val="center"/>
            <w:tcMar>
              <w:top w:w="80" w:type="dxa"/>
              <w:start w:w="110" w:type="dxa"/>
              <w:bottom w:w="80" w:type="dxa"/>
              <w:end w:w="110" w:type="dxa"/>
            </w:tcMar>
          </w:tcPr>
          <w:p>
            <w:pPr>
              <w:keepLines/>
              <w:spacing w:after="0" w:line="240" w:lineRule="auto"/>
            </w:pPr>
            <w:r/>
            <w:r>
              <w:rPr>
                <w:rFonts w:ascii="Arial" w:hAnsi="Arial"/>
                <w:b w:val="0"/>
                <w:color w:val="222222"/>
                <w:sz w:val="15"/>
              </w:rPr>
              <w:t>Make builder reflow at 320–390 px or explicitly mark desktop-only before entry.</w:t>
            </w:r>
          </w:p>
        </w:tc>
        <w:tc>
          <w:tcPr>
            <w:tcW w:type="dxa" w:w="4320"/>
            <w:vAlign w:val="center"/>
            <w:tcMar>
              <w:top w:w="80" w:type="dxa"/>
              <w:start w:w="110" w:type="dxa"/>
              <w:bottom w:w="80" w:type="dxa"/>
              <w:end w:w="110" w:type="dxa"/>
            </w:tcMar>
          </w:tcPr>
          <w:p>
            <w:pPr>
              <w:keepLines/>
              <w:spacing w:after="0" w:line="240" w:lineRule="auto"/>
            </w:pPr>
            <w:r/>
            <w:r>
              <w:rPr>
                <w:rFonts w:ascii="Arial" w:hAnsi="Arial"/>
                <w:b w:val="0"/>
                <w:color w:val="222222"/>
                <w:sz w:val="15"/>
              </w:rPr>
              <w:t>No page-level horizontal scroll; focused controls remain visible; canvas has an intentional mobile mode.</w:t>
            </w:r>
          </w:p>
        </w:tc>
      </w:tr>
      <w:tr>
        <w:trPr>
          <w:cantSplit/>
          <w:cantSplit/>
        </w:trPr>
        <w:tc>
          <w:tcPr>
            <w:tcW w:type="dxa" w:w="7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P0</w:t>
            </w:r>
          </w:p>
        </w:tc>
        <w:tc>
          <w:tcPr>
            <w:tcW w:type="dxa" w:w="460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Complete a low-value, full-cycle staging test and owner acceptance before presenting live capability broadly.</w:t>
            </w:r>
          </w:p>
        </w:tc>
        <w:tc>
          <w:tcPr>
            <w:tcW w:type="dxa" w:w="43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Recorded checklist covers create → sign → route → partial/fill/cancel → audit → recovery.</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5"/>
              </w:rPr>
              <w:t>P1</w:t>
            </w:r>
          </w:p>
        </w:tc>
        <w:tc>
          <w:tcPr>
            <w:tcW w:type="dxa" w:w="4608"/>
            <w:vAlign w:val="center"/>
            <w:tcMar>
              <w:top w:w="80" w:type="dxa"/>
              <w:start w:w="110" w:type="dxa"/>
              <w:bottom w:w="80" w:type="dxa"/>
              <w:end w:w="110" w:type="dxa"/>
            </w:tcMar>
          </w:tcPr>
          <w:p>
            <w:pPr>
              <w:keepLines/>
              <w:spacing w:after="0" w:line="240" w:lineRule="auto"/>
            </w:pPr>
            <w:r/>
            <w:r>
              <w:rPr>
                <w:rFonts w:ascii="Arial" w:hAnsi="Arial"/>
                <w:b w:val="0"/>
                <w:color w:val="222222"/>
                <w:sz w:val="15"/>
              </w:rPr>
              <w:t>Replace “Proven plays” with neutral replay evidence.</w:t>
            </w:r>
          </w:p>
        </w:tc>
        <w:tc>
          <w:tcPr>
            <w:tcW w:type="dxa" w:w="4320"/>
            <w:vAlign w:val="center"/>
            <w:tcMar>
              <w:top w:w="80" w:type="dxa"/>
              <w:start w:w="110" w:type="dxa"/>
              <w:bottom w:w="80" w:type="dxa"/>
              <w:end w:w="110" w:type="dxa"/>
            </w:tcMar>
          </w:tcPr>
          <w:p>
            <w:pPr>
              <w:keepLines/>
              <w:spacing w:after="0" w:line="240" w:lineRule="auto"/>
            </w:pPr>
            <w:r/>
            <w:r>
              <w:rPr>
                <w:rFonts w:ascii="Arial" w:hAnsi="Arial"/>
                <w:b w:val="0"/>
                <w:color w:val="222222"/>
                <w:sz w:val="15"/>
              </w:rPr>
              <w:t>Examples include winners, losers, no-trigger cases, fill assumptions, and frequency.</w:t>
            </w:r>
          </w:p>
        </w:tc>
      </w:tr>
      <w:tr>
        <w:trPr>
          <w:cantSplit/>
          <w:cantSplit/>
        </w:trPr>
        <w:tc>
          <w:tcPr>
            <w:tcW w:type="dxa" w:w="7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P1</w:t>
            </w:r>
          </w:p>
        </w:tc>
        <w:tc>
          <w:tcPr>
            <w:tcW w:type="dxa" w:w="460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Make the hero server-stable and singular.</w:t>
            </w:r>
          </w:p>
        </w:tc>
        <w:tc>
          <w:tcPr>
            <w:tcW w:type="dxa" w:w="43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Same headline/flags on first paint and after hydration; CLS stays within the current good threshold.</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5"/>
              </w:rPr>
              <w:t>P1</w:t>
            </w:r>
          </w:p>
        </w:tc>
        <w:tc>
          <w:tcPr>
            <w:tcW w:type="dxa" w:w="4608"/>
            <w:vAlign w:val="center"/>
            <w:tcMar>
              <w:top w:w="80" w:type="dxa"/>
              <w:start w:w="110" w:type="dxa"/>
              <w:bottom w:w="80" w:type="dxa"/>
              <w:end w:w="110" w:type="dxa"/>
            </w:tcMar>
          </w:tcPr>
          <w:p>
            <w:pPr>
              <w:keepLines/>
              <w:spacing w:after="0" w:line="240" w:lineRule="auto"/>
            </w:pPr>
            <w:r/>
            <w:r>
              <w:rPr>
                <w:rFonts w:ascii="Arial" w:hAnsi="Arial"/>
                <w:b w:val="0"/>
                <w:color w:val="222222"/>
                <w:sz w:val="15"/>
              </w:rPr>
              <w:t>Simplify builder progression: Compose → Review → Watch. Open the editor when a block is clicked; reveal expert controls later.</w:t>
            </w:r>
          </w:p>
        </w:tc>
        <w:tc>
          <w:tcPr>
            <w:tcW w:type="dxa" w:w="4320"/>
            <w:vAlign w:val="center"/>
            <w:tcMar>
              <w:top w:w="80" w:type="dxa"/>
              <w:start w:w="110" w:type="dxa"/>
              <w:bottom w:w="80" w:type="dxa"/>
              <w:end w:w="110" w:type="dxa"/>
            </w:tcMar>
          </w:tcPr>
          <w:p>
            <w:pPr>
              <w:keepLines/>
              <w:spacing w:after="0" w:line="240" w:lineRule="auto"/>
            </w:pPr>
            <w:r/>
            <w:r>
              <w:rPr>
                <w:rFonts w:ascii="Arial" w:hAnsi="Arial"/>
                <w:b w:val="0"/>
                <w:color w:val="222222"/>
                <w:sz w:val="15"/>
              </w:rPr>
              <w:t>A new user can edit one condition and simulate without learning the internal tab model.</w:t>
            </w:r>
          </w:p>
        </w:tc>
      </w:tr>
      <w:tr>
        <w:trPr>
          <w:cantSplit/>
          <w:cantSplit/>
        </w:trPr>
        <w:tc>
          <w:tcPr>
            <w:tcW w:type="dxa" w:w="7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P1</w:t>
            </w:r>
          </w:p>
        </w:tc>
        <w:tc>
          <w:tcPr>
            <w:tcW w:type="dxa" w:w="460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Fix dead-end states and wallet language.</w:t>
            </w:r>
          </w:p>
        </w:tc>
        <w:tc>
          <w:tcPr>
            <w:tcW w:type="dxa" w:w="43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Portfolio/Wallet states contain one relevant CTA; pUSD/USDC and custody model are explained at the moment of need.</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5"/>
              </w:rPr>
              <w:t>P1</w:t>
            </w:r>
          </w:p>
        </w:tc>
        <w:tc>
          <w:tcPr>
            <w:tcW w:type="dxa" w:w="4608"/>
            <w:vAlign w:val="center"/>
            <w:tcMar>
              <w:top w:w="80" w:type="dxa"/>
              <w:start w:w="110" w:type="dxa"/>
              <w:bottom w:w="80" w:type="dxa"/>
              <w:end w:w="110" w:type="dxa"/>
            </w:tcMar>
          </w:tcPr>
          <w:p>
            <w:pPr>
              <w:keepLines/>
              <w:spacing w:after="0" w:line="240" w:lineRule="auto"/>
            </w:pPr>
            <w:r/>
            <w:r>
              <w:rPr>
                <w:rFonts w:ascii="Arial" w:hAnsi="Arial"/>
                <w:b w:val="0"/>
                <w:color w:val="222222"/>
                <w:sz w:val="15"/>
              </w:rPr>
              <w:t>Promote market rules, resolution source, close time, liquidity, and price source before action.</w:t>
            </w:r>
          </w:p>
        </w:tc>
        <w:tc>
          <w:tcPr>
            <w:tcW w:type="dxa" w:w="4320"/>
            <w:vAlign w:val="center"/>
            <w:tcMar>
              <w:top w:w="80" w:type="dxa"/>
              <w:start w:w="110" w:type="dxa"/>
              <w:bottom w:w="80" w:type="dxa"/>
              <w:end w:w="110" w:type="dxa"/>
            </w:tcMar>
          </w:tcPr>
          <w:p>
            <w:pPr>
              <w:keepLines/>
              <w:spacing w:after="0" w:line="240" w:lineRule="auto"/>
            </w:pPr>
            <w:r/>
            <w:r>
              <w:rPr>
                <w:rFonts w:ascii="Arial" w:hAnsi="Arial"/>
                <w:b w:val="0"/>
                <w:color w:val="222222"/>
                <w:sz w:val="15"/>
              </w:rPr>
              <w:t>Trader can answer “what settles this and what could go wrong?” without searching.</w:t>
            </w:r>
          </w:p>
        </w:tc>
      </w:tr>
      <w:tr>
        <w:trPr>
          <w:cantSplit/>
          <w:cantSplit/>
        </w:trPr>
        <w:tc>
          <w:tcPr>
            <w:tcW w:type="dxa" w:w="7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P2</w:t>
            </w:r>
          </w:p>
        </w:tc>
        <w:tc>
          <w:tcPr>
            <w:tcW w:type="dxa" w:w="460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Add strategy deep links, templates, social preview metadata, and customer evidence.</w:t>
            </w:r>
          </w:p>
        </w:tc>
        <w:tc>
          <w:tcPr>
            <w:tcW w:type="dxa" w:w="43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Shared example opens in a grounded preview and retains intent through sign-in.</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5"/>
              </w:rPr>
              <w:t>P2</w:t>
            </w:r>
          </w:p>
        </w:tc>
        <w:tc>
          <w:tcPr>
            <w:tcW w:type="dxa" w:w="4608"/>
            <w:vAlign w:val="center"/>
            <w:tcMar>
              <w:top w:w="80" w:type="dxa"/>
              <w:start w:w="110" w:type="dxa"/>
              <w:bottom w:w="80" w:type="dxa"/>
              <w:end w:w="110" w:type="dxa"/>
            </w:tcMar>
          </w:tcPr>
          <w:p>
            <w:pPr>
              <w:keepLines/>
              <w:spacing w:after="0" w:line="240" w:lineRule="auto"/>
            </w:pPr>
            <w:r/>
            <w:r>
              <w:rPr>
                <w:rFonts w:ascii="Arial" w:hAnsi="Arial"/>
                <w:b w:val="0"/>
                <w:color w:val="222222"/>
                <w:sz w:val="15"/>
              </w:rPr>
              <w:t>Remove production console warnings and inconsistent identifiers/metrics.</w:t>
            </w:r>
          </w:p>
        </w:tc>
        <w:tc>
          <w:tcPr>
            <w:tcW w:type="dxa" w:w="4320"/>
            <w:vAlign w:val="center"/>
            <w:tcMar>
              <w:top w:w="80" w:type="dxa"/>
              <w:start w:w="110" w:type="dxa"/>
              <w:bottom w:w="80" w:type="dxa"/>
              <w:end w:w="110" w:type="dxa"/>
            </w:tcMar>
          </w:tcPr>
          <w:p>
            <w:pPr>
              <w:keepLines/>
              <w:spacing w:after="0" w:line="240" w:lineRule="auto"/>
            </w:pPr>
            <w:r/>
            <w:r>
              <w:rPr>
                <w:rFonts w:ascii="Arial" w:hAnsi="Arial"/>
                <w:b w:val="0"/>
                <w:color w:val="222222"/>
                <w:sz w:val="15"/>
              </w:rPr>
              <w:t>No recurring Reown 403; addresses are valid/truncated; volume timeframe labels agree.</w:t>
            </w:r>
          </w:p>
        </w:tc>
      </w:tr>
    </w:tbl>
    <w:p>
      <w:pPr>
        <w:spacing w:after="0"/>
      </w:pPr>
    </w:p>
    <w:p>
      <w:r>
        <w:br w:type="page"/>
      </w:r>
    </w:p>
    <w:p>
      <w:pPr>
        <w:pStyle w:val="Heading1"/>
      </w:pPr>
      <w:r>
        <w:t>11. The product model to design around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1224"/>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Stage</w:t>
            </w:r>
          </w:p>
        </w:tc>
        <w:tc>
          <w:tcPr>
            <w:tcW w:type="dxa" w:w="3456"/>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User question</w:t>
            </w:r>
          </w:p>
        </w:tc>
        <w:tc>
          <w:tcPr>
            <w:tcW w:type="dxa" w:w="5040"/>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Product answer</w:t>
            </w:r>
          </w:p>
        </w:tc>
      </w:tr>
      <w:tr>
        <w:trPr>
          <w:cantSplit/>
          <w:cantSplit/>
        </w:trPr>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Compose</w:t>
            </w:r>
          </w:p>
        </w:tc>
        <w:tc>
          <w:tcPr>
            <w:tcW w:type="dxa" w:w="3456"/>
            <w:vAlign w:val="center"/>
            <w:tcMar>
              <w:top w:w="80" w:type="dxa"/>
              <w:start w:w="110" w:type="dxa"/>
              <w:bottom w:w="80" w:type="dxa"/>
              <w:end w:w="110" w:type="dxa"/>
            </w:tcMar>
          </w:tcPr>
          <w:p>
            <w:pPr>
              <w:keepLines/>
              <w:spacing w:after="0" w:line="240" w:lineRule="auto"/>
            </w:pPr>
            <w:r/>
            <w:r>
              <w:rPr>
                <w:rFonts w:ascii="Arial" w:hAnsi="Arial"/>
                <w:b w:val="0"/>
                <w:color w:val="222222"/>
                <w:sz w:val="17"/>
              </w:rPr>
              <w:t>“Can you express my setup?”</w:t>
            </w:r>
          </w:p>
        </w:tc>
        <w:tc>
          <w:tcPr>
            <w:tcW w:type="dxa" w:w="5040"/>
            <w:vAlign w:val="center"/>
            <w:tcMar>
              <w:top w:w="80" w:type="dxa"/>
              <w:start w:w="110" w:type="dxa"/>
              <w:bottom w:w="80" w:type="dxa"/>
              <w:end w:w="110" w:type="dxa"/>
            </w:tcMar>
          </w:tcPr>
          <w:p>
            <w:pPr>
              <w:keepLines/>
              <w:spacing w:after="0" w:line="240" w:lineRule="auto"/>
            </w:pPr>
            <w:r/>
            <w:r>
              <w:rPr>
                <w:rFonts w:ascii="Arial" w:hAnsi="Arial"/>
                <w:b w:val="0"/>
                <w:color w:val="222222"/>
                <w:sz w:val="17"/>
              </w:rPr>
              <w:t>Plain language plus explicit market, units, and assumptions.</w:t>
            </w:r>
          </w:p>
        </w:tc>
      </w:tr>
      <w:tr>
        <w:trPr>
          <w:cantSplit/>
          <w:cantSplit/>
        </w:trPr>
        <w:tc>
          <w:tcPr>
            <w:tcW w:type="dxa" w:w="12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Review</w:t>
            </w:r>
          </w:p>
        </w:tc>
        <w:tc>
          <w:tcPr>
            <w:tcW w:type="dxa" w:w="345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“Is that what I meant, and what can I lose?”</w:t>
            </w:r>
          </w:p>
        </w:tc>
        <w:tc>
          <w:tcPr>
            <w:tcW w:type="dxa" w:w="50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Inspectable blocks, neutral simulation, freshness, and validation.</w:t>
            </w:r>
          </w:p>
        </w:tc>
      </w:tr>
      <w:tr>
        <w:trPr>
          <w:cantSplit/>
          <w:cantSplit/>
        </w:trPr>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Watch</w:t>
            </w:r>
          </w:p>
        </w:tc>
        <w:tc>
          <w:tcPr>
            <w:tcW w:type="dxa" w:w="3456"/>
            <w:vAlign w:val="center"/>
            <w:tcMar>
              <w:top w:w="80" w:type="dxa"/>
              <w:start w:w="110" w:type="dxa"/>
              <w:bottom w:w="80" w:type="dxa"/>
              <w:end w:w="110" w:type="dxa"/>
            </w:tcMar>
          </w:tcPr>
          <w:p>
            <w:pPr>
              <w:keepLines/>
              <w:spacing w:after="0" w:line="240" w:lineRule="auto"/>
            </w:pPr>
            <w:r/>
            <w:r>
              <w:rPr>
                <w:rFonts w:ascii="Arial" w:hAnsi="Arial"/>
                <w:b w:val="0"/>
                <w:color w:val="222222"/>
                <w:sz w:val="17"/>
              </w:rPr>
              <w:t>“Will I miss it?”</w:t>
            </w:r>
          </w:p>
        </w:tc>
        <w:tc>
          <w:tcPr>
            <w:tcW w:type="dxa" w:w="5040"/>
            <w:vAlign w:val="center"/>
            <w:tcMar>
              <w:top w:w="80" w:type="dxa"/>
              <w:start w:w="110" w:type="dxa"/>
              <w:bottom w:w="80" w:type="dxa"/>
              <w:end w:w="110" w:type="dxa"/>
            </w:tcMar>
          </w:tcPr>
          <w:p>
            <w:pPr>
              <w:keepLines/>
              <w:spacing w:after="0" w:line="240" w:lineRule="auto"/>
            </w:pPr>
            <w:r/>
            <w:r>
              <w:rPr>
                <w:rFonts w:ascii="Arial" w:hAnsi="Arial"/>
                <w:b w:val="0"/>
                <w:color w:val="222222"/>
                <w:sz w:val="17"/>
              </w:rPr>
              <w:t>Reliable monitoring, clear state, and useful alerts.</w:t>
            </w:r>
          </w:p>
        </w:tc>
      </w:tr>
      <w:tr>
        <w:trPr>
          <w:cantSplit/>
          <w:cantSplit/>
        </w:trPr>
        <w:tc>
          <w:tcPr>
            <w:tcW w:type="dxa" w:w="122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Decide</w:t>
            </w:r>
          </w:p>
        </w:tc>
        <w:tc>
          <w:tcPr>
            <w:tcW w:type="dxa" w:w="345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“Why now?”</w:t>
            </w:r>
          </w:p>
        </w:tc>
        <w:tc>
          <w:tcPr>
            <w:tcW w:type="dxa" w:w="50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Trigger evidence, current book/liquidity, and manual confirmation.</w:t>
            </w:r>
          </w:p>
        </w:tc>
      </w:tr>
      <w:tr>
        <w:trPr>
          <w:cantSplit/>
          <w:cantSplit/>
        </w:trPr>
        <w:tc>
          <w:tcPr>
            <w:tcW w:type="dxa" w:w="1224"/>
            <w:vAlign w:val="center"/>
            <w:tcMar>
              <w:top w:w="80" w:type="dxa"/>
              <w:start w:w="110" w:type="dxa"/>
              <w:bottom w:w="80" w:type="dxa"/>
              <w:end w:w="110" w:type="dxa"/>
            </w:tcMar>
          </w:tcPr>
          <w:p>
            <w:pPr>
              <w:keepLines/>
              <w:spacing w:after="0" w:line="240" w:lineRule="auto"/>
            </w:pPr>
            <w:r/>
            <w:r>
              <w:rPr>
                <w:rFonts w:ascii="Arial" w:hAnsi="Arial"/>
                <w:b w:val="0"/>
                <w:color w:val="222222"/>
                <w:sz w:val="17"/>
              </w:rPr>
              <w:t>Learn</w:t>
            </w:r>
          </w:p>
        </w:tc>
        <w:tc>
          <w:tcPr>
            <w:tcW w:type="dxa" w:w="3456"/>
            <w:vAlign w:val="center"/>
            <w:tcMar>
              <w:top w:w="80" w:type="dxa"/>
              <w:start w:w="110" w:type="dxa"/>
              <w:bottom w:w="80" w:type="dxa"/>
              <w:end w:w="110" w:type="dxa"/>
            </w:tcMar>
          </w:tcPr>
          <w:p>
            <w:pPr>
              <w:keepLines/>
              <w:spacing w:after="0" w:line="240" w:lineRule="auto"/>
            </w:pPr>
            <w:r/>
            <w:r>
              <w:rPr>
                <w:rFonts w:ascii="Arial" w:hAnsi="Arial"/>
                <w:b w:val="0"/>
                <w:color w:val="222222"/>
                <w:sz w:val="17"/>
              </w:rPr>
              <w:t>“Did the rule work as intended?”</w:t>
            </w:r>
          </w:p>
        </w:tc>
        <w:tc>
          <w:tcPr>
            <w:tcW w:type="dxa" w:w="5040"/>
            <w:vAlign w:val="center"/>
            <w:tcMar>
              <w:top w:w="80" w:type="dxa"/>
              <w:start w:w="110" w:type="dxa"/>
              <w:bottom w:w="80" w:type="dxa"/>
              <w:end w:w="110" w:type="dxa"/>
            </w:tcMar>
          </w:tcPr>
          <w:p>
            <w:pPr>
              <w:keepLines/>
              <w:spacing w:after="0" w:line="240" w:lineRule="auto"/>
            </w:pPr>
            <w:r/>
            <w:r>
              <w:rPr>
                <w:rFonts w:ascii="Arial" w:hAnsi="Arial"/>
                <w:b w:val="0"/>
                <w:color w:val="222222"/>
                <w:sz w:val="17"/>
              </w:rPr>
              <w:t>Append-only history, outcome, fills, and reusable revision.</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878"/>
            <w:shd w:fill="EDF4FA"/>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Scope discipline</w:t>
            </w:r>
          </w:p>
          <w:p>
            <w:pPr>
              <w:keepLines/>
              <w:spacing w:after="0" w:line="252" w:lineRule="auto"/>
            </w:pPr>
            <w:r>
              <w:rPr>
                <w:rFonts w:ascii="Arial" w:hAnsi="Arial"/>
                <w:sz w:val="18"/>
              </w:rPr>
              <w:t>Every new feature should strengthen one of these five stages for the primary trader. If it does not improve activation, trust, retention, or distribution, defer it.</w:t>
            </w:r>
          </w:p>
        </w:tc>
      </w:tr>
    </w:tbl>
    <w:p>
      <w:pPr>
        <w:spacing w:after="0"/>
      </w:pPr>
    </w:p>
    <w:p>
      <w:pPr>
        <w:pStyle w:val="Heading1"/>
      </w:pPr>
      <w:r>
        <w:t>14. Product metrics that matter now</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cantSplit/>
        </w:trPr>
        <w:tc>
          <w:tcPr>
            <w:tcW w:type="dxa" w:w="1944"/>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Funnel</w:t>
            </w:r>
          </w:p>
        </w:tc>
        <w:tc>
          <w:tcPr>
            <w:tcW w:type="dxa" w:w="7776"/>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Metric</w:t>
            </w:r>
          </w:p>
        </w:tc>
      </w:tr>
      <w:tr>
        <w:trPr>
          <w:cantSplit/>
          <w:cantSplit/>
        </w:trPr>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5"/>
              </w:rPr>
              <w:t>Acquisition</w:t>
            </w:r>
          </w:p>
        </w:tc>
        <w:tc>
          <w:tcPr>
            <w:tcW w:type="dxa" w:w="7776"/>
            <w:vAlign w:val="center"/>
            <w:tcMar>
              <w:top w:w="80" w:type="dxa"/>
              <w:start w:w="110" w:type="dxa"/>
              <w:bottom w:w="80" w:type="dxa"/>
              <w:end w:w="110" w:type="dxa"/>
            </w:tcMar>
          </w:tcPr>
          <w:p>
            <w:pPr>
              <w:keepLines/>
              <w:spacing w:after="0" w:line="240" w:lineRule="auto"/>
            </w:pPr>
            <w:r/>
            <w:r>
              <w:rPr>
                <w:rFonts w:ascii="Arial" w:hAnsi="Arial"/>
                <w:b w:val="0"/>
                <w:color w:val="222222"/>
                <w:sz w:val="15"/>
              </w:rPr>
              <w:t>Landing → builder start; example/deep-link → grounded draft</w:t>
            </w:r>
          </w:p>
        </w:tc>
      </w:tr>
      <w:tr>
        <w:trPr>
          <w:cantSplit/>
          <w:cantSplit/>
        </w:trPr>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Activation</w:t>
            </w:r>
          </w:p>
        </w:tc>
        <w:tc>
          <w:tcPr>
            <w:tcW w:type="dxa" w:w="77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Draft → simulation → saved/watching strategy in the first session</w:t>
            </w:r>
          </w:p>
        </w:tc>
      </w:tr>
      <w:tr>
        <w:trPr>
          <w:cantSplit/>
          <w:cantSplit/>
        </w:trPr>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5"/>
              </w:rPr>
              <w:t>Trust</w:t>
            </w:r>
          </w:p>
        </w:tc>
        <w:tc>
          <w:tcPr>
            <w:tcW w:type="dxa" w:w="7776"/>
            <w:vAlign w:val="center"/>
            <w:tcMar>
              <w:top w:w="80" w:type="dxa"/>
              <w:start w:w="110" w:type="dxa"/>
              <w:bottom w:w="80" w:type="dxa"/>
              <w:end w:w="110" w:type="dxa"/>
            </w:tcMar>
          </w:tcPr>
          <w:p>
            <w:pPr>
              <w:keepLines/>
              <w:spacing w:after="0" w:line="240" w:lineRule="auto"/>
            </w:pPr>
            <w:r/>
            <w:r>
              <w:rPr>
                <w:rFonts w:ascii="Arial" w:hAnsi="Arial"/>
                <w:b w:val="0"/>
                <w:color w:val="222222"/>
                <w:sz w:val="15"/>
              </w:rPr>
              <w:t>AI changes corrected by user; unit clarification rate; stale-data and geoblock confusion; failed signatures</w:t>
            </w:r>
          </w:p>
        </w:tc>
      </w:tr>
      <w:tr>
        <w:trPr>
          <w:cantSplit/>
          <w:cantSplit/>
        </w:trPr>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Retention</w:t>
            </w:r>
          </w:p>
        </w:tc>
        <w:tc>
          <w:tcPr>
            <w:tcW w:type="dxa" w:w="77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First useful alert; return after alert; weekly active strategies; D7 and D28 activated retention</w:t>
            </w:r>
          </w:p>
        </w:tc>
      </w:tr>
      <w:tr>
        <w:trPr>
          <w:cantSplit/>
          <w:cantSplit/>
        </w:trPr>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5"/>
              </w:rPr>
              <w:t>Safety</w:t>
            </w:r>
          </w:p>
        </w:tc>
        <w:tc>
          <w:tcPr>
            <w:tcW w:type="dxa" w:w="7776"/>
            <w:vAlign w:val="center"/>
            <w:tcMar>
              <w:top w:w="80" w:type="dxa"/>
              <w:start w:w="110" w:type="dxa"/>
              <w:bottom w:w="80" w:type="dxa"/>
              <w:end w:w="110" w:type="dxa"/>
            </w:tcMar>
          </w:tcPr>
          <w:p>
            <w:pPr>
              <w:keepLines/>
              <w:spacing w:after="0" w:line="240" w:lineRule="auto"/>
            </w:pPr>
            <w:r/>
            <w:r>
              <w:rPr>
                <w:rFonts w:ascii="Arial" w:hAnsi="Arial"/>
                <w:b w:val="0"/>
                <w:color w:val="222222"/>
                <w:sz w:val="15"/>
              </w:rPr>
              <w:t>False/late trigger rate; mismatched capital; blocked-region attempts; execution recovery time</w:t>
            </w:r>
          </w:p>
        </w:tc>
      </w:tr>
    </w:tbl>
    <w:p>
      <w:pPr>
        <w:spacing w:after="0"/>
      </w:pPr>
    </w:p>
    <w:p>
      <w:r>
        <w:rPr>
          <w:rFonts w:ascii="Arial" w:hAnsi="Arial"/>
          <w:b/>
        </w:rPr>
        <w:t>Recommended north star:</w:t>
      </w:r>
      <w:r>
        <w:t xml:space="preserve"> weekly users who receive at least one useful strategy update or trigger and return to inspect or act—not routed volume.</w:t>
      </w:r>
    </w:p>
    <w:p>
      <w:r>
        <w:br w:type="page"/>
      </w:r>
    </w:p>
    <w:p>
      <w:pPr>
        <w:keepNext/>
        <w:spacing w:after="80"/>
      </w:pPr>
      <w:r>
        <w:rPr>
          <w:rFonts w:ascii="Arial" w:hAnsi="Arial"/>
          <w:b/>
          <w:color w:val="2E74B5"/>
          <w:sz w:val="18"/>
        </w:rPr>
        <w:t>PART II — PROPOSED FIRST-USE EXPERIENCE</w:t>
      </w:r>
    </w:p>
    <w:p>
      <w:pPr>
        <w:pStyle w:val="Title"/>
      </w:pPr>
      <w:r>
        <w:t>12. A faster, safer first-run flow</w:t>
      </w:r>
    </w:p>
    <w:p>
      <w:pPr>
        <w:pStyle w:val="Heading1"/>
      </w:pPr>
      <w:r>
        <w:t>Landing copy</w:t>
      </w:r>
    </w:p>
    <w:tbl>
      <w:tblPr>
        <w:tblW w:type="auto" w:w="0"/>
        <w:tblLayout w:type="fixed"/>
        <w:tblLook w:firstColumn="1" w:firstRow="1" w:lastColumn="0" w:lastRow="0" w:noHBand="0" w:noVBand="1" w:val="04A0"/>
      </w:tblPr>
      <w:tblGrid>
        <w:gridCol w:w="9720"/>
      </w:tblGrid>
      <w:tr>
        <w:trPr>
          <w:cantSplit/>
        </w:trPr>
        <w:tc>
          <w:tcPr>
            <w:tcW w:type="dxa" w:w="9878"/>
            <w:shd w:fill="E2F0D9"/>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Recommended hero</w:t>
            </w:r>
          </w:p>
          <w:p>
            <w:pPr>
              <w:keepLines/>
              <w:spacing w:after="0" w:line="252" w:lineRule="auto"/>
            </w:pPr>
            <w:r>
              <w:rPr>
                <w:rFonts w:ascii="Arial" w:hAnsi="Arial"/>
                <w:sz w:val="18"/>
              </w:rPr>
              <w:t>Never babysit a Polymarket setup again.</w:t>
              <w:br/>
              <w:br/>
              <w:t>Describe the price, liquidity, or cross-market conditions. Arima watches live markets, simulates the rule, and asks before money moves.</w:t>
              <w:br/>
              <w:br/>
              <w:t>Primary: Build a strategy — free   •   Secondary: Watch a 45-second example</w:t>
              <w:br/>
              <w:t>Trust row: No wallet to simulate • Manual signature by default • Live Polymarket data</w:t>
            </w:r>
          </w:p>
        </w:tc>
      </w:tr>
    </w:tbl>
    <w:p>
      <w:pPr>
        <w:spacing w:after="0"/>
      </w:pPr>
    </w:p>
    <w:p>
      <w:pPr>
        <w:pStyle w:val="Heading1"/>
      </w:pPr>
      <w:r>
        <w:t>First successful session</w:t>
      </w:r>
    </w:p>
    <w:p>
      <w:pPr>
        <w:spacing w:after="60"/>
        <w:ind w:left="360" w:hanging="288"/>
      </w:pPr>
      <w:r>
        <w:rPr>
          <w:b/>
        </w:rPr>
        <w:t xml:space="preserve">1.  </w:t>
      </w:r>
      <w:r>
        <w:t>Choose a live market or start with a template such as “buy if price falls and liquidity remains healthy.”</w:t>
      </w:r>
    </w:p>
    <w:p>
      <w:pPr>
        <w:spacing w:after="60"/>
        <w:ind w:left="360" w:hanging="288"/>
      </w:pPr>
      <w:r>
        <w:rPr>
          <w:b/>
        </w:rPr>
        <w:t xml:space="preserve">2.  </w:t>
      </w:r>
      <w:r>
        <w:t>Type the idea. If the user supplies a dollar budget, Arima shows both dollars and derived shares before applying it.</w:t>
      </w:r>
    </w:p>
    <w:p>
      <w:pPr>
        <w:spacing w:after="60"/>
        <w:ind w:left="360" w:hanging="288"/>
      </w:pPr>
      <w:r>
        <w:rPr>
          <w:b/>
        </w:rPr>
        <w:t xml:space="preserve">3.  </w:t>
      </w:r>
      <w:r>
        <w:t>Show the resulting rule as a short sentence. Highlight assumptions and unresolved ambiguity inline.</w:t>
      </w:r>
    </w:p>
    <w:p>
      <w:pPr>
        <w:spacing w:after="60"/>
        <w:ind w:left="360" w:hanging="288"/>
      </w:pPr>
      <w:r>
        <w:rPr>
          <w:b/>
        </w:rPr>
        <w:t xml:space="preserve">4.  </w:t>
      </w:r>
      <w:r>
        <w:t>Open Review automatically: downside first, then upside, then replay/fill assumptions. Keep “not active” unmistakable.</w:t>
      </w:r>
    </w:p>
    <w:p>
      <w:pPr>
        <w:spacing w:after="60"/>
        <w:ind w:left="360" w:hanging="288"/>
      </w:pPr>
      <w:r>
        <w:rPr>
          <w:b/>
        </w:rPr>
        <w:t xml:space="preserve">5.  </w:t>
      </w:r>
      <w:r>
        <w:t>Offer Save &amp; Watch. Explain that an account is needed for persistence; a wallet is needed only for trading.</w:t>
      </w:r>
    </w:p>
    <w:p>
      <w:pPr>
        <w:spacing w:after="60"/>
        <w:ind w:left="360" w:hanging="288"/>
      </w:pPr>
      <w:r>
        <w:rPr>
          <w:b/>
        </w:rPr>
        <w:t xml:space="preserve">6.  </w:t>
      </w:r>
      <w:r>
        <w:t>When the rule changes state, send an evidence-rich alert and return the user to a manual confirmation screen.</w:t>
      </w:r>
    </w:p>
    <w:p>
      <w:pPr>
        <w:pStyle w:val="Heading1"/>
      </w:pPr>
      <w:r>
        <w:t>Progressive disclosure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3240"/>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Show now</w:t>
            </w:r>
          </w:p>
        </w:tc>
        <w:tc>
          <w:tcPr>
            <w:tcW w:type="dxa" w:w="3240"/>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Show when needed</w:t>
            </w:r>
          </w:p>
        </w:tc>
        <w:tc>
          <w:tcPr>
            <w:tcW w:type="dxa" w:w="3240"/>
            <w:shd w:fill="17365D"/>
            <w:vAlign w:val="center"/>
            <w:tcMar>
              <w:top w:w="80" w:type="dxa"/>
              <w:start w:w="110" w:type="dxa"/>
              <w:bottom w:w="80" w:type="dxa"/>
              <w:end w:w="110" w:type="dxa"/>
            </w:tcMar>
          </w:tcPr>
          <w:p>
            <w:pPr>
              <w:keepLines/>
              <w:spacing w:after="0" w:line="240" w:lineRule="auto"/>
            </w:pPr>
            <w:r/>
            <w:r>
              <w:rPr>
                <w:rFonts w:ascii="Arial" w:hAnsi="Arial"/>
                <w:b/>
                <w:color w:val="FFFFFF"/>
                <w:sz w:val="16"/>
              </w:rPr>
              <w:t>Keep expert-only</w:t>
            </w:r>
          </w:p>
        </w:tc>
      </w:tr>
      <w:tr>
        <w:trPr>
          <w:cantSplit/>
          <w:cantSplit/>
        </w:trPr>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6"/>
              </w:rPr>
              <w:t>Market, condition, action, units, capital, max loss, state</w:t>
            </w:r>
          </w:p>
        </w:tc>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6"/>
              </w:rPr>
              <w:t>Order-book depth, partial-fill model, data freshness, notification channel</w:t>
            </w:r>
          </w:p>
        </w:tc>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6"/>
              </w:rPr>
              <w:t>Trailing internals, multi-level conditions, raw strategy JSON, execution diagnostics</w:t>
            </w:r>
          </w:p>
        </w:tc>
      </w:tr>
    </w:tbl>
    <w:p>
      <w:pPr>
        <w:spacing w:after="0"/>
      </w:pPr>
    </w:p>
    <w:p>
      <w:pPr>
        <w:pStyle w:val="Heading1"/>
      </w:pPr>
      <w:r>
        <w:t>13. What to remove or demote</w:t>
      </w:r>
    </w:p>
    <w:p>
      <w:pPr>
        <w:pStyle w:val="ListBullet"/>
        <w:spacing w:after="40"/>
        <w:ind w:left="317" w:hanging="230"/>
      </w:pPr>
      <w:r>
        <w:t>Demote the broad terminal claim from the homepage. Let market intelligence prove the strategy is grounded.</w:t>
      </w:r>
    </w:p>
    <w:p>
      <w:pPr>
        <w:pStyle w:val="ListBullet"/>
        <w:spacing w:after="40"/>
        <w:ind w:left="317" w:hanging="230"/>
      </w:pPr>
      <w:r>
        <w:t>Remove “Proven plays” until evidence is representative. Use “Replay examples” or “How this rule behaved.”</w:t>
      </w:r>
    </w:p>
    <w:p>
      <w:pPr>
        <w:pStyle w:val="ListBullet"/>
        <w:spacing w:after="40"/>
        <w:ind w:left="317" w:hanging="230"/>
      </w:pPr>
      <w:r>
        <w:t>Do not lead with wallet, pUSD, relayers, or execution architecture. Lead with the outcome and control model.</w:t>
      </w:r>
    </w:p>
    <w:p>
      <w:pPr>
        <w:pStyle w:val="ListBullet"/>
        <w:spacing w:after="40"/>
        <w:ind w:left="317" w:hanging="230"/>
      </w:pPr>
      <w:r>
        <w:t>Do not expose all builder panels at once. A powerful expert product can still have a linear first-use path.</w:t>
      </w:r>
    </w:p>
    <w:p>
      <w:pPr>
        <w:pStyle w:val="ListBullet"/>
        <w:spacing w:after="40"/>
        <w:ind w:left="317" w:hanging="230"/>
      </w:pPr>
      <w:r>
        <w:t>Do not market autonomous AI alpha. The durable promise is disciplined monitoring and execution of the trader’s own thesis.</w:t>
      </w:r>
    </w:p>
    <w:p>
      <w:r>
        <w:br w:type="page"/>
      </w:r>
    </w:p>
    <w:p>
      <w:pPr>
        <w:keepNext/>
        <w:spacing w:after="80"/>
      </w:pPr>
      <w:r>
        <w:rPr>
          <w:rFonts w:ascii="Arial" w:hAnsi="Arial"/>
          <w:b/>
          <w:color w:val="2E74B5"/>
          <w:sz w:val="18"/>
        </w:rPr>
        <w:t>PART III — MARKETING</w:t>
      </w:r>
    </w:p>
    <w:p>
      <w:pPr>
        <w:pStyle w:val="Title"/>
      </w:pPr>
      <w:r>
        <w:t>15. Target audience: who should care first</w:t>
      </w:r>
    </w:p>
    <w:p>
      <w:pPr>
        <w:pStyle w:val="Heading1"/>
      </w:pPr>
      <w:r>
        <w:t>Primary beachhead: the semi-pro Polymarket operator</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cantSplit/>
        </w:trPr>
        <w:tc>
          <w:tcPr>
            <w:tcW w:type="dxa" w:w="1800"/>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Trait</w:t>
            </w:r>
          </w:p>
        </w:tc>
        <w:tc>
          <w:tcPr>
            <w:tcW w:type="dxa" w:w="7920"/>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Portrait</w:t>
            </w:r>
          </w:p>
        </w:tc>
      </w:tr>
      <w:tr>
        <w:trPr>
          <w:cantSplit/>
          <w:cantSplit/>
        </w:trPr>
        <w:tc>
          <w:tcPr>
            <w:tcW w:type="dxa" w:w="1800"/>
            <w:vAlign w:val="center"/>
            <w:tcMar>
              <w:top w:w="80" w:type="dxa"/>
              <w:start w:w="110" w:type="dxa"/>
              <w:bottom w:w="80" w:type="dxa"/>
              <w:end w:w="110" w:type="dxa"/>
            </w:tcMar>
          </w:tcPr>
          <w:p>
            <w:pPr>
              <w:keepLines/>
              <w:spacing w:after="0" w:line="240" w:lineRule="auto"/>
            </w:pPr>
            <w:r/>
            <w:r>
              <w:rPr>
                <w:rFonts w:ascii="Arial" w:hAnsi="Arial"/>
                <w:b w:val="0"/>
                <w:color w:val="222222"/>
                <w:sz w:val="17"/>
              </w:rPr>
              <w:t>Behavior</w:t>
            </w:r>
          </w:p>
        </w:tc>
        <w:tc>
          <w:tcPr>
            <w:tcW w:type="dxa" w:w="7920"/>
            <w:vAlign w:val="center"/>
            <w:tcMar>
              <w:top w:w="80" w:type="dxa"/>
              <w:start w:w="110" w:type="dxa"/>
              <w:bottom w:w="80" w:type="dxa"/>
              <w:end w:w="110" w:type="dxa"/>
            </w:tcMar>
          </w:tcPr>
          <w:p>
            <w:pPr>
              <w:keepLines/>
              <w:spacing w:after="0" w:line="240" w:lineRule="auto"/>
            </w:pPr>
            <w:r/>
            <w:r>
              <w:rPr>
                <w:rFonts w:ascii="Arial" w:hAnsi="Arial"/>
                <w:b w:val="0"/>
                <w:color w:val="222222"/>
                <w:sz w:val="17"/>
              </w:rPr>
              <w:t>Trades 3–20 times per week; monitors several markets; repeats entry, exit, and protection setups.</w:t>
            </w:r>
          </w:p>
        </w:tc>
      </w:tr>
      <w:tr>
        <w:trPr>
          <w:cantSplit/>
          <w:cantSplit/>
        </w:trPr>
        <w:tc>
          <w:tcPr>
            <w:tcW w:type="dxa" w:w="180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Capital / stakes</w:t>
            </w:r>
          </w:p>
        </w:tc>
        <w:tc>
          <w:tcPr>
            <w:tcW w:type="dxa" w:w="79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Meaningful personal bankroll—often roughly $5k–$100k+—where missed entries and sloppy sizing hurt.</w:t>
            </w:r>
          </w:p>
        </w:tc>
      </w:tr>
      <w:tr>
        <w:trPr>
          <w:cantSplit/>
          <w:cantSplit/>
        </w:trPr>
        <w:tc>
          <w:tcPr>
            <w:tcW w:type="dxa" w:w="1800"/>
            <w:vAlign w:val="center"/>
            <w:tcMar>
              <w:top w:w="80" w:type="dxa"/>
              <w:start w:w="110" w:type="dxa"/>
              <w:bottom w:w="80" w:type="dxa"/>
              <w:end w:w="110" w:type="dxa"/>
            </w:tcMar>
          </w:tcPr>
          <w:p>
            <w:pPr>
              <w:keepLines/>
              <w:spacing w:after="0" w:line="240" w:lineRule="auto"/>
            </w:pPr>
            <w:r/>
            <w:r>
              <w:rPr>
                <w:rFonts w:ascii="Arial" w:hAnsi="Arial"/>
                <w:b w:val="0"/>
                <w:color w:val="222222"/>
                <w:sz w:val="17"/>
              </w:rPr>
              <w:t>Tool stack</w:t>
            </w:r>
          </w:p>
        </w:tc>
        <w:tc>
          <w:tcPr>
            <w:tcW w:type="dxa" w:w="7920"/>
            <w:vAlign w:val="center"/>
            <w:tcMar>
              <w:top w:w="80" w:type="dxa"/>
              <w:start w:w="110" w:type="dxa"/>
              <w:bottom w:w="80" w:type="dxa"/>
              <w:end w:w="110" w:type="dxa"/>
            </w:tcMar>
          </w:tcPr>
          <w:p>
            <w:pPr>
              <w:keepLines/>
              <w:spacing w:after="0" w:line="240" w:lineRule="auto"/>
            </w:pPr>
            <w:r/>
            <w:r>
              <w:rPr>
                <w:rFonts w:ascii="Arial" w:hAnsi="Arial"/>
                <w:b w:val="0"/>
                <w:color w:val="222222"/>
                <w:sz w:val="17"/>
              </w:rPr>
              <w:t>Polymarket, X, Discord/Telegram, spreadsheets, TradingView-style alerts, sometimes API scripts.</w:t>
            </w:r>
          </w:p>
        </w:tc>
      </w:tr>
      <w:tr>
        <w:trPr>
          <w:cantSplit/>
          <w:cantSplit/>
        </w:trPr>
        <w:tc>
          <w:tcPr>
            <w:tcW w:type="dxa" w:w="180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Pain</w:t>
            </w:r>
          </w:p>
        </w:tc>
        <w:tc>
          <w:tcPr>
            <w:tcW w:type="dxa" w:w="79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Cannot babysit markets; conditional logic is manual; cross-market context is hard; execution evidence is fragmented.</w:t>
            </w:r>
          </w:p>
        </w:tc>
      </w:tr>
      <w:tr>
        <w:trPr>
          <w:cantSplit/>
          <w:cantSplit/>
        </w:trPr>
        <w:tc>
          <w:tcPr>
            <w:tcW w:type="dxa" w:w="1800"/>
            <w:vAlign w:val="center"/>
            <w:tcMar>
              <w:top w:w="80" w:type="dxa"/>
              <w:start w:w="110" w:type="dxa"/>
              <w:bottom w:w="80" w:type="dxa"/>
              <w:end w:w="110" w:type="dxa"/>
            </w:tcMar>
          </w:tcPr>
          <w:p>
            <w:pPr>
              <w:keepLines/>
              <w:spacing w:after="0" w:line="240" w:lineRule="auto"/>
            </w:pPr>
            <w:r/>
            <w:r>
              <w:rPr>
                <w:rFonts w:ascii="Arial" w:hAnsi="Arial"/>
                <w:b w:val="0"/>
                <w:color w:val="222222"/>
                <w:sz w:val="17"/>
              </w:rPr>
              <w:t>Motivation</w:t>
            </w:r>
          </w:p>
        </w:tc>
        <w:tc>
          <w:tcPr>
            <w:tcW w:type="dxa" w:w="7920"/>
            <w:vAlign w:val="center"/>
            <w:tcMar>
              <w:top w:w="80" w:type="dxa"/>
              <w:start w:w="110" w:type="dxa"/>
              <w:bottom w:w="80" w:type="dxa"/>
              <w:end w:w="110" w:type="dxa"/>
            </w:tcMar>
          </w:tcPr>
          <w:p>
            <w:pPr>
              <w:keepLines/>
              <w:spacing w:after="0" w:line="240" w:lineRule="auto"/>
            </w:pPr>
            <w:r/>
            <w:r>
              <w:rPr>
                <w:rFonts w:ascii="Arial" w:hAnsi="Arial"/>
                <w:b w:val="0"/>
                <w:color w:val="222222"/>
                <w:sz w:val="17"/>
              </w:rPr>
              <w:t>Consistency and control, not magic prediction. Wants the system to watch and explain; prefers to decide.</w:t>
            </w:r>
          </w:p>
        </w:tc>
      </w:tr>
      <w:tr>
        <w:trPr>
          <w:cantSplit/>
          <w:cantSplit/>
        </w:trPr>
        <w:tc>
          <w:tcPr>
            <w:tcW w:type="dxa" w:w="180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Objections</w:t>
            </w:r>
          </w:p>
        </w:tc>
        <w:tc>
          <w:tcPr>
            <w:tcW w:type="dxa" w:w="792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“Will it size correctly? Is data stale? Can it move money? What settles this market? Why should I trust the backtest?”</w:t>
            </w:r>
          </w:p>
        </w:tc>
      </w:tr>
    </w:tbl>
    <w:p>
      <w:pPr>
        <w:spacing w:after="0"/>
      </w:pPr>
    </w:p>
    <w:p>
      <w:pPr>
        <w:pStyle w:val="Heading1"/>
      </w:pPr>
      <w:r>
        <w:t>Secondary, later</w:t>
      </w:r>
    </w:p>
    <w:p>
      <w:r>
        <w:t>High-conviction domain specialists who trade elections, sports, crypto, or macro events and want better alerts and simulation but are less technical. Serve them after the expert workflow and mobile experience are reliable.</w:t>
      </w:r>
    </w:p>
    <w:p>
      <w:pPr>
        <w:pStyle w:val="Heading1"/>
      </w:pPr>
      <w:r>
        <w:t>Anti-ICP for the first launch</w:t>
      </w:r>
    </w:p>
    <w:p>
      <w:pPr>
        <w:pStyle w:val="ListBullet"/>
        <w:spacing w:after="40"/>
        <w:ind w:left="317" w:hanging="230"/>
      </w:pPr>
      <w:r>
        <w:t>Casual bettors looking for picks or guaranteed profit.</w:t>
      </w:r>
    </w:p>
    <w:p>
      <w:pPr>
        <w:pStyle w:val="ListBullet"/>
        <w:spacing w:after="40"/>
        <w:ind w:left="317" w:hanging="230"/>
      </w:pPr>
      <w:r>
        <w:t>High-frequency market makers that need colocation-grade speed and custom infrastructure.</w:t>
      </w:r>
    </w:p>
    <w:p>
      <w:pPr>
        <w:pStyle w:val="ListBullet"/>
        <w:spacing w:after="40"/>
        <w:ind w:left="317" w:hanging="230"/>
      </w:pPr>
      <w:r>
        <w:t>Blocked or close-only jurisdictions where the advertised workflow is unavailable.</w:t>
      </w:r>
    </w:p>
    <w:p>
      <w:pPr>
        <w:pStyle w:val="ListBullet"/>
        <w:spacing w:after="40"/>
        <w:ind w:left="317" w:hanging="230"/>
      </w:pPr>
      <w:r>
        <w:t>Mobile-only traders until the builder is intentionally redesigned for small screens.</w:t>
      </w:r>
    </w:p>
    <w:p>
      <w:pPr>
        <w:pStyle w:val="ListBullet"/>
        <w:spacing w:after="40"/>
        <w:ind w:left="317" w:hanging="230"/>
      </w:pPr>
      <w:r>
        <w:t>Users seeking unattended autonomous execution; Arima should lead with shadow/watch/manual confirmation.</w:t>
      </w:r>
    </w:p>
    <w:p>
      <w:r>
        <w:br w:type="page"/>
      </w:r>
    </w:p>
    <w:p>
      <w:pPr>
        <w:pStyle w:val="Heading1"/>
      </w:pPr>
      <w:r>
        <w:t>16. The offer, through the Hormozi lens</w:t>
      </w:r>
    </w:p>
    <w:p>
      <w:r>
        <w:t>Suggested beta offer: a limited number of watched strategies plus neutral replay; paid later for more active strategies, advanced conditions, notification channels, history, and priority reliability.</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cantSplit/>
        </w:trPr>
        <w:tc>
          <w:tcPr>
            <w:tcW w:type="dxa" w:w="1944"/>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Value lever</w:t>
            </w:r>
          </w:p>
        </w:tc>
        <w:tc>
          <w:tcPr>
            <w:tcW w:type="dxa" w:w="7776"/>
            <w:shd w:fill="17365D"/>
            <w:vAlign w:val="center"/>
            <w:tcMar>
              <w:top w:w="80" w:type="dxa"/>
              <w:start w:w="110" w:type="dxa"/>
              <w:bottom w:w="80" w:type="dxa"/>
              <w:end w:w="110" w:type="dxa"/>
            </w:tcMar>
          </w:tcPr>
          <w:p>
            <w:pPr>
              <w:keepLines/>
              <w:spacing w:after="0" w:line="240" w:lineRule="auto"/>
            </w:pPr>
            <w:r/>
            <w:r>
              <w:rPr>
                <w:rFonts w:ascii="Arial" w:hAnsi="Arial"/>
                <w:b/>
                <w:color w:val="FFFFFF"/>
                <w:sz w:val="17"/>
              </w:rPr>
              <w:t>Arima answer</w:t>
            </w:r>
          </w:p>
        </w:tc>
      </w:tr>
      <w:tr>
        <w:trPr>
          <w:cantSplit/>
          <w:cantSplit/>
        </w:trPr>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7"/>
              </w:rPr>
              <w:t>Dream outcome</w:t>
            </w:r>
          </w:p>
        </w:tc>
        <w:tc>
          <w:tcPr>
            <w:tcW w:type="dxa" w:w="7776"/>
            <w:vAlign w:val="center"/>
            <w:tcMar>
              <w:top w:w="80" w:type="dxa"/>
              <w:start w:w="110" w:type="dxa"/>
              <w:bottom w:w="80" w:type="dxa"/>
              <w:end w:w="110" w:type="dxa"/>
            </w:tcMar>
          </w:tcPr>
          <w:p>
            <w:pPr>
              <w:keepLines/>
              <w:spacing w:after="0" w:line="240" w:lineRule="auto"/>
            </w:pPr>
            <w:r/>
            <w:r>
              <w:rPr>
                <w:rFonts w:ascii="Arial" w:hAnsi="Arial"/>
                <w:b w:val="0"/>
                <w:color w:val="222222"/>
                <w:sz w:val="17"/>
              </w:rPr>
              <w:t>Capture intended setups without constant monitoring; protect discipline; learn from execution history.</w:t>
            </w:r>
          </w:p>
        </w:tc>
      </w:tr>
      <w:tr>
        <w:trPr>
          <w:cantSplit/>
          <w:cantSplit/>
        </w:trPr>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Perceived likelihood</w:t>
            </w:r>
          </w:p>
        </w:tc>
        <w:tc>
          <w:tcPr>
            <w:tcW w:type="dxa" w:w="77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Live grounding, visible logic, explicit units, neutral replay evidence, manual signature, audit history.</w:t>
            </w:r>
          </w:p>
        </w:tc>
      </w:tr>
      <w:tr>
        <w:trPr>
          <w:cantSplit/>
          <w:cantSplit/>
        </w:trPr>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7"/>
              </w:rPr>
              <w:t>Time delay</w:t>
            </w:r>
          </w:p>
        </w:tc>
        <w:tc>
          <w:tcPr>
            <w:tcW w:type="dxa" w:w="7776"/>
            <w:vAlign w:val="center"/>
            <w:tcMar>
              <w:top w:w="80" w:type="dxa"/>
              <w:start w:w="110" w:type="dxa"/>
              <w:bottom w:w="80" w:type="dxa"/>
              <w:end w:w="110" w:type="dxa"/>
            </w:tcMar>
          </w:tcPr>
          <w:p>
            <w:pPr>
              <w:keepLines/>
              <w:spacing w:after="0" w:line="240" w:lineRule="auto"/>
            </w:pPr>
            <w:r/>
            <w:r>
              <w:rPr>
                <w:rFonts w:ascii="Arial" w:hAnsi="Arial"/>
                <w:b w:val="0"/>
                <w:color w:val="222222"/>
                <w:sz w:val="17"/>
              </w:rPr>
              <w:t>A useful simulated strategy in under 60 seconds; first alert as soon as the market creates relevance.</w:t>
            </w:r>
          </w:p>
        </w:tc>
      </w:tr>
      <w:tr>
        <w:trPr>
          <w:cantSplit/>
          <w:cantSplit/>
        </w:trPr>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Effort / sacrifice</w:t>
            </w:r>
          </w:p>
        </w:tc>
        <w:tc>
          <w:tcPr>
            <w:tcW w:type="dxa" w:w="77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7"/>
              </w:rPr>
              <w:t>Plain-language start, cloneable templates, no wallet to simulate, no code, and setup only when necessary.</w:t>
            </w:r>
          </w:p>
        </w:tc>
      </w:tr>
    </w:tbl>
    <w:p>
      <w:pPr>
        <w:spacing w:after="0"/>
      </w:pPr>
    </w:p>
    <w:p>
      <w:pPr>
        <w:keepNext/>
        <w:spacing w:after="80"/>
      </w:pPr>
      <w:r>
        <w:rPr>
          <w:rFonts w:ascii="Arial" w:hAnsi="Arial"/>
          <w:b/>
          <w:color w:val="2E74B5"/>
          <w:sz w:val="18"/>
        </w:rPr>
        <w:t>PART III — POSITIONING AND DISTRIBUTION</w:t>
      </w:r>
    </w:p>
    <w:p>
      <w:pPr>
        <w:pStyle w:val="Title"/>
      </w:pPr>
      <w:r>
        <w:t>17. Positioning that can travel</w:t>
      </w:r>
    </w:p>
    <w:p>
      <w:r>
        <w:rPr>
          <w:rFonts w:ascii="Arial" w:hAnsi="Arial"/>
          <w:b/>
        </w:rPr>
        <w:t>Trader positioning:</w:t>
      </w:r>
      <w:r>
        <w:t xml:space="preserve"> “Describe the setup once. Arima watches Polymarket, shows exactly why it triggered, and asks before money moves.”</w:t>
      </w:r>
    </w:p>
    <w:p>
      <w:r>
        <w:rPr>
          <w:rFonts w:ascii="Arial" w:hAnsi="Arial"/>
          <w:b/>
        </w:rPr>
        <w:t>Investor positioning:</w:t>
      </w:r>
      <w:r>
        <w:t xml:space="preserve"> “The programmable order layer for Polymarket.”</w:t>
      </w:r>
    </w:p>
    <w:p>
      <w:r>
        <w:rPr>
          <w:rFonts w:ascii="Arial" w:hAnsi="Arial"/>
          <w:b/>
        </w:rPr>
        <w:t>Category language:</w:t>
      </w:r>
      <w:r>
        <w:t xml:space="preserve"> “Smart order and strategy monitoring,” not “AI trading bot.”</w:t>
      </w:r>
    </w:p>
    <w:p>
      <w:pPr>
        <w:pStyle w:val="Heading1"/>
      </w:pPr>
      <w:r>
        <w:t>Message hierarchy</w:t>
      </w:r>
    </w:p>
    <w:p>
      <w:pPr>
        <w:spacing w:after="60"/>
        <w:ind w:left="360" w:hanging="288"/>
      </w:pPr>
      <w:r>
        <w:rPr>
          <w:b/>
        </w:rPr>
        <w:t xml:space="preserve">1.  </w:t>
      </w:r>
      <w:r>
        <w:t>Outcome: stop babysitting a setup.</w:t>
      </w:r>
    </w:p>
    <w:p>
      <w:pPr>
        <w:spacing w:after="60"/>
        <w:ind w:left="360" w:hanging="288"/>
      </w:pPr>
      <w:r>
        <w:rPr>
          <w:b/>
        </w:rPr>
        <w:t xml:space="preserve">2.  </w:t>
      </w:r>
      <w:r>
        <w:t>Mechanism: plain language becomes inspectable market conditions and actions.</w:t>
      </w:r>
    </w:p>
    <w:p>
      <w:pPr>
        <w:spacing w:after="60"/>
        <w:ind w:left="360" w:hanging="288"/>
      </w:pPr>
      <w:r>
        <w:rPr>
          <w:b/>
        </w:rPr>
        <w:t xml:space="preserve">3.  </w:t>
      </w:r>
      <w:r>
        <w:t>Proof: live grounding, simulation, representative replay, and trigger evidence.</w:t>
      </w:r>
    </w:p>
    <w:p>
      <w:pPr>
        <w:spacing w:after="60"/>
        <w:ind w:left="360" w:hanging="288"/>
      </w:pPr>
      <w:r>
        <w:rPr>
          <w:b/>
        </w:rPr>
        <w:t xml:space="preserve">4.  </w:t>
      </w:r>
      <w:r>
        <w:t>Risk reversal: free to simulate; no wallet required; manual signature by default.</w:t>
      </w:r>
    </w:p>
    <w:p>
      <w:pPr>
        <w:spacing w:after="60"/>
        <w:ind w:left="360" w:hanging="288"/>
      </w:pPr>
      <w:r>
        <w:rPr>
          <w:b/>
        </w:rPr>
        <w:t xml:space="preserve">5.  </w:t>
      </w:r>
      <w:r>
        <w:t>Identity: built for active Polymarket traders who already have a thesis.</w:t>
      </w:r>
    </w:p>
    <w:p>
      <w:pPr>
        <w:pStyle w:val="Heading1"/>
      </w:pPr>
      <w:r>
        <w:t>18. Acquisition channels, in order</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cantSplit/>
        </w:trPr>
        <w:tc>
          <w:tcPr>
            <w:tcW w:type="dxa" w:w="792"/>
            <w:shd w:fill="17365D"/>
            <w:vAlign w:val="center"/>
            <w:tcMar>
              <w:top w:w="80" w:type="dxa"/>
              <w:start w:w="110" w:type="dxa"/>
              <w:bottom w:w="80" w:type="dxa"/>
              <w:end w:w="110" w:type="dxa"/>
            </w:tcMar>
          </w:tcPr>
          <w:p>
            <w:pPr>
              <w:keepLines/>
              <w:spacing w:after="0" w:line="240" w:lineRule="auto"/>
            </w:pPr>
            <w:r/>
            <w:r>
              <w:rPr>
                <w:rFonts w:ascii="Arial" w:hAnsi="Arial"/>
                <w:b/>
                <w:color w:val="FFFFFF"/>
                <w:sz w:val="14"/>
              </w:rPr>
              <w:t>Priority</w:t>
            </w:r>
          </w:p>
        </w:tc>
        <w:tc>
          <w:tcPr>
            <w:tcW w:type="dxa" w:w="1728"/>
            <w:shd w:fill="17365D"/>
            <w:vAlign w:val="center"/>
            <w:tcMar>
              <w:top w:w="80" w:type="dxa"/>
              <w:start w:w="110" w:type="dxa"/>
              <w:bottom w:w="80" w:type="dxa"/>
              <w:end w:w="110" w:type="dxa"/>
            </w:tcMar>
          </w:tcPr>
          <w:p>
            <w:pPr>
              <w:keepLines/>
              <w:spacing w:after="0" w:line="240" w:lineRule="auto"/>
            </w:pPr>
            <w:r/>
            <w:r>
              <w:rPr>
                <w:rFonts w:ascii="Arial" w:hAnsi="Arial"/>
                <w:b/>
                <w:color w:val="FFFFFF"/>
                <w:sz w:val="14"/>
              </w:rPr>
              <w:t>Channel</w:t>
            </w:r>
          </w:p>
        </w:tc>
        <w:tc>
          <w:tcPr>
            <w:tcW w:type="dxa" w:w="3960"/>
            <w:shd w:fill="17365D"/>
            <w:vAlign w:val="center"/>
            <w:tcMar>
              <w:top w:w="80" w:type="dxa"/>
              <w:start w:w="110" w:type="dxa"/>
              <w:bottom w:w="80" w:type="dxa"/>
              <w:end w:w="110" w:type="dxa"/>
            </w:tcMar>
          </w:tcPr>
          <w:p>
            <w:pPr>
              <w:keepLines/>
              <w:spacing w:after="0" w:line="240" w:lineRule="auto"/>
            </w:pPr>
            <w:r/>
            <w:r>
              <w:rPr>
                <w:rFonts w:ascii="Arial" w:hAnsi="Arial"/>
                <w:b/>
                <w:color w:val="FFFFFF"/>
                <w:sz w:val="14"/>
              </w:rPr>
              <w:t>Tactic</w:t>
            </w:r>
          </w:p>
        </w:tc>
        <w:tc>
          <w:tcPr>
            <w:tcW w:type="dxa" w:w="3240"/>
            <w:shd w:fill="17365D"/>
            <w:vAlign w:val="center"/>
            <w:tcMar>
              <w:top w:w="80" w:type="dxa"/>
              <w:start w:w="110" w:type="dxa"/>
              <w:bottom w:w="80" w:type="dxa"/>
              <w:end w:w="110" w:type="dxa"/>
            </w:tcMar>
          </w:tcPr>
          <w:p>
            <w:pPr>
              <w:keepLines/>
              <w:spacing w:after="0" w:line="240" w:lineRule="auto"/>
            </w:pPr>
            <w:r/>
            <w:r>
              <w:rPr>
                <w:rFonts w:ascii="Arial" w:hAnsi="Arial"/>
                <w:b/>
                <w:color w:val="FFFFFF"/>
                <w:sz w:val="14"/>
              </w:rPr>
              <w:t>Why it fits</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4"/>
              </w:rPr>
              <w:t>1</w:t>
            </w:r>
          </w:p>
        </w:tc>
        <w:tc>
          <w:tcPr>
            <w:tcW w:type="dxa" w:w="1728"/>
            <w:vAlign w:val="center"/>
            <w:tcMar>
              <w:top w:w="80" w:type="dxa"/>
              <w:start w:w="110" w:type="dxa"/>
              <w:bottom w:w="80" w:type="dxa"/>
              <w:end w:w="110" w:type="dxa"/>
            </w:tcMar>
          </w:tcPr>
          <w:p>
            <w:pPr>
              <w:keepLines/>
              <w:spacing w:after="0" w:line="240" w:lineRule="auto"/>
            </w:pPr>
            <w:r/>
            <w:r>
              <w:rPr>
                <w:rFonts w:ascii="Arial" w:hAnsi="Arial"/>
                <w:b w:val="0"/>
                <w:color w:val="222222"/>
                <w:sz w:val="14"/>
              </w:rPr>
              <w:t>Founder-led X</w:t>
            </w:r>
          </w:p>
        </w:tc>
        <w:tc>
          <w:tcPr>
            <w:tcW w:type="dxa" w:w="3960"/>
            <w:vAlign w:val="center"/>
            <w:tcMar>
              <w:top w:w="80" w:type="dxa"/>
              <w:start w:w="110" w:type="dxa"/>
              <w:bottom w:w="80" w:type="dxa"/>
              <w:end w:w="110" w:type="dxa"/>
            </w:tcMar>
          </w:tcPr>
          <w:p>
            <w:pPr>
              <w:keepLines/>
              <w:spacing w:after="0" w:line="240" w:lineRule="auto"/>
            </w:pPr>
            <w:r/>
            <w:r>
              <w:rPr>
                <w:rFonts w:ascii="Arial" w:hAnsi="Arial"/>
                <w:b w:val="0"/>
                <w:color w:val="222222"/>
                <w:sz w:val="14"/>
              </w:rPr>
              <w:t>Daily rule teardown: setup, assumptions, neutral replay, and a “Run this in Arima” deep link.</w:t>
            </w:r>
          </w:p>
        </w:tc>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4"/>
              </w:rPr>
              <w:t>The target audience already consumes market narratives there; product proof is shareable.</w:t>
            </w:r>
          </w:p>
        </w:tc>
      </w:tr>
      <w:tr>
        <w:trPr>
          <w:cantSplit/>
          <w:cantSplit/>
        </w:trPr>
        <w:tc>
          <w:tcPr>
            <w:tcW w:type="dxa" w:w="7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2</w:t>
            </w:r>
          </w:p>
        </w:tc>
        <w:tc>
          <w:tcPr>
            <w:tcW w:type="dxa" w:w="172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20 design partners</w:t>
            </w:r>
          </w:p>
        </w:tc>
        <w:tc>
          <w:tcPr>
            <w:tcW w:type="dxa" w:w="396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Manually recruit active category traders; rebuild one repeated setup with them; weekly interviews.</w:t>
            </w:r>
          </w:p>
        </w:tc>
        <w:tc>
          <w:tcPr>
            <w:tcW w:type="dxa" w:w="32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Creates learning and credible outcomes before scale.</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4"/>
              </w:rPr>
              <w:t>3</w:t>
            </w:r>
          </w:p>
        </w:tc>
        <w:tc>
          <w:tcPr>
            <w:tcW w:type="dxa" w:w="1728"/>
            <w:vAlign w:val="center"/>
            <w:tcMar>
              <w:top w:w="80" w:type="dxa"/>
              <w:start w:w="110" w:type="dxa"/>
              <w:bottom w:w="80" w:type="dxa"/>
              <w:end w:w="110" w:type="dxa"/>
            </w:tcMar>
          </w:tcPr>
          <w:p>
            <w:pPr>
              <w:keepLines/>
              <w:spacing w:after="0" w:line="240" w:lineRule="auto"/>
            </w:pPr>
            <w:r/>
            <w:r>
              <w:rPr>
                <w:rFonts w:ascii="Arial" w:hAnsi="Arial"/>
                <w:b w:val="0"/>
                <w:color w:val="222222"/>
                <w:sz w:val="14"/>
              </w:rPr>
              <w:t>Polymarket ecosystem</w:t>
            </w:r>
          </w:p>
        </w:tc>
        <w:tc>
          <w:tcPr>
            <w:tcW w:type="dxa" w:w="3960"/>
            <w:vAlign w:val="center"/>
            <w:tcMar>
              <w:top w:w="80" w:type="dxa"/>
              <w:start w:w="110" w:type="dxa"/>
              <w:bottom w:w="80" w:type="dxa"/>
              <w:end w:w="110" w:type="dxa"/>
            </w:tcMar>
          </w:tcPr>
          <w:p>
            <w:pPr>
              <w:keepLines/>
              <w:spacing w:after="0" w:line="240" w:lineRule="auto"/>
            </w:pPr>
            <w:r/>
            <w:r>
              <w:rPr>
                <w:rFonts w:ascii="Arial" w:hAnsi="Arial"/>
                <w:b w:val="0"/>
                <w:color w:val="222222"/>
                <w:sz w:val="14"/>
              </w:rPr>
              <w:t>Builder attribution, leaderboard visibility, grants/support, Discord and community participation.</w:t>
            </w:r>
          </w:p>
        </w:tc>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4"/>
              </w:rPr>
              <w:t>Native distribution and economics can compound product usage.</w:t>
            </w:r>
          </w:p>
        </w:tc>
      </w:tr>
      <w:tr>
        <w:trPr>
          <w:cantSplit/>
          <w:cantSplit/>
        </w:trPr>
        <w:tc>
          <w:tcPr>
            <w:tcW w:type="dxa" w:w="792"/>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4</w:t>
            </w:r>
          </w:p>
        </w:tc>
        <w:tc>
          <w:tcPr>
            <w:tcW w:type="dxa" w:w="172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Trader creators / newsletters</w:t>
            </w:r>
          </w:p>
        </w:tc>
        <w:tc>
          <w:tcPr>
            <w:tcW w:type="dxa" w:w="396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Co-create category templates with disclosed incentives; pay for activated watched strategies, not clicks.</w:t>
            </w:r>
          </w:p>
        </w:tc>
        <w:tc>
          <w:tcPr>
            <w:tcW w:type="dxa" w:w="3240"/>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4"/>
              </w:rPr>
              <w:t>Borrowed trust and high-intent audiences.</w:t>
            </w:r>
          </w:p>
        </w:tc>
      </w:tr>
      <w:tr>
        <w:trPr>
          <w:cantSplit/>
          <w:cantSplit/>
        </w:trPr>
        <w:tc>
          <w:tcPr>
            <w:tcW w:type="dxa" w:w="792"/>
            <w:vAlign w:val="center"/>
            <w:tcMar>
              <w:top w:w="80" w:type="dxa"/>
              <w:start w:w="110" w:type="dxa"/>
              <w:bottom w:w="80" w:type="dxa"/>
              <w:end w:w="110" w:type="dxa"/>
            </w:tcMar>
          </w:tcPr>
          <w:p>
            <w:pPr>
              <w:keepLines/>
              <w:spacing w:after="0" w:line="240" w:lineRule="auto"/>
            </w:pPr>
            <w:r/>
            <w:r>
              <w:rPr>
                <w:rFonts w:ascii="Arial" w:hAnsi="Arial"/>
                <w:b w:val="0"/>
                <w:color w:val="222222"/>
                <w:sz w:val="14"/>
              </w:rPr>
              <w:t>5</w:t>
            </w:r>
          </w:p>
        </w:tc>
        <w:tc>
          <w:tcPr>
            <w:tcW w:type="dxa" w:w="1728"/>
            <w:vAlign w:val="center"/>
            <w:tcMar>
              <w:top w:w="80" w:type="dxa"/>
              <w:start w:w="110" w:type="dxa"/>
              <w:bottom w:w="80" w:type="dxa"/>
              <w:end w:w="110" w:type="dxa"/>
            </w:tcMar>
          </w:tcPr>
          <w:p>
            <w:pPr>
              <w:keepLines/>
              <w:spacing w:after="0" w:line="240" w:lineRule="auto"/>
            </w:pPr>
            <w:r/>
            <w:r>
              <w:rPr>
                <w:rFonts w:ascii="Arial" w:hAnsi="Arial"/>
                <w:b w:val="0"/>
                <w:color w:val="222222"/>
                <w:sz w:val="14"/>
              </w:rPr>
              <w:t>Search + remix loop</w:t>
            </w:r>
          </w:p>
        </w:tc>
        <w:tc>
          <w:tcPr>
            <w:tcW w:type="dxa" w:w="3960"/>
            <w:vAlign w:val="center"/>
            <w:tcMar>
              <w:top w:w="80" w:type="dxa"/>
              <w:start w:w="110" w:type="dxa"/>
              <w:bottom w:w="80" w:type="dxa"/>
              <w:end w:w="110" w:type="dxa"/>
            </w:tcMar>
          </w:tcPr>
          <w:p>
            <w:pPr>
              <w:keepLines/>
              <w:spacing w:after="0" w:line="240" w:lineRule="auto"/>
            </w:pPr>
            <w:r/>
            <w:r>
              <w:rPr>
                <w:rFonts w:ascii="Arial" w:hAnsi="Arial"/>
                <w:b w:val="0"/>
                <w:color w:val="222222"/>
                <w:sz w:val="14"/>
              </w:rPr>
              <w:t>Intent pages for Polymarket alerts and conditional orders; shareable strategies preserve intent through sign-in.</w:t>
            </w:r>
          </w:p>
        </w:tc>
        <w:tc>
          <w:tcPr>
            <w:tcW w:type="dxa" w:w="3240"/>
            <w:vAlign w:val="center"/>
            <w:tcMar>
              <w:top w:w="80" w:type="dxa"/>
              <w:start w:w="110" w:type="dxa"/>
              <w:bottom w:w="80" w:type="dxa"/>
              <w:end w:w="110" w:type="dxa"/>
            </w:tcMar>
          </w:tcPr>
          <w:p>
            <w:pPr>
              <w:keepLines/>
              <w:spacing w:after="0" w:line="240" w:lineRule="auto"/>
            </w:pPr>
            <w:r/>
            <w:r>
              <w:rPr>
                <w:rFonts w:ascii="Arial" w:hAnsi="Arial"/>
                <w:b w:val="0"/>
                <w:color w:val="222222"/>
                <w:sz w:val="14"/>
              </w:rPr>
              <w:t>Captures explicit demand and turns product output into acquisition.</w:t>
            </w:r>
          </w:p>
        </w:tc>
      </w:tr>
    </w:tbl>
    <w:p>
      <w:pPr>
        <w:spacing w:after="0"/>
      </w:pPr>
    </w:p>
    <w:p>
      <w:pPr>
        <w:pStyle w:val="Heading1"/>
      </w:pPr>
      <w:r>
        <w:t>Example founder outreach</w:t>
      </w:r>
    </w:p>
    <w:tbl>
      <w:tblPr>
        <w:tblW w:type="auto" w:w="0"/>
        <w:tblLayout w:type="fixed"/>
        <w:tblLook w:firstColumn="1" w:firstRow="1" w:lastColumn="0" w:lastRow="0" w:noHBand="0" w:noVBand="1" w:val="04A0"/>
      </w:tblPr>
      <w:tblGrid>
        <w:gridCol w:w="9720"/>
      </w:tblGrid>
      <w:tr>
        <w:trPr>
          <w:cantSplit/>
        </w:trPr>
        <w:tc>
          <w:tcPr>
            <w:tcW w:type="dxa" w:w="9878"/>
            <w:shd w:fill="E2F0D9"/>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Personalized, not spam</w:t>
            </w:r>
          </w:p>
          <w:p>
            <w:pPr>
              <w:keepLines/>
              <w:spacing w:after="0" w:line="252" w:lineRule="auto"/>
            </w:pPr>
            <w:r>
              <w:rPr>
                <w:rFonts w:ascii="Arial" w:hAnsi="Arial"/>
                <w:sz w:val="18"/>
              </w:rPr>
              <w:t>“I noticed you repeatedly enter [category] markets around [observable setup]. I rebuilt that pattern as a shadow rule in Arima—no execution, just live monitoring and a replay. Would you give me 20 minutes to tell me where it is wrong?”</w:t>
            </w:r>
          </w:p>
        </w:tc>
      </w:tr>
    </w:tbl>
    <w:p>
      <w:pPr>
        <w:spacing w:after="0"/>
      </w:pPr>
    </w:p>
    <w:p>
      <w:pPr>
        <w:pStyle w:val="Heading1"/>
      </w:pPr>
      <w:r>
        <w:t>Content that earns trust</w:t>
      </w:r>
    </w:p>
    <w:p>
      <w:pPr>
        <w:pStyle w:val="ListBullet"/>
        <w:spacing w:after="40"/>
        <w:ind w:left="317" w:hanging="230"/>
      </w:pPr>
      <w:r>
        <w:t>“Why this rule did not trigger” posts—proof that restraint is part of the product.</w:t>
      </w:r>
    </w:p>
    <w:p>
      <w:pPr>
        <w:pStyle w:val="ListBullet"/>
        <w:spacing w:after="40"/>
        <w:ind w:left="317" w:hanging="230"/>
      </w:pPr>
      <w:r>
        <w:t>Before/after sizing examples that show dollars, shares, and max loss explicitly.</w:t>
      </w:r>
    </w:p>
    <w:p>
      <w:pPr>
        <w:pStyle w:val="ListBullet"/>
        <w:spacing w:after="40"/>
        <w:ind w:left="317" w:hanging="230"/>
      </w:pPr>
      <w:r>
        <w:t>A public reliability log covering freshness, trigger latency, incidents, and fixes.</w:t>
      </w:r>
    </w:p>
    <w:p>
      <w:pPr>
        <w:pStyle w:val="ListBullet"/>
        <w:spacing w:after="40"/>
        <w:ind w:left="317" w:hanging="230"/>
      </w:pPr>
      <w:r>
        <w:t>Trader workflow stories and market-resolution explainers—not cherry-picked P&amp;L.</w:t>
      </w:r>
    </w:p>
    <w:p>
      <w:pPr>
        <w:keepNext/>
        <w:spacing w:after="80"/>
      </w:pPr>
      <w:r>
        <w:rPr>
          <w:rFonts w:ascii="Arial" w:hAnsi="Arial"/>
          <w:b/>
          <w:color w:val="2E74B5"/>
          <w:sz w:val="18"/>
        </w:rPr>
        <w:t>PART III — INVESTOR VIEW</w:t>
      </w:r>
    </w:p>
    <w:p>
      <w:pPr>
        <w:pStyle w:val="Title"/>
      </w:pPr>
      <w:r>
        <w:t>19. VC-style assessment: fundable wedge, unfundable sprawl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cantSplit/>
        </w:trPr>
        <w:tc>
          <w:tcPr>
            <w:tcW w:type="dxa" w:w="2088"/>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Question</w:t>
            </w:r>
          </w:p>
        </w:tc>
        <w:tc>
          <w:tcPr>
            <w:tcW w:type="dxa" w:w="3816"/>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Current answer</w:t>
            </w:r>
          </w:p>
        </w:tc>
        <w:tc>
          <w:tcPr>
            <w:tcW w:type="dxa" w:w="3816"/>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What must become true</w:t>
            </w:r>
          </w:p>
        </w:tc>
      </w:tr>
      <w:tr>
        <w:trPr>
          <w:cantSplit/>
          <w:cantSplit/>
        </w:trPr>
        <w:tc>
          <w:tcPr>
            <w:tcW w:type="dxa" w:w="2088"/>
            <w:vAlign w:val="center"/>
            <w:tcMar>
              <w:top w:w="80" w:type="dxa"/>
              <w:start w:w="110" w:type="dxa"/>
              <w:bottom w:w="80" w:type="dxa"/>
              <w:end w:w="110" w:type="dxa"/>
            </w:tcMar>
          </w:tcPr>
          <w:p>
            <w:pPr>
              <w:keepLines/>
              <w:spacing w:after="0" w:line="240" w:lineRule="auto"/>
            </w:pPr>
            <w:r/>
            <w:r>
              <w:rPr>
                <w:rFonts w:ascii="Arial" w:hAnsi="Arial"/>
                <w:b w:val="0"/>
                <w:color w:val="222222"/>
                <w:sz w:val="15"/>
              </w:rPr>
              <w:t>Is the problem real?</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Yes. Active traders monitor manually and cannot express many contingent setups cleanly.</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Show repeated weekly use and alerts users act on.</w:t>
            </w:r>
          </w:p>
        </w:tc>
      </w:tr>
      <w:tr>
        <w:trPr>
          <w:cantSplit/>
          <w:cantSplit/>
        </w:trPr>
        <w:tc>
          <w:tcPr>
            <w:tcW w:type="dxa" w:w="208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Is the demo compelling?</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Yes. Prompt → visual rule → simulation is memorable.</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Make semantic correctness and trust visible.</w:t>
            </w:r>
          </w:p>
        </w:tc>
      </w:tr>
      <w:tr>
        <w:trPr>
          <w:cantSplit/>
          <w:cantSplit/>
        </w:trPr>
        <w:tc>
          <w:tcPr>
            <w:tcW w:type="dxa" w:w="2088"/>
            <w:vAlign w:val="center"/>
            <w:tcMar>
              <w:top w:w="80" w:type="dxa"/>
              <w:start w:w="110" w:type="dxa"/>
              <w:bottom w:w="80" w:type="dxa"/>
              <w:end w:w="110" w:type="dxa"/>
            </w:tcMar>
          </w:tcPr>
          <w:p>
            <w:pPr>
              <w:keepLines/>
              <w:spacing w:after="0" w:line="240" w:lineRule="auto"/>
            </w:pPr>
            <w:r/>
            <w:r>
              <w:rPr>
                <w:rFonts w:ascii="Arial" w:hAnsi="Arial"/>
                <w:b w:val="0"/>
                <w:color w:val="222222"/>
                <w:sz w:val="15"/>
              </w:rPr>
              <w:t>Is it differentiated?</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Yes at workflow level; no if reduced to an AI prompt box.</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Own reliability, DSL/history, evidence, templates, and distribution.</w:t>
            </w:r>
          </w:p>
        </w:tc>
      </w:tr>
      <w:tr>
        <w:trPr>
          <w:cantSplit/>
          <w:cantSplit/>
        </w:trPr>
        <w:tc>
          <w:tcPr>
            <w:tcW w:type="dxa" w:w="208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Is the market ready?</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Polymarket has active builder, fee, referral, and leaderboard programs.</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Prove Arima can acquire active traders economically and lawfully.</w:t>
            </w:r>
          </w:p>
        </w:tc>
      </w:tr>
      <w:tr>
        <w:trPr>
          <w:cantSplit/>
          <w:cantSplit/>
        </w:trPr>
        <w:tc>
          <w:tcPr>
            <w:tcW w:type="dxa" w:w="2088"/>
            <w:vAlign w:val="center"/>
            <w:tcMar>
              <w:top w:w="80" w:type="dxa"/>
              <w:start w:w="110" w:type="dxa"/>
              <w:bottom w:w="80" w:type="dxa"/>
              <w:end w:w="110" w:type="dxa"/>
            </w:tcMar>
          </w:tcPr>
          <w:p>
            <w:pPr>
              <w:keepLines/>
              <w:spacing w:after="0" w:line="240" w:lineRule="auto"/>
            </w:pPr>
            <w:r/>
            <w:r>
              <w:rPr>
                <w:rFonts w:ascii="Arial" w:hAnsi="Arial"/>
                <w:b w:val="0"/>
                <w:color w:val="222222"/>
                <w:sz w:val="15"/>
              </w:rPr>
              <w:t>Is the product focused?</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No. The codebase and navigation span terminal, funds, notifications, execution, and portfolio breadth.</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Pick the one repeated job; defer surfaces that do not improve its retention loop.</w:t>
            </w:r>
          </w:p>
        </w:tc>
      </w:tr>
      <w:tr>
        <w:trPr>
          <w:cantSplit/>
          <w:cantSplit/>
        </w:trPr>
        <w:tc>
          <w:tcPr>
            <w:tcW w:type="dxa" w:w="2088"/>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Is it safe enough?</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The architecture is serious, but public semantics and release-state truth are not yet safe enough.</w:t>
            </w:r>
          </w:p>
        </w:tc>
        <w:tc>
          <w:tcPr>
            <w:tcW w:type="dxa" w:w="381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Close P0 findings and complete a controlled end-to-end staging gate.</w:t>
            </w:r>
          </w:p>
        </w:tc>
      </w:tr>
      <w:tr>
        <w:trPr>
          <w:cantSplit/>
          <w:cantSplit/>
        </w:trPr>
        <w:tc>
          <w:tcPr>
            <w:tcW w:type="dxa" w:w="2088"/>
            <w:vAlign w:val="center"/>
            <w:tcMar>
              <w:top w:w="80" w:type="dxa"/>
              <w:start w:w="110" w:type="dxa"/>
              <w:bottom w:w="80" w:type="dxa"/>
              <w:end w:w="110" w:type="dxa"/>
            </w:tcMar>
          </w:tcPr>
          <w:p>
            <w:pPr>
              <w:keepLines/>
              <w:spacing w:after="0" w:line="240" w:lineRule="auto"/>
            </w:pPr>
            <w:r/>
            <w:r>
              <w:rPr>
                <w:rFonts w:ascii="Arial" w:hAnsi="Arial"/>
                <w:b w:val="0"/>
                <w:color w:val="222222"/>
                <w:sz w:val="15"/>
              </w:rPr>
              <w:t>Is there traction proof?</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Not visible in the public product or reviewed materials.</w:t>
            </w:r>
          </w:p>
        </w:tc>
        <w:tc>
          <w:tcPr>
            <w:tcW w:type="dxa" w:w="3816"/>
            <w:vAlign w:val="center"/>
            <w:tcMar>
              <w:top w:w="80" w:type="dxa"/>
              <w:start w:w="110" w:type="dxa"/>
              <w:bottom w:w="80" w:type="dxa"/>
              <w:end w:w="110" w:type="dxa"/>
            </w:tcMar>
          </w:tcPr>
          <w:p>
            <w:pPr>
              <w:keepLines/>
              <w:spacing w:after="0" w:line="240" w:lineRule="auto"/>
            </w:pPr>
            <w:r/>
            <w:r>
              <w:rPr>
                <w:rFonts w:ascii="Arial" w:hAnsi="Arial"/>
                <w:b w:val="0"/>
                <w:color w:val="222222"/>
                <w:sz w:val="15"/>
              </w:rPr>
              <w:t>Report activation, first-alert time, W1 active strategies, D28 retention, and safety errors.</w:t>
            </w:r>
          </w:p>
        </w:tc>
      </w:tr>
    </w:tbl>
    <w:p>
      <w:pPr>
        <w:spacing w:after="0"/>
      </w:pPr>
    </w:p>
    <w:p>
      <w:pPr>
        <w:pStyle w:val="Heading1"/>
      </w:pPr>
      <w:r>
        <w:t>What an investor will like</w:t>
      </w:r>
    </w:p>
    <w:p>
      <w:pPr>
        <w:pStyle w:val="ListBullet"/>
        <w:spacing w:after="40"/>
        <w:ind w:left="317" w:hanging="230"/>
      </w:pPr>
      <w:r>
        <w:t>A clear, demoable wedge with real trader utility and a natural expansion path.</w:t>
      </w:r>
    </w:p>
    <w:p>
      <w:pPr>
        <w:pStyle w:val="ListBullet"/>
        <w:spacing w:after="40"/>
        <w:ind w:left="317" w:hanging="230"/>
      </w:pPr>
      <w:r>
        <w:t>A non-custodial, inspectable approach aligned with trust-sensitive financial workflows.</w:t>
      </w:r>
    </w:p>
    <w:p>
      <w:pPr>
        <w:pStyle w:val="ListBullet"/>
        <w:spacing w:after="40"/>
        <w:ind w:left="317" w:hanging="230"/>
      </w:pPr>
      <w:r>
        <w:t>Strong engineering governance and automated coverage far above typical MVP quality.</w:t>
      </w:r>
    </w:p>
    <w:p>
      <w:pPr>
        <w:pStyle w:val="ListBullet"/>
        <w:spacing w:after="40"/>
        <w:ind w:left="317" w:hanging="230"/>
      </w:pPr>
      <w:r>
        <w:t>Potential ecosystem distribution and revenue through builder attribution, fees, referrals, and premium monitoring.</w:t>
      </w:r>
    </w:p>
    <w:p>
      <w:pPr>
        <w:pStyle w:val="Heading1"/>
      </w:pPr>
      <w:r>
        <w:t>What will stop the cheque</w:t>
      </w:r>
    </w:p>
    <w:p>
      <w:pPr>
        <w:pStyle w:val="ListBullet"/>
        <w:spacing w:after="40"/>
        <w:ind w:left="317" w:hanging="230"/>
      </w:pPr>
      <w:r>
        <w:t>No evidence that a narrow cohort uses watched strategies repeatedly.</w:t>
      </w:r>
    </w:p>
    <w:p>
      <w:pPr>
        <w:pStyle w:val="ListBullet"/>
        <w:spacing w:after="40"/>
        <w:ind w:left="317" w:hanging="230"/>
      </w:pPr>
      <w:r>
        <w:t>Overbuilt scope relative to validation; maintenance burden can outrun learning speed.</w:t>
      </w:r>
    </w:p>
    <w:p>
      <w:pPr>
        <w:pStyle w:val="ListBullet"/>
        <w:spacing w:after="40"/>
        <w:ind w:left="317" w:hanging="230"/>
      </w:pPr>
      <w:r>
        <w:t>Trust defects in units, status, evidence language, and mobile experience.</w:t>
      </w:r>
    </w:p>
    <w:p>
      <w:pPr>
        <w:pStyle w:val="ListBullet"/>
        <w:spacing w:after="40"/>
        <w:ind w:left="317" w:hanging="230"/>
      </w:pPr>
      <w:r>
        <w:t>No visible pricing hypothesis, customer proof, or defensibility beyond the interface.</w:t>
      </w:r>
    </w:p>
    <w:p>
      <w:pPr>
        <w:pStyle w:val="ListBullet"/>
        <w:spacing w:after="40"/>
        <w:ind w:left="317" w:hanging="230"/>
      </w:pPr>
      <w:r>
        <w:t>Compliance availability and live-trading controls are not communicated as one coherent system.</w:t>
      </w:r>
    </w:p>
    <w:tbl>
      <w:tblPr>
        <w:tblW w:type="auto" w:w="0"/>
        <w:tblLayout w:type="fixed"/>
        <w:tblLook w:firstColumn="1" w:firstRow="1" w:lastColumn="0" w:lastRow="0" w:noHBand="0" w:noVBand="1" w:val="04A0"/>
      </w:tblPr>
      <w:tblGrid>
        <w:gridCol w:w="9720"/>
      </w:tblGrid>
      <w:tr>
        <w:trPr>
          <w:cantSplit/>
        </w:trPr>
        <w:tc>
          <w:tcPr>
            <w:tcW w:type="dxa" w:w="9878"/>
            <w:shd w:fill="FCE4D6"/>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The hard truth</w:t>
            </w:r>
          </w:p>
          <w:p>
            <w:pPr>
              <w:keepLines/>
              <w:spacing w:after="0" w:line="252" w:lineRule="auto"/>
            </w:pPr>
            <w:r>
              <w:rPr>
                <w:rFonts w:ascii="Arial" w:hAnsi="Arial"/>
                <w:sz w:val="18"/>
              </w:rPr>
              <w:t>Arima has built a small exchange terminal before proving the killer workflow. The next milestone is not more capability; it is 20 traders who would be annoyed if their watched strategies disappeared.</w:t>
            </w:r>
          </w:p>
        </w:tc>
      </w:tr>
    </w:tbl>
    <w:p>
      <w:pPr>
        <w:spacing w:after="0"/>
      </w:pPr>
    </w:p>
    <w:p>
      <w:pPr>
        <w:keepNext/>
        <w:spacing w:after="80"/>
      </w:pPr>
      <w:r>
        <w:rPr>
          <w:rFonts w:ascii="Arial" w:hAnsi="Arial"/>
          <w:b/>
          <w:color w:val="2E74B5"/>
          <w:sz w:val="18"/>
        </w:rPr>
        <w:t>ACTION PLAN</w:t>
      </w:r>
    </w:p>
    <w:p>
      <w:pPr>
        <w:pStyle w:val="Title"/>
      </w:pPr>
      <w:r>
        <w:t>20. Recommended 90-day sequence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cantSplit/>
        </w:trPr>
        <w:tc>
          <w:tcPr>
            <w:tcW w:type="dxa" w:w="1296"/>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Window</w:t>
            </w:r>
          </w:p>
        </w:tc>
        <w:tc>
          <w:tcPr>
            <w:tcW w:type="dxa" w:w="1944"/>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Goal</w:t>
            </w:r>
          </w:p>
        </w:tc>
        <w:tc>
          <w:tcPr>
            <w:tcW w:type="dxa" w:w="4464"/>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Work</w:t>
            </w:r>
          </w:p>
        </w:tc>
        <w:tc>
          <w:tcPr>
            <w:tcW w:type="dxa" w:w="2376"/>
            <w:shd w:fill="17365D"/>
            <w:vAlign w:val="center"/>
            <w:tcMar>
              <w:top w:w="80" w:type="dxa"/>
              <w:start w:w="110" w:type="dxa"/>
              <w:bottom w:w="80" w:type="dxa"/>
              <w:end w:w="110" w:type="dxa"/>
            </w:tcMar>
          </w:tcPr>
          <w:p>
            <w:pPr>
              <w:keepLines/>
              <w:spacing w:after="0" w:line="240" w:lineRule="auto"/>
            </w:pPr>
            <w:r/>
            <w:r>
              <w:rPr>
                <w:rFonts w:ascii="Arial" w:hAnsi="Arial"/>
                <w:b/>
                <w:color w:val="FFFFFF"/>
                <w:sz w:val="15"/>
              </w:rPr>
              <w:t>Exit condition</w:t>
            </w:r>
          </w:p>
        </w:tc>
      </w:tr>
      <w:tr>
        <w:trPr>
          <w:cantSplit/>
          <w:cantSplit/>
        </w:trPr>
        <w:tc>
          <w:tcPr>
            <w:tcW w:type="dxa" w:w="1296"/>
            <w:vAlign w:val="center"/>
            <w:tcMar>
              <w:top w:w="80" w:type="dxa"/>
              <w:start w:w="110" w:type="dxa"/>
              <w:bottom w:w="80" w:type="dxa"/>
              <w:end w:w="110" w:type="dxa"/>
            </w:tcMar>
          </w:tcPr>
          <w:p>
            <w:pPr>
              <w:keepLines/>
              <w:spacing w:after="0" w:line="240" w:lineRule="auto"/>
            </w:pPr>
            <w:r/>
            <w:r>
              <w:rPr>
                <w:rFonts w:ascii="Arial" w:hAnsi="Arial"/>
                <w:b w:val="0"/>
                <w:color w:val="222222"/>
                <w:sz w:val="15"/>
              </w:rPr>
              <w:t>Weeks 1–2</w:t>
            </w:r>
          </w:p>
        </w:tc>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5"/>
              </w:rPr>
              <w:t>Restore truth and safety</w:t>
            </w:r>
          </w:p>
        </w:tc>
        <w:tc>
          <w:tcPr>
            <w:tcW w:type="dxa" w:w="4464"/>
            <w:vAlign w:val="center"/>
            <w:tcMar>
              <w:top w:w="80" w:type="dxa"/>
              <w:start w:w="110" w:type="dxa"/>
              <w:bottom w:w="80" w:type="dxa"/>
              <w:end w:w="110" w:type="dxa"/>
            </w:tcMar>
          </w:tcPr>
          <w:p>
            <w:pPr>
              <w:keepLines/>
              <w:spacing w:after="0" w:line="240" w:lineRule="auto"/>
            </w:pPr>
            <w:r/>
            <w:r>
              <w:rPr>
                <w:rFonts w:ascii="Arial" w:hAnsi="Arial"/>
                <w:b w:val="0"/>
                <w:color w:val="222222"/>
                <w:sz w:val="15"/>
              </w:rPr>
              <w:t>Units/ambiguity, trading availability, geoblock copy, hydration consistency, mobile decision, full-cycle staging checklist.</w:t>
            </w:r>
          </w:p>
        </w:tc>
        <w:tc>
          <w:tcPr>
            <w:tcW w:type="dxa" w:w="2376"/>
            <w:vAlign w:val="center"/>
            <w:tcMar>
              <w:top w:w="80" w:type="dxa"/>
              <w:start w:w="110" w:type="dxa"/>
              <w:bottom w:w="80" w:type="dxa"/>
              <w:end w:w="110" w:type="dxa"/>
            </w:tcMar>
          </w:tcPr>
          <w:p>
            <w:pPr>
              <w:keepLines/>
              <w:spacing w:after="0" w:line="240" w:lineRule="auto"/>
            </w:pPr>
            <w:r/>
            <w:r>
              <w:rPr>
                <w:rFonts w:ascii="Arial" w:hAnsi="Arial"/>
                <w:b w:val="0"/>
                <w:color w:val="222222"/>
                <w:sz w:val="15"/>
              </w:rPr>
              <w:t>P0 defects closed; owner gate recorded; no contradictory money-movement state.</w:t>
            </w:r>
          </w:p>
        </w:tc>
      </w:tr>
      <w:tr>
        <w:trPr>
          <w:cantSplit/>
          <w:cantSplit/>
        </w:trPr>
        <w:tc>
          <w:tcPr>
            <w:tcW w:type="dxa" w:w="129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Weeks 3–4</w:t>
            </w:r>
          </w:p>
        </w:tc>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Compress activation</w:t>
            </w:r>
          </w:p>
        </w:tc>
        <w:tc>
          <w:tcPr>
            <w:tcW w:type="dxa" w:w="44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Single hero, one interactive example, Compose→Review→Watch flow, neutral evidence, contextual auth/wallet.</w:t>
            </w:r>
          </w:p>
        </w:tc>
        <w:tc>
          <w:tcPr>
            <w:tcW w:type="dxa" w:w="23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Median first simulation &lt;60 sec; draft→save measured.</w:t>
            </w:r>
          </w:p>
        </w:tc>
      </w:tr>
      <w:tr>
        <w:trPr>
          <w:cantSplit/>
          <w:cantSplit/>
        </w:trPr>
        <w:tc>
          <w:tcPr>
            <w:tcW w:type="dxa" w:w="1296"/>
            <w:vAlign w:val="center"/>
            <w:tcMar>
              <w:top w:w="80" w:type="dxa"/>
              <w:start w:w="110" w:type="dxa"/>
              <w:bottom w:w="80" w:type="dxa"/>
              <w:end w:w="110" w:type="dxa"/>
            </w:tcMar>
          </w:tcPr>
          <w:p>
            <w:pPr>
              <w:keepLines/>
              <w:spacing w:after="0" w:line="240" w:lineRule="auto"/>
            </w:pPr>
            <w:r/>
            <w:r>
              <w:rPr>
                <w:rFonts w:ascii="Arial" w:hAnsi="Arial"/>
                <w:b w:val="0"/>
                <w:color w:val="222222"/>
                <w:sz w:val="15"/>
              </w:rPr>
              <w:t>Weeks 5–8</w:t>
            </w:r>
          </w:p>
        </w:tc>
        <w:tc>
          <w:tcPr>
            <w:tcW w:type="dxa" w:w="1944"/>
            <w:vAlign w:val="center"/>
            <w:tcMar>
              <w:top w:w="80" w:type="dxa"/>
              <w:start w:w="110" w:type="dxa"/>
              <w:bottom w:w="80" w:type="dxa"/>
              <w:end w:w="110" w:type="dxa"/>
            </w:tcMar>
          </w:tcPr>
          <w:p>
            <w:pPr>
              <w:keepLines/>
              <w:spacing w:after="0" w:line="240" w:lineRule="auto"/>
            </w:pPr>
            <w:r/>
            <w:r>
              <w:rPr>
                <w:rFonts w:ascii="Arial" w:hAnsi="Arial"/>
                <w:b w:val="0"/>
                <w:color w:val="222222"/>
                <w:sz w:val="15"/>
              </w:rPr>
              <w:t>Validate retention</w:t>
            </w:r>
          </w:p>
        </w:tc>
        <w:tc>
          <w:tcPr>
            <w:tcW w:type="dxa" w:w="4464"/>
            <w:vAlign w:val="center"/>
            <w:tcMar>
              <w:top w:w="80" w:type="dxa"/>
              <w:start w:w="110" w:type="dxa"/>
              <w:bottom w:w="80" w:type="dxa"/>
              <w:end w:w="110" w:type="dxa"/>
            </w:tcMar>
          </w:tcPr>
          <w:p>
            <w:pPr>
              <w:keepLines/>
              <w:spacing w:after="0" w:line="240" w:lineRule="auto"/>
            </w:pPr>
            <w:r/>
            <w:r>
              <w:rPr>
                <w:rFonts w:ascii="Arial" w:hAnsi="Arial"/>
                <w:b w:val="0"/>
                <w:color w:val="222222"/>
                <w:sz w:val="15"/>
              </w:rPr>
              <w:t>Recruit 20 design partners; concierge template setup; weekly interviews; instrument first-alert loop.</w:t>
            </w:r>
          </w:p>
        </w:tc>
        <w:tc>
          <w:tcPr>
            <w:tcW w:type="dxa" w:w="2376"/>
            <w:vAlign w:val="center"/>
            <w:tcMar>
              <w:top w:w="80" w:type="dxa"/>
              <w:start w:w="110" w:type="dxa"/>
              <w:bottom w:w="80" w:type="dxa"/>
              <w:end w:w="110" w:type="dxa"/>
            </w:tcMar>
          </w:tcPr>
          <w:p>
            <w:pPr>
              <w:keepLines/>
              <w:spacing w:after="0" w:line="240" w:lineRule="auto"/>
            </w:pPr>
            <w:r/>
            <w:r>
              <w:rPr>
                <w:rFonts w:ascii="Arial" w:hAnsi="Arial"/>
                <w:b w:val="0"/>
                <w:color w:val="222222"/>
                <w:sz w:val="15"/>
              </w:rPr>
              <w:t>At least 10 users maintain a watched strategy weekly; qualitative repeat-job evidence.</w:t>
            </w:r>
          </w:p>
        </w:tc>
      </w:tr>
      <w:tr>
        <w:trPr>
          <w:cantSplit/>
          <w:cantSplit/>
        </w:trPr>
        <w:tc>
          <w:tcPr>
            <w:tcW w:type="dxa" w:w="129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Weeks 9–12</w:t>
            </w:r>
          </w:p>
        </w:tc>
        <w:tc>
          <w:tcPr>
            <w:tcW w:type="dxa" w:w="194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Build distribution</w:t>
            </w:r>
          </w:p>
        </w:tc>
        <w:tc>
          <w:tcPr>
            <w:tcW w:type="dxa" w:w="4464"/>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Shareable deep links, X teardown format, creator pilots, ecosystem listing, search pages.</w:t>
            </w:r>
          </w:p>
        </w:tc>
        <w:tc>
          <w:tcPr>
            <w:tcW w:type="dxa" w:w="2376"/>
            <w:shd w:fill="F2F2F2"/>
            <w:vAlign w:val="center"/>
            <w:tcMar>
              <w:top w:w="80" w:type="dxa"/>
              <w:start w:w="110" w:type="dxa"/>
              <w:bottom w:w="80" w:type="dxa"/>
              <w:end w:w="110" w:type="dxa"/>
            </w:tcMar>
          </w:tcPr>
          <w:p>
            <w:pPr>
              <w:keepLines/>
              <w:spacing w:after="0" w:line="240" w:lineRule="auto"/>
            </w:pPr>
            <w:r/>
            <w:r>
              <w:rPr>
                <w:rFonts w:ascii="Arial" w:hAnsi="Arial"/>
                <w:b w:val="0"/>
                <w:color w:val="222222"/>
                <w:sz w:val="15"/>
              </w:rPr>
              <w:t>A repeatable source produces activated watched strategies at acceptable cost.</w:t>
            </w:r>
          </w:p>
        </w:tc>
      </w:tr>
    </w:tbl>
    <w:p>
      <w:pPr>
        <w:spacing w:after="0"/>
      </w:pPr>
    </w:p>
    <w:p>
      <w:pPr>
        <w:pStyle w:val="Heading1"/>
      </w:pPr>
      <w:r>
        <w:t>Decision gates for the owner</w:t>
      </w:r>
    </w:p>
    <w:p>
      <w:pPr>
        <w:spacing w:after="60"/>
        <w:ind w:left="360" w:hanging="288"/>
      </w:pPr>
      <w:r>
        <w:rPr>
          <w:b/>
        </w:rPr>
        <w:t xml:space="preserve">1.  </w:t>
      </w:r>
      <w:r>
        <w:t>Approve the wedge: Arima is the programmable order layer, with terminal features in service of strategies.</w:t>
      </w:r>
    </w:p>
    <w:p>
      <w:pPr>
        <w:spacing w:after="60"/>
        <w:ind w:left="360" w:hanging="288"/>
      </w:pPr>
      <w:r>
        <w:rPr>
          <w:b/>
        </w:rPr>
        <w:t xml:space="preserve">2.  </w:t>
      </w:r>
      <w:r>
        <w:t>Approve the default safety posture: shadow/watch/manual confirmation until a later explicit gate.</w:t>
      </w:r>
    </w:p>
    <w:p>
      <w:pPr>
        <w:spacing w:after="60"/>
        <w:ind w:left="360" w:hanging="288"/>
      </w:pPr>
      <w:r>
        <w:rPr>
          <w:b/>
        </w:rPr>
        <w:t xml:space="preserve">3.  </w:t>
      </w:r>
      <w:r>
        <w:t>Choose mobile posture: support the core builder now, or clearly constrain beta to desktop while designing a dedicated mobile flow.</w:t>
      </w:r>
    </w:p>
    <w:p>
      <w:pPr>
        <w:spacing w:after="60"/>
        <w:ind w:left="360" w:hanging="288"/>
      </w:pPr>
      <w:r>
        <w:rPr>
          <w:b/>
        </w:rPr>
        <w:t xml:space="preserve">4.  </w:t>
      </w:r>
      <w:r>
        <w:t>Approve the evidence standard: representative replays, visible assumptions, no profit-forward “proven” claim.</w:t>
      </w:r>
    </w:p>
    <w:p>
      <w:pPr>
        <w:spacing w:after="60"/>
        <w:ind w:left="360" w:hanging="288"/>
      </w:pPr>
      <w:r>
        <w:rPr>
          <w:b/>
        </w:rPr>
        <w:t xml:space="preserve">5.  </w:t>
      </w:r>
      <w:r>
        <w:t>Approve the beta ICP and success metric: active semi-pro operators; saved/watched strategy plus first useful alert.</w:t>
      </w:r>
    </w:p>
    <w:p>
      <w:pPr>
        <w:pStyle w:val="Heading1"/>
      </w:pPr>
      <w:r>
        <w:t>Release checklist before broader beta</w:t>
      </w:r>
    </w:p>
    <w:p>
      <w:pPr>
        <w:pStyle w:val="ListBullet"/>
        <w:spacing w:after="40"/>
        <w:ind w:left="317" w:hanging="230"/>
      </w:pPr>
      <w:r>
        <w:t>Unit and capital-intent tests pass across AI, form, simulation, and confirmation.</w:t>
      </w:r>
    </w:p>
    <w:p>
      <w:pPr>
        <w:pStyle w:val="ListBullet"/>
        <w:spacing w:after="40"/>
        <w:ind w:left="317" w:hanging="230"/>
      </w:pPr>
      <w:r>
        <w:t>Live/off/geoblock/signature state has one source of truth and a fail-closed UI.</w:t>
      </w:r>
    </w:p>
    <w:p>
      <w:pPr>
        <w:pStyle w:val="ListBullet"/>
        <w:spacing w:after="40"/>
        <w:ind w:left="317" w:hanging="230"/>
      </w:pPr>
      <w:r>
        <w:t>Representative replay methodology is documented and visible.</w:t>
      </w:r>
    </w:p>
    <w:p>
      <w:pPr>
        <w:pStyle w:val="ListBullet"/>
        <w:spacing w:after="40"/>
        <w:ind w:left="317" w:hanging="230"/>
      </w:pPr>
      <w:r>
        <w:t>Desktop and chosen mobile support level are tested with no obscured controls.</w:t>
      </w:r>
    </w:p>
    <w:p>
      <w:pPr>
        <w:pStyle w:val="ListBullet"/>
        <w:spacing w:after="40"/>
        <w:ind w:left="317" w:hanging="230"/>
      </w:pPr>
      <w:r>
        <w:t>Create/sign/route/fill/partial/cancel/failure/recovery audit path is exercised at low value.</w:t>
      </w:r>
    </w:p>
    <w:p>
      <w:pPr>
        <w:pStyle w:val="ListBullet"/>
        <w:spacing w:after="40"/>
        <w:ind w:left="317" w:hanging="230"/>
      </w:pPr>
      <w:r>
        <w:t>Monitoring, rollback, incident ownership, and user-facing status copy are ready.</w:t>
      </w:r>
    </w:p>
    <w:p>
      <w:pPr>
        <w:pStyle w:val="ListBullet"/>
        <w:spacing w:after="40"/>
        <w:ind w:left="317" w:hanging="230"/>
      </w:pPr>
      <w:r>
        <w:t>Activation, retention, and safety events are instrumented before acquisition spend.</w:t>
      </w:r>
    </w:p>
    <w:p>
      <w:r>
        <w:br w:type="page"/>
      </w:r>
    </w:p>
    <w:p>
      <w:pPr>
        <w:keepNext/>
        <w:spacing w:after="80"/>
      </w:pPr>
      <w:r>
        <w:rPr>
          <w:rFonts w:ascii="Arial" w:hAnsi="Arial"/>
          <w:b/>
          <w:color w:val="2E74B5"/>
          <w:sz w:val="18"/>
        </w:rPr>
        <w:t>EVIDENCE AND METHOD</w:t>
      </w:r>
    </w:p>
    <w:p>
      <w:pPr>
        <w:pStyle w:val="Title"/>
      </w:pPr>
      <w:r>
        <w:t>Audit scope and limitations</w:t>
      </w:r>
    </w:p>
    <w:p>
      <w:r>
        <w:t>The assessment combined live public-product walkthroughs on desktop and a 390 × 844 mobile viewport; inspection of homepage, markets, market detail, builder, Smart Orders, Portfolio, Wallet, onboarding, simulation, and AI refinement; browser console observation; repository architecture and governance review; and read-only test/type-check execution.</w:t>
      </w:r>
    </w:p>
    <w:p>
      <w:r>
        <w:t>Not tested: authenticated portfolio behavior, real wallet signing, funding, withdrawal, live CLOB submission, Telegram/Discord delivery, real trigger timing, or production incident recovery. Those areas remain unverified and should not inherit a positive conclusion from the public-flow audit.</w:t>
      </w:r>
    </w:p>
    <w:p>
      <w:r>
        <w:t>Observed location: Ireland. This matters because the product displayed a blocked status while also displaying live routing language; official Polymarket documentation currently lists Ireland as close-only on the frontend and notes that builders should check geoblock before order submission.</w:t>
      </w:r>
    </w:p>
    <w:p>
      <w:pPr>
        <w:pStyle w:val="Heading1"/>
      </w:pPr>
      <w:r>
        <w:t>Repository evidence</w:t>
      </w:r>
    </w:p>
    <w:p>
      <w:pPr>
        <w:pStyle w:val="ListBullet"/>
        <w:spacing w:after="40"/>
        <w:ind w:left="317" w:hanging="230"/>
      </w:pPr>
      <w:r>
        <w:t>Automated tests: 738 passed in the root suite, 281 passed in the web suite, 3 skipped; type checks passed.</w:t>
      </w:r>
    </w:p>
    <w:p>
      <w:pPr>
        <w:pStyle w:val="ListBullet"/>
        <w:spacing w:after="40"/>
        <w:ind w:left="317" w:hanging="230"/>
      </w:pPr>
      <w:r>
        <w:t>The combined formatting check was red because two funds-holdings files did not match Prettier. Existing user-owned source modifications were not changed.</w:t>
      </w:r>
    </w:p>
    <w:p>
      <w:pPr>
        <w:pStyle w:val="ListBullet"/>
        <w:spacing w:after="40"/>
        <w:ind w:left="317" w:hanging="230"/>
      </w:pPr>
      <w:r>
        <w:t>Governance artifacts show owner acceptance / low-value staging gates still matter; this conflicts with a public UI that can render “live trading ON.”</w:t>
      </w:r>
    </w:p>
    <w:p>
      <w:pPr>
        <w:pStyle w:val="ListBullet"/>
        <w:spacing w:after="40"/>
        <w:ind w:left="317" w:hanging="230"/>
      </w:pPr>
      <w:r>
        <w:t>The codebase is approximately 100k TypeScript/TSX lines—substantial breadth for a 50–100-user beta and a material focus/maintenance risk.</w:t>
      </w:r>
    </w:p>
    <w:p>
      <w:pPr>
        <w:pStyle w:val="Heading1"/>
      </w:pPr>
      <w:r>
        <w:t>22. Official references used</w:t>
      </w:r>
    </w:p>
    <w:p>
      <w:pPr>
        <w:spacing w:after="20"/>
        <w:ind w:left="216" w:hanging="216"/>
      </w:pPr>
      <w:r>
        <w:rPr>
          <w:b/>
        </w:rPr>
        <w:t xml:space="preserve">• Polymarket product: </w:t>
      </w:r>
      <w:r>
        <w:rPr>
          <w:color w:val="2E74B5"/>
          <w:sz w:val="14"/>
        </w:rPr>
        <w:t>https://polymarket.com/</w:t>
      </w:r>
    </w:p>
    <w:p>
      <w:pPr>
        <w:spacing w:after="20"/>
        <w:ind w:left="216" w:hanging="216"/>
      </w:pPr>
      <w:r>
        <w:rPr>
          <w:b/>
        </w:rPr>
        <w:t xml:space="preserve">• What is Polymarket: </w:t>
      </w:r>
      <w:r>
        <w:rPr>
          <w:color w:val="2E74B5"/>
          <w:sz w:val="14"/>
        </w:rPr>
        <w:t>https://help.polymarket.com/en/articles/13364060-what-is-polymarket</w:t>
      </w:r>
    </w:p>
    <w:p>
      <w:pPr>
        <w:spacing w:after="20"/>
        <w:ind w:left="216" w:hanging="216"/>
      </w:pPr>
      <w:r>
        <w:rPr>
          <w:b/>
        </w:rPr>
        <w:t xml:space="preserve">• Geoblock API: </w:t>
      </w:r>
      <w:r>
        <w:rPr>
          <w:color w:val="2E74B5"/>
          <w:sz w:val="14"/>
        </w:rPr>
        <w:t>https://docs.polymarket.com/api-reference/geoblock</w:t>
      </w:r>
    </w:p>
    <w:p>
      <w:pPr>
        <w:spacing w:after="20"/>
        <w:ind w:left="216" w:hanging="216"/>
      </w:pPr>
      <w:r>
        <w:rPr>
          <w:b/>
        </w:rPr>
        <w:t xml:space="preserve">• Builder Program: </w:t>
      </w:r>
      <w:r>
        <w:rPr>
          <w:color w:val="2E74B5"/>
          <w:sz w:val="14"/>
        </w:rPr>
        <w:t>https://docs.polymarket.com/builders/overview</w:t>
      </w:r>
    </w:p>
    <w:p>
      <w:pPr>
        <w:spacing w:after="20"/>
        <w:ind w:left="216" w:hanging="216"/>
      </w:pPr>
      <w:r>
        <w:rPr>
          <w:b/>
        </w:rPr>
        <w:t xml:space="preserve">• Builder fees: </w:t>
      </w:r>
      <w:r>
        <w:rPr>
          <w:color w:val="2E74B5"/>
          <w:sz w:val="14"/>
        </w:rPr>
        <w:t>https://docs.polymarket.com/builders/fees</w:t>
      </w:r>
    </w:p>
    <w:p>
      <w:pPr>
        <w:spacing w:after="20"/>
        <w:ind w:left="216" w:hanging="216"/>
      </w:pPr>
      <w:r>
        <w:rPr>
          <w:b/>
        </w:rPr>
        <w:t xml:space="preserve">• Referral Program: </w:t>
      </w:r>
      <w:r>
        <w:rPr>
          <w:color w:val="2E74B5"/>
          <w:sz w:val="14"/>
        </w:rPr>
        <w:t>https://help.polymarket.com/en/articles/14174498-referral-program</w:t>
      </w:r>
    </w:p>
    <w:p>
      <w:pPr>
        <w:spacing w:after="20"/>
        <w:ind w:left="216" w:hanging="216"/>
      </w:pPr>
      <w:r>
        <w:rPr>
          <w:b/>
        </w:rPr>
        <w:t xml:space="preserve">• Trader leaderboard API: </w:t>
      </w:r>
      <w:r>
        <w:rPr>
          <w:color w:val="2E74B5"/>
          <w:sz w:val="14"/>
        </w:rPr>
        <w:t>https://docs.polymarket.com/api-reference/core/get-trader-leaderboard-rankings</w:t>
      </w:r>
    </w:p>
    <w:p>
      <w:pPr>
        <w:spacing w:after="20"/>
        <w:ind w:left="216" w:hanging="216"/>
      </w:pPr>
      <w:r>
        <w:rPr>
          <w:b/>
        </w:rPr>
        <w:t xml:space="preserve">• Claude: </w:t>
      </w:r>
      <w:r>
        <w:rPr>
          <w:color w:val="2E74B5"/>
          <w:sz w:val="14"/>
        </w:rPr>
        <w:t>https://www.anthropic.com/claude</w:t>
      </w:r>
    </w:p>
    <w:p>
      <w:pPr>
        <w:spacing w:after="20"/>
        <w:ind w:left="216" w:hanging="216"/>
      </w:pPr>
      <w:r>
        <w:rPr>
          <w:b/>
        </w:rPr>
        <w:t xml:space="preserve">• Lovable: </w:t>
      </w:r>
      <w:r>
        <w:rPr>
          <w:color w:val="2E74B5"/>
          <w:sz w:val="14"/>
        </w:rPr>
        <w:t>https://lovable.dev/</w:t>
      </w:r>
    </w:p>
    <w:p>
      <w:pPr>
        <w:spacing w:after="20"/>
        <w:ind w:left="216" w:hanging="216"/>
      </w:pPr>
      <w:r>
        <w:rPr>
          <w:b/>
        </w:rPr>
        <w:t xml:space="preserve">• Lovable getting started: </w:t>
      </w:r>
      <w:r>
        <w:rPr>
          <w:color w:val="2E74B5"/>
          <w:sz w:val="14"/>
        </w:rPr>
        <w:t>https://docs.lovable.dev/introduction/getting-started</w:t>
      </w:r>
    </w:p>
    <w:p>
      <w:pPr>
        <w:spacing w:after="20"/>
        <w:ind w:left="216" w:hanging="216"/>
      </w:pPr>
      <w:r>
        <w:rPr>
          <w:b/>
        </w:rPr>
        <w:t xml:space="preserve">• Lovable build-with-URL: </w:t>
      </w:r>
      <w:r>
        <w:rPr>
          <w:color w:val="2E74B5"/>
          <w:sz w:val="14"/>
        </w:rPr>
        <w:t>https://docs.lovable.dev/integrations/build-with-url</w:t>
      </w:r>
    </w:p>
    <w:p>
      <w:pPr>
        <w:spacing w:after="20"/>
        <w:ind w:left="216" w:hanging="216"/>
      </w:pPr>
      <w:r>
        <w:rPr>
          <w:b/>
        </w:rPr>
        <w:t xml:space="preserve">• Notion: </w:t>
      </w:r>
      <w:r>
        <w:rPr>
          <w:color w:val="2E74B5"/>
          <w:sz w:val="14"/>
        </w:rPr>
        <w:t>https://www.notion.com/en-US/product/notion</w:t>
      </w:r>
    </w:p>
    <w:p>
      <w:pPr>
        <w:spacing w:after="20"/>
        <w:ind w:left="216" w:hanging="216"/>
      </w:pPr>
      <w:r>
        <w:rPr>
          <w:b/>
        </w:rPr>
        <w:t xml:space="preserve">• Obsidian: </w:t>
      </w:r>
      <w:r>
        <w:rPr>
          <w:color w:val="2E74B5"/>
          <w:sz w:val="14"/>
        </w:rPr>
        <w:t>https://obsidian.md/</w:t>
      </w:r>
    </w:p>
    <w:p>
      <w:pPr>
        <w:spacing w:after="20"/>
        <w:ind w:left="216" w:hanging="216"/>
      </w:pPr>
      <w:r>
        <w:rPr>
          <w:b/>
        </w:rPr>
        <w:t xml:space="preserve">• Apple onboarding: </w:t>
      </w:r>
      <w:r>
        <w:rPr>
          <w:color w:val="2E74B5"/>
          <w:sz w:val="14"/>
        </w:rPr>
        <w:t>https://developer.apple.com/design/human-interface-guidelines/onboarding</w:t>
      </w:r>
    </w:p>
    <w:p>
      <w:pPr>
        <w:spacing w:after="20"/>
        <w:ind w:left="216" w:hanging="216"/>
      </w:pPr>
      <w:r>
        <w:rPr>
          <w:b/>
        </w:rPr>
        <w:t xml:space="preserve">• Apple disclosure controls: </w:t>
      </w:r>
      <w:r>
        <w:rPr>
          <w:color w:val="2E74B5"/>
          <w:sz w:val="14"/>
        </w:rPr>
        <w:t>https://developer.apple.com/design/human-interface-guidelines/disclosure-controls</w:t>
      </w:r>
    </w:p>
    <w:p>
      <w:pPr>
        <w:spacing w:after="20"/>
        <w:ind w:left="216" w:hanging="216"/>
      </w:pPr>
      <w:r>
        <w:rPr>
          <w:b/>
        </w:rPr>
        <w:t xml:space="preserve">• Nielsen heuristics: </w:t>
      </w:r>
      <w:r>
        <w:rPr>
          <w:color w:val="2E74B5"/>
          <w:sz w:val="14"/>
        </w:rPr>
        <w:t>https://www.nngroup.com/articles/ten-usability-heuristics/</w:t>
      </w:r>
    </w:p>
    <w:p>
      <w:pPr>
        <w:spacing w:after="20"/>
        <w:ind w:left="216" w:hanging="216"/>
      </w:pPr>
      <w:r>
        <w:rPr>
          <w:b/>
        </w:rPr>
        <w:t xml:space="preserve">• WCAG 2.2: </w:t>
      </w:r>
      <w:r>
        <w:rPr>
          <w:color w:val="2E74B5"/>
          <w:sz w:val="14"/>
        </w:rPr>
        <w:t>https://www.w3.org/TR/WCAG22/</w:t>
      </w:r>
    </w:p>
    <w:p>
      <w:pPr>
        <w:spacing w:after="20"/>
        <w:ind w:left="216" w:hanging="216"/>
      </w:pPr>
      <w:r>
        <w:rPr>
          <w:b/>
        </w:rPr>
        <w:t xml:space="preserve">• Web Vitals: </w:t>
      </w:r>
      <w:r>
        <w:rPr>
          <w:color w:val="2E74B5"/>
          <w:sz w:val="14"/>
        </w:rPr>
        <w:t>https://web.dev/articles/vitals</w:t>
      </w:r>
    </w:p>
    <w:p>
      <w:pPr>
        <w:spacing w:after="20"/>
        <w:ind w:left="216" w:hanging="216"/>
      </w:pPr>
      <w:r>
        <w:rPr>
          <w:b/>
        </w:rPr>
        <w:t xml:space="preserve">• Acquisition.com offers training: </w:t>
      </w:r>
      <w:r>
        <w:rPr>
          <w:color w:val="2E74B5"/>
          <w:sz w:val="14"/>
        </w:rPr>
        <w:t>https://www.acquisition.com/training/offers</w:t>
      </w:r>
    </w:p>
    <w:p>
      <w:pPr>
        <w:pStyle w:val="Heading1"/>
      </w:pPr>
      <w:r>
        <w:t>Final recommendation</w:t>
      </w:r>
    </w:p>
    <w:tbl>
      <w:tblPr>
        <w:tblW w:type="auto" w:w="0"/>
        <w:tblLayout w:type="fixed"/>
        <w:tblLook w:firstColumn="1" w:firstRow="1" w:lastColumn="0" w:lastRow="0" w:noHBand="0" w:noVBand="1" w:val="04A0"/>
      </w:tblPr>
      <w:tblGrid>
        <w:gridCol w:w="9720"/>
      </w:tblGrid>
      <w:tr>
        <w:trPr>
          <w:cantSplit/>
        </w:trPr>
        <w:tc>
          <w:tcPr>
            <w:tcW w:type="dxa" w:w="9878"/>
            <w:shd w:fill="EDF4FA"/>
            <w:tcMar>
              <w:top w:w="80" w:type="dxa"/>
              <w:start w:w="110" w:type="dxa"/>
              <w:bottom w:w="80" w:type="dxa"/>
              <w:end w:w="110" w:type="dxa"/>
            </w:tcMar>
            <w:vAlign w:val="center"/>
          </w:tcPr>
          <w:p>
            <w:pPr>
              <w:pStyle w:val="CalloutTitle"/>
              <w:keepLines/>
              <w:spacing w:after="0" w:line="240" w:lineRule="auto"/>
            </w:pPr>
            <w:r/>
            <w:r>
              <w:rPr>
                <w:rFonts w:ascii="Arial" w:hAnsi="Arial"/>
                <w:b w:val="0"/>
                <w:color w:val="222222"/>
                <w:sz w:val="18"/>
              </w:rPr>
            </w:r>
            <w:r>
              <w:t>Protect the wedge</w:t>
            </w:r>
          </w:p>
          <w:p>
            <w:pPr>
              <w:keepLines/>
              <w:spacing w:after="0" w:line="252" w:lineRule="auto"/>
            </w:pPr>
            <w:r>
              <w:rPr>
                <w:rFonts w:ascii="Arial" w:hAnsi="Arial"/>
                <w:sz w:val="18"/>
              </w:rPr>
              <w:t>Arima should not try to be the best Polymarket terminal, wallet, alerting app, and AI trader at once. Be the fastest trustworthy way to turn a trader’s own thesis into an inspectable strategy that watches the market and explains when action is warranted. Earn the right to expand from repeated use of that loop.</w:t>
            </w:r>
          </w:p>
        </w:tc>
      </w:tr>
    </w:tbl>
    <w:p>
      <w:pPr>
        <w:spacing w:after="0"/>
      </w:pPr>
    </w:p>
    <w:sectPr w:rsidR="00FC693F" w:rsidRPr="0006063C" w:rsidSect="00034616">
      <w:headerReference w:type="default" r:id="rId9"/>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CONFIDENTIAL  •  20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ARIMA  /  PRODUCT • UX • MARKETING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color w:val="666666"/>
      <w:sz w:val="17"/>
    </w:rPr>
  </w:style>
  <w:style w:type="paragraph" w:customStyle="1" w:styleId="CaptionX">
    <w:name w:val="CaptionX"/>
    <w:rPr>
      <w:rFonts w:ascii="Arial" w:hAnsi="Arial"/>
      <w:i/>
      <w:color w:val="666666"/>
      <w:sz w:val="17"/>
    </w:rPr>
  </w:style>
  <w:style w:type="paragraph" w:customStyle="1" w:styleId="CalloutTitle">
    <w:name w:val="CalloutTitle"/>
    <w:rPr>
      <w:rFonts w:ascii="Arial" w:hAnsi="Arial"/>
      <w:b/>
      <w:color w:val="17365D"/>
      <w:sz w:val="21"/>
    </w:rPr>
  </w:style>
  <w:style w:type="paragraph" w:customStyle="1" w:styleId="Metric">
    <w:name w:val="Metric"/>
    <w:rPr>
      <w:rFonts w:ascii="Arial" w:hAnsi="Arial"/>
      <w:b/>
      <w:color w:val="2E74B5"/>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