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7AFB" w14:textId="77777777" w:rsidR="007E7F57" w:rsidRPr="00E044CD" w:rsidRDefault="007107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 xml:space="preserve">UNIVERSITETI I PRISHTINËS </w:t>
      </w:r>
    </w:p>
    <w:p w14:paraId="2157B671" w14:textId="71648233" w:rsidR="007E7F57" w:rsidRPr="00E044CD" w:rsidRDefault="0088722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FAKULTETI I SHKENCAVE MATEMATIKORE DHE</w:t>
      </w:r>
      <w:r w:rsidR="0071071A" w:rsidRPr="00E044CD">
        <w:rPr>
          <w:rFonts w:ascii="Times New Roman" w:eastAsia="Times New Roman" w:hAnsi="Times New Roman" w:cs="Times New Roman"/>
          <w:b/>
          <w:sz w:val="34"/>
          <w:szCs w:val="34"/>
        </w:rPr>
        <w:t xml:space="preserve"> NATYRORE</w:t>
      </w:r>
    </w:p>
    <w:p w14:paraId="3CFEDCED" w14:textId="77777777" w:rsidR="007E7F57" w:rsidRPr="00E044CD" w:rsidRDefault="007107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>DEPARTAMENTI I MATEMATIKËS</w:t>
      </w:r>
    </w:p>
    <w:p w14:paraId="186E3BB4" w14:textId="77777777" w:rsidR="007E7F57" w:rsidRPr="00E044CD" w:rsidRDefault="007107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noProof/>
          <w:sz w:val="34"/>
          <w:szCs w:val="34"/>
          <w:lang w:val="en-US"/>
        </w:rPr>
        <w:drawing>
          <wp:inline distT="114300" distB="114300" distL="114300" distR="114300" wp14:anchorId="7C47883B" wp14:editId="6AA44330">
            <wp:extent cx="3473450" cy="3181350"/>
            <wp:effectExtent l="0" t="0" r="0" b="63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5266E" w14:textId="77777777" w:rsidR="007E7F57" w:rsidRPr="00E044CD" w:rsidRDefault="007107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>PUNIM SEMINARIK</w:t>
      </w:r>
    </w:p>
    <w:p w14:paraId="72D03315" w14:textId="5AE4F0AD" w:rsidR="007E7F57" w:rsidRPr="00E044CD" w:rsidRDefault="007107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LËNDA</w:t>
      </w:r>
      <w:r w:rsidRPr="0071071A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: </w:t>
      </w:r>
      <w:proofErr w:type="spellStart"/>
      <w:r w:rsidRPr="0071071A">
        <w:rPr>
          <w:rFonts w:ascii="Times New Roman" w:eastAsia="Times New Roman" w:hAnsi="Times New Roman" w:cs="Times New Roman"/>
          <w:b/>
          <w:i/>
          <w:sz w:val="34"/>
          <w:szCs w:val="34"/>
        </w:rPr>
        <w:t>Intelegjenca</w:t>
      </w:r>
      <w:proofErr w:type="spellEnd"/>
      <w:r w:rsidRPr="0071071A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i/>
          <w:sz w:val="34"/>
          <w:szCs w:val="34"/>
        </w:rPr>
        <w:t>artificiale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14:paraId="3844A6C3" w14:textId="60FD8463" w:rsidR="007E7F57" w:rsidRDefault="0071071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TEMA: </w:t>
      </w:r>
      <w:r w:rsidRPr="0071071A">
        <w:rPr>
          <w:rFonts w:ascii="Times New Roman" w:eastAsia="Times New Roman" w:hAnsi="Times New Roman" w:cs="Times New Roman"/>
          <w:b/>
          <w:i/>
          <w:sz w:val="34"/>
          <w:szCs w:val="34"/>
        </w:rPr>
        <w:t>Artificial Intelligence in cryptocurrencies</w:t>
      </w:r>
    </w:p>
    <w:p w14:paraId="78CCAC0B" w14:textId="77777777" w:rsidR="0071071A" w:rsidRPr="0071071A" w:rsidRDefault="0071071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4"/>
          <w:szCs w:val="34"/>
        </w:rPr>
      </w:pPr>
    </w:p>
    <w:p w14:paraId="3CBE63AD" w14:textId="77777777" w:rsidR="007E7F57" w:rsidRPr="00E044CD" w:rsidRDefault="0071071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2BFB5" w14:textId="77777777" w:rsidR="007E7F57" w:rsidRPr="00E044CD" w:rsidRDefault="0071071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71A">
        <w:rPr>
          <w:rFonts w:ascii="Times New Roman" w:eastAsia="Times New Roman" w:hAnsi="Times New Roman" w:cs="Times New Roman"/>
          <w:b/>
          <w:sz w:val="24"/>
          <w:szCs w:val="24"/>
        </w:rPr>
        <w:t>Profesor</w:t>
      </w:r>
      <w:proofErr w:type="spellEnd"/>
      <w:r w:rsidRPr="0071071A">
        <w:rPr>
          <w:rFonts w:ascii="Times New Roman" w:eastAsia="Times New Roman" w:hAnsi="Times New Roman" w:cs="Times New Roman"/>
          <w:b/>
          <w:sz w:val="24"/>
          <w:szCs w:val="24"/>
        </w:rPr>
        <w:t>:                                                                                                            Student:</w:t>
      </w: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5781771E" w14:textId="77777777" w:rsidR="007E7F57" w:rsidRPr="0071071A" w:rsidRDefault="0071071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 xml:space="preserve">Eliot </w:t>
      </w:r>
      <w:proofErr w:type="spellStart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>Bytyçi</w:t>
      </w:r>
      <w:proofErr w:type="spellEnd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Elvira </w:t>
      </w:r>
      <w:proofErr w:type="spellStart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>Jahaj</w:t>
      </w:r>
      <w:proofErr w:type="spellEnd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</w:t>
      </w:r>
      <w:proofErr w:type="spellStart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>Besnik</w:t>
      </w:r>
      <w:proofErr w:type="spellEnd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>Duriqi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E044CD">
        <w:rPr>
          <w:rFonts w:ascii="Times New Roman" w:eastAsia="Times New Roman" w:hAnsi="Times New Roman" w:cs="Times New Roman"/>
          <w:sz w:val="24"/>
          <w:szCs w:val="24"/>
        </w:rPr>
        <w:tab/>
      </w:r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Dafina Sopa    </w:t>
      </w:r>
    </w:p>
    <w:p w14:paraId="1CC39730" w14:textId="77777777" w:rsidR="007E7F57" w:rsidRPr="00E044CD" w:rsidRDefault="0071071A">
      <w:pPr>
        <w:rPr>
          <w:rFonts w:ascii="Times New Roman" w:eastAsia="Times New Roman" w:hAnsi="Times New Roman" w:cs="Times New Roman"/>
          <w:sz w:val="24"/>
          <w:szCs w:val="24"/>
        </w:rPr>
      </w:pPr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Elsa </w:t>
      </w:r>
      <w:proofErr w:type="spellStart"/>
      <w:r w:rsidRPr="0071071A">
        <w:rPr>
          <w:rFonts w:ascii="Times New Roman" w:eastAsia="Times New Roman" w:hAnsi="Times New Roman" w:cs="Times New Roman"/>
          <w:i/>
          <w:sz w:val="24"/>
          <w:szCs w:val="24"/>
        </w:rPr>
        <w:t>Tafilaj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BC563" w14:textId="77777777" w:rsidR="007E7F57" w:rsidRPr="0071071A" w:rsidRDefault="0071071A" w:rsidP="0071071A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1pvsu9vvftaw" w:colFirst="0" w:colLast="0"/>
      <w:bookmarkEnd w:id="0"/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Abstrakt</w:t>
      </w:r>
      <w:proofErr w:type="spellEnd"/>
    </w:p>
    <w:p w14:paraId="0B201C3E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69E82F9E" w14:textId="77777777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Ky punim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përmbledhje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intelegjencës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Crypto(cryptocurrency).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fuqishëm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digjitale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edhe  Machine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Learning algorithms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predikimin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Meqënëse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ditët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nevojë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lartë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merret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zbulimin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(fraud detection) -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shënuar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dyshimtë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redukton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rrezikun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mashtruese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7A9FA" w14:textId="77777777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zhvillimin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sofistikuara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tjera.Sic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dijmë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përmendura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prandaj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arsyeshme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përmendet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 Mining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bitcoin,i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konsiderueshme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fuqisë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llogaritëse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optimizuar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mining.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shembull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pajisjet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mining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zonat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konsumi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energjisë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reduktohet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operacione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efikase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mining.</w:t>
      </w:r>
    </w:p>
    <w:p w14:paraId="08C08CAD" w14:textId="77777777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pozitiv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efikasitetin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18CCE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3B160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870FD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36DD5" w14:textId="77777777" w:rsidR="007E7F57" w:rsidRPr="0071071A" w:rsidRDefault="0071071A" w:rsidP="0071071A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v2ye13xkws34" w:colFirst="0" w:colLast="0"/>
      <w:bookmarkEnd w:id="1"/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Hyrje</w:t>
      </w:r>
      <w:proofErr w:type="spellEnd"/>
    </w:p>
    <w:p w14:paraId="2C8948A4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29B48143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Me Crypto (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shkurtesë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cryptocurrency)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nënkuptojmë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digjitale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verifikuar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kontrolluar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</w:p>
    <w:p w14:paraId="0CCFBE56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njësive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Crypto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thotë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vepron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pavarësisht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bankë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qendrore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blockchain,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transparente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5984D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Shembuj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digjitale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: Bitcoin(BTC),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Etherum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(ETH), Ripple(XPR), Litecoin(LTC),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Chash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(BCH), Tether(USDT)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flasim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07825" w14:textId="1005201B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këmbimi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lejon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ndërfaqe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opsionesh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drejtpërdrejtë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marginë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ardhshme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Coin (BNB),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paguar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tarifat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platfo</w:t>
      </w:r>
      <w:r w:rsidR="00FD6B4F">
        <w:rPr>
          <w:rFonts w:ascii="Times New Roman" w:eastAsia="Times New Roman" w:hAnsi="Times New Roman" w:cs="Times New Roman"/>
          <w:sz w:val="24"/>
          <w:szCs w:val="24"/>
        </w:rPr>
        <w:t>rmë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zbritje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58360868"/>
          <w:citation/>
        </w:sdtPr>
        <w:sdtContent>
          <w:r w:rsidR="00FD6B4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RES \l 1033 </w:instrTex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FD6B4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FD6B4F" w:rsidRPr="00FD6B4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6B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E09CB" w14:textId="1F2A7678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2017,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arriti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kapitalizim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prej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600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miliardë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dollarë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atëherë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demonstruar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interesin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provuar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jenë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revolucionare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2021,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tjetër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ndodhi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rekord</w:t>
      </w:r>
      <w:proofErr w:type="spellEnd"/>
      <w:r w:rsidR="009E292F">
        <w:rPr>
          <w:rFonts w:ascii="Times New Roman" w:eastAsia="Times New Roman" w:hAnsi="Times New Roman" w:cs="Times New Roman"/>
          <w:sz w:val="24"/>
          <w:szCs w:val="24"/>
        </w:rPr>
        <w:t xml:space="preserve"> prej </w:t>
      </w:r>
      <w:proofErr w:type="spellStart"/>
      <w:r w:rsidR="009E292F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="009E292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9E292F">
        <w:rPr>
          <w:rFonts w:ascii="Times New Roman" w:eastAsia="Times New Roman" w:hAnsi="Times New Roman" w:cs="Times New Roman"/>
          <w:sz w:val="24"/>
          <w:szCs w:val="24"/>
        </w:rPr>
        <w:t>trilion</w:t>
      </w:r>
      <w:proofErr w:type="spellEnd"/>
      <w:r w:rsidR="009E2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292F">
        <w:rPr>
          <w:rFonts w:ascii="Times New Roman" w:eastAsia="Times New Roman" w:hAnsi="Times New Roman" w:cs="Times New Roman"/>
          <w:sz w:val="24"/>
          <w:szCs w:val="24"/>
        </w:rPr>
        <w:t>dollarë</w:t>
      </w:r>
      <w:proofErr w:type="spellEnd"/>
      <w:r w:rsidR="009E2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372195409"/>
          <w:citation/>
        </w:sdtPr>
        <w:sdtContent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IEE \l 1033 </w:instrText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E292F" w:rsidRPr="009E292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Megjithatë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tërhoqën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aktorët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keqdashës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A8F62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Rreziqet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B65E4" w14:textId="0C4AC6C1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Incidentet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konvencionale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hakerave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çuan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humbje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madje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rastin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MtGox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falimentim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Incidente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spikatura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manipulimin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adresave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portofolit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shfrytëzimin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softuerit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portofolit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kompromentimin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energjisë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minerare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NICEHASH 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incidente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tilla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stilit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nxjerrja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paligjshme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dixhitale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burim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besueshëm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ardhurave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kriminelët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157292638"/>
          <w:citation/>
        </w:sdtPr>
        <w:sdtContent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IEE4 \l 1033 </w:instrText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E292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E292F" w:rsidRPr="009E292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093A6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Burime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raportuar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dramatike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malware-it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mining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kryptove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fundit. Viti 2018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sulmeve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mining,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tendenca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mostrave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malware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kriptominimit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40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% .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tremujorin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fushatave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synojnë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kompjuterët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viktimave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minuar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thuhet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29%,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rimëkëmbja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maji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2019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operacioneve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malware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kriptominimit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5ADD2D81" w14:textId="55039BEA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fundi,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sulmet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shkallë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synojnë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ndërmarrjet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</w:t>
      </w:r>
      <w:r w:rsidR="00FD6B4F"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përhapura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</w:rPr>
        <w:t>vitin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497649846"/>
          <w:citation/>
        </w:sdtPr>
        <w:sdtContent>
          <w:r w:rsidR="00FD6B4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RES \l 1033 </w:instrTex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FD6B4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FD6B4F" w:rsidRPr="00FD6B4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7A4C6" w14:textId="77777777" w:rsidR="007E7F57" w:rsidRPr="00E044CD" w:rsidRDefault="0071071A">
      <w:pPr>
        <w:jc w:val="both"/>
        <w:rPr>
          <w:rFonts w:ascii="Times New Roman" w:hAnsi="Times New Roman" w:cs="Times New Roman"/>
          <w:highlight w:val="white"/>
        </w:rPr>
      </w:pPr>
      <w:r w:rsidRPr="00E044CD">
        <w:rPr>
          <w:rFonts w:ascii="Times New Roman" w:hAnsi="Times New Roman" w:cs="Times New Roman"/>
          <w:highlight w:val="white"/>
        </w:rPr>
        <w:t xml:space="preserve"> </w:t>
      </w:r>
    </w:p>
    <w:p w14:paraId="75E923E2" w14:textId="77777777" w:rsidR="007E7F57" w:rsidRPr="00E044CD" w:rsidRDefault="007E7F57">
      <w:pPr>
        <w:jc w:val="both"/>
        <w:rPr>
          <w:rFonts w:ascii="Times New Roman" w:hAnsi="Times New Roman" w:cs="Times New Roman"/>
          <w:highlight w:val="white"/>
        </w:rPr>
      </w:pPr>
    </w:p>
    <w:p w14:paraId="0C127AEF" w14:textId="77777777" w:rsidR="007E7F57" w:rsidRP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wm35pg7gbwsv" w:colFirst="0" w:colLast="0"/>
      <w:bookmarkEnd w:id="2"/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Metodologjia</w:t>
      </w:r>
      <w:proofErr w:type="spellEnd"/>
    </w:p>
    <w:p w14:paraId="5309A379" w14:textId="77777777" w:rsidR="007E7F57" w:rsidRPr="00E044CD" w:rsidRDefault="007E7F57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3D138A4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realizimin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punimi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Springer link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me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karakteristika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fundit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tipin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article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:”Artificial intelligence” “Crypto”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kësaj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599 articles,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“Bitcoin”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prej 173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“Machine learning”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100 articles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“Mining algorithms”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16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Nga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secilën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përmbante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6C3B1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Po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ScienceDirect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fundit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njëjta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“Artificial intelligence” “Crypto”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576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“Bitcoin”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rezultuan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349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“Machine learning”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178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“Mining algorithm”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re sic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“trading”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pikërisht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21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E4E84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IEEE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material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fundit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access only,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“Artificial intelligence in cryptocurrencies”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7.210.000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“Bitcoin mining using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AI”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kishin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përmbanin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7097A" w14:textId="3B0FA26D" w:rsidR="007E7F57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ACM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karakteristikat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Journals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fundit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“Blockchain-based decentralized AI systems”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16.652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“in cryptocurrencies”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16.651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uljen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“ and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mining”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12,103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etherum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nft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622, pas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shkarkimit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kishim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53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D6F85A" w14:textId="77777777" w:rsidR="0071071A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359F8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87C8E" w14:textId="3B6A5B06" w:rsidR="0071071A" w:rsidRP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rwunc9c6x4k6" w:colFirst="0" w:colLast="0"/>
      <w:bookmarkEnd w:id="3"/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Ndikimi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Inteligjencës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Artificiale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në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Kriptomonedha</w:t>
      </w:r>
      <w:proofErr w:type="spellEnd"/>
    </w:p>
    <w:p w14:paraId="237FE375" w14:textId="0F027CD9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45C901" w14:textId="696082F9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përballen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ngjashme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monedhat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fiat'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sfidat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aktiveve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financiar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fusha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banka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konkretisht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banka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bisedore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(conversional banks),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zbulimin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kundër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mashtrimit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vlerësimin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rrezi</w:t>
      </w:r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kut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nënshkrimim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kredisë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id w:val="637689396"/>
          <w:citation/>
        </w:sdtPr>
        <w:sdtContent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begin"/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  <w:lang w:val="en-US"/>
            </w:rPr>
            <w:instrText xml:space="preserve"> CITATION IEE \l 1033 </w:instrTex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separate"/>
          </w:r>
          <w:r w:rsidR="00FD6B4F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white"/>
              <w:lang w:val="en-US"/>
            </w:rPr>
            <w:t xml:space="preserve"> </w:t>
          </w:r>
          <w:r w:rsidR="00FD6B4F" w:rsidRPr="00FD6B4F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white"/>
              <w:lang w:val="en-US"/>
            </w:rPr>
            <w:t>[2]</w: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gjerësisht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inteligjente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parashikimin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parashikimin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ndihmon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marrjen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vendimeve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duhet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blerë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mbajtur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aksion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shënues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kalimin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kohës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Poashtu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detyrat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zbulimit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kundër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mashtrimit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sjelljet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shpenzimeve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zbuluar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modele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dyshimta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id w:val="654802859"/>
          <w:citation/>
        </w:sdtPr>
        <w:sdtContent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begin"/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  <w:lang w:val="en-US"/>
            </w:rPr>
            <w:instrText xml:space="preserve"> CITATION IEE \l 1033 </w:instrTex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separate"/>
          </w:r>
          <w:r w:rsidR="00FD6B4F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white"/>
              <w:lang w:val="en-US"/>
            </w:rPr>
            <w:t xml:space="preserve"> </w:t>
          </w:r>
          <w:r w:rsidR="00FD6B4F" w:rsidRPr="00FD6B4F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white"/>
              <w:lang w:val="en-US"/>
            </w:rPr>
            <w:t>[2]</w: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Përveç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kësaj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disa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specifike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nxirren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ekosistemi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zgjidhje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dobishme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detyrat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kategorizohen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bazuara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evolucion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bazuara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njohuri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makinat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mendojnë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veprojnë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njerëzore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racionale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.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pjesë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tema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kyçe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nevoja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nxirren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ekosistemi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p.sh.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tregtarët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kriminelët</w:t>
      </w:r>
      <w:proofErr w:type="spellEnd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),regulatory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agents,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miners,security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specialists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etj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Tregtarët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analizojnë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çmimet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shënuesit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marrjen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vendimeve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fitimeve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larta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pronarët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>tyre</w:t>
      </w:r>
      <w:proofErr w:type="spellEnd"/>
      <w:r w:rsidR="00FD6B4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id w:val="-1116214734"/>
          <w:citation/>
        </w:sdtPr>
        <w:sdtContent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begin"/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  <w:lang w:val="en-US"/>
            </w:rPr>
            <w:instrText xml:space="preserve"> CITATION Spr \l 1033 </w:instrTex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separate"/>
          </w:r>
          <w:r w:rsidR="00FD6B4F" w:rsidRPr="00FD6B4F">
            <w:rPr>
              <w:rFonts w:ascii="Times New Roman" w:eastAsia="Times New Roman" w:hAnsi="Times New Roman" w:cs="Times New Roman"/>
              <w:noProof/>
              <w:sz w:val="24"/>
              <w:szCs w:val="24"/>
              <w:highlight w:val="white"/>
              <w:lang w:val="en-US"/>
            </w:rPr>
            <w:t>[3]</w:t>
          </w:r>
          <w:r w:rsidR="00FD6B4F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C3D32D6" w14:textId="348A7A96" w:rsidR="007E7F57" w:rsidRPr="00E044CD" w:rsidRDefault="00E044CD">
      <w:pPr>
        <w:jc w:val="both"/>
        <w:rPr>
          <w:rFonts w:ascii="Times New Roman" w:hAnsi="Times New Roman" w:cs="Times New Roman"/>
          <w:highlight w:val="whit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D8942" wp14:editId="623EE1EC">
                <wp:simplePos x="0" y="0"/>
                <wp:positionH relativeFrom="column">
                  <wp:posOffset>19050</wp:posOffset>
                </wp:positionH>
                <wp:positionV relativeFrom="paragraph">
                  <wp:posOffset>2414270</wp:posOffset>
                </wp:positionV>
                <wp:extent cx="23685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3A477C" w14:textId="50A3ECDC" w:rsidR="00E044CD" w:rsidRPr="00B43CAC" w:rsidRDefault="00E044CD" w:rsidP="00E044C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43C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Fig 1. Cryptocurrencies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D894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.5pt;margin-top:190.1pt;width:186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" stroked="f">
                <v:textbox style="mso-fit-shape-to-text:t" inset="0,0,0,0">
                  <w:txbxContent>
                    <w:p w14:paraId="363A477C" w14:textId="50A3ECDC" w:rsidR="00E044CD" w:rsidRPr="00B43CAC" w:rsidRDefault="00E044CD" w:rsidP="00E044CD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</w:pPr>
                      <w:r w:rsidRPr="00B43C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Fig 1. Cryptocurrencies Ecosystem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4CD">
        <w:rPr>
          <w:rFonts w:ascii="Times New Roman" w:hAnsi="Times New Roman" w:cs="Times New Roman"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B9301C3" wp14:editId="21B744BF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368753" cy="2243138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753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3FECD" w14:textId="06F2197D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prirjeve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paqëndrueshmërisë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portofolit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zbulimi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detyra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rreth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Bots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detyra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historike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treguesve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interesave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mediave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fitimprurëse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përpunimi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gjuhës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natyrore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(NLP) -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AI-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nevojshëm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ndjenjave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përpunimin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lajmeve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postimeve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mediave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(p.sh. Twitter, Facebook, Telegram, LinkedIn, Reddit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forumet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domenit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BitcoinTalk3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Forumi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Komunitetit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Ethereum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294327116"/>
          <w:citation/>
        </w:sdtPr>
        <w:sdtContent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IEE1 \l 1033 </w:instrTex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350208" w:rsidRP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[4]</w: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502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</w:t>
      </w:r>
      <w:r w:rsidR="00350208">
        <w:rPr>
          <w:rFonts w:ascii="Times New Roman" w:eastAsia="Times New Roman" w:hAnsi="Times New Roman" w:cs="Times New Roman"/>
          <w:sz w:val="24"/>
          <w:szCs w:val="24"/>
        </w:rPr>
        <w:t>elimit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temave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bazuara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E044CD">
        <w:rPr>
          <w:rFonts w:ascii="Times New Roman" w:eastAsia="Times New Roman" w:hAnsi="Times New Roman" w:cs="Times New Roman"/>
          <w:sz w:val="24"/>
          <w:szCs w:val="24"/>
        </w:rPr>
        <w:t>ord2ve</w:t>
      </w:r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teknikave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tjera NLP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95682597"/>
          <w:citation/>
        </w:sdtPr>
        <w:sdtContent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RES \l 1033 </w:instrTex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50208" w:rsidRP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2EE1E" w14:textId="77777777" w:rsidR="007E7F57" w:rsidRPr="00E044CD" w:rsidRDefault="007E7F57">
      <w:pPr>
        <w:rPr>
          <w:rFonts w:ascii="Times New Roman" w:hAnsi="Times New Roman" w:cs="Times New Roman"/>
          <w:highlight w:val="white"/>
        </w:rPr>
      </w:pPr>
    </w:p>
    <w:p w14:paraId="21D5C141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063919D" w14:textId="77777777" w:rsidR="007E7F57" w:rsidRP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oveyfnd6apm1" w:colFirst="0" w:colLast="0"/>
      <w:bookmarkEnd w:id="4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Bitcoin</w:t>
      </w:r>
    </w:p>
    <w:p w14:paraId="78FC88CA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0B18B395" w14:textId="426BDBF2" w:rsidR="007E7F57" w:rsidRPr="00E044CD" w:rsidRDefault="00E044C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1990C" wp14:editId="047C7CF7">
                <wp:simplePos x="0" y="0"/>
                <wp:positionH relativeFrom="column">
                  <wp:posOffset>0</wp:posOffset>
                </wp:positionH>
                <wp:positionV relativeFrom="paragraph">
                  <wp:posOffset>1672590</wp:posOffset>
                </wp:positionV>
                <wp:extent cx="143319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D49A1" w14:textId="6A69E51C" w:rsidR="00E044CD" w:rsidRPr="00B43CAC" w:rsidRDefault="00E044CD" w:rsidP="00E044C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3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Fig 2. Bitcoin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1990C" id="Text Box 7" o:spid="_x0000_s1027" type="#_x0000_t202" style="position:absolute;margin-left:0;margin-top:131.7pt;width:112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" stroked="f">
                <v:textbox style="mso-fit-shape-to-text:t" inset="0,0,0,0">
                  <w:txbxContent>
                    <w:p w14:paraId="0C3D49A1" w14:textId="6A69E51C" w:rsidR="00E044CD" w:rsidRPr="00B43CAC" w:rsidRDefault="00E044CD" w:rsidP="00E044C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43CA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Fig 2. Bitcoin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4CD">
        <w:rPr>
          <w:rFonts w:ascii="Times New Roman" w:hAnsi="Times New Roman" w:cs="Times New Roman"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0ED521FD" wp14:editId="2185AF25">
            <wp:simplePos x="0" y="0"/>
            <wp:positionH relativeFrom="column">
              <wp:posOffset>1</wp:posOffset>
            </wp:positionH>
            <wp:positionV relativeFrom="paragraph">
              <wp:posOffset>182482</wp:posOffset>
            </wp:positionV>
            <wp:extent cx="1433513" cy="1433513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AE1AE4" w14:textId="1B6983F0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temat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interesante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botën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Cryptocurrency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njerëzit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mendojnë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zhvillua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2009,është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dixhitale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qeverisur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protokoll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kriptografik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flasim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elektronike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qeverisje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qendrore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palësh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paqëndrueshme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opinionet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ndërtu</w:t>
      </w:r>
      <w:r w:rsidR="009E292F">
        <w:rPr>
          <w:rFonts w:ascii="Times New Roman" w:eastAsia="Times New Roman" w:hAnsi="Times New Roman" w:cs="Times New Roman"/>
          <w:sz w:val="24"/>
          <w:szCs w:val="24"/>
        </w:rPr>
        <w:t>ara</w:t>
      </w:r>
      <w:proofErr w:type="spellEnd"/>
      <w:r w:rsidR="009E2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292F">
        <w:rPr>
          <w:rFonts w:ascii="Times New Roman" w:eastAsia="Times New Roman" w:hAnsi="Times New Roman" w:cs="Times New Roman"/>
          <w:sz w:val="24"/>
          <w:szCs w:val="24"/>
        </w:rPr>
        <w:t>shoqëror</w:t>
      </w:r>
      <w:proofErr w:type="spellEnd"/>
      <w:r w:rsidR="009E2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470938793"/>
          <w:citation/>
        </w:sdtPr>
        <w:sdtContent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IEE2 \l 1033 </w:instrText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E292F" w:rsidRPr="009E292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9E292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A402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Miratimi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vazhdueshëm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botën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aplikime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konsiderueshme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Popullariteti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altcoin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erdhën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ekzistencë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Namecoin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shpallur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fillimisht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2011,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ndjekur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menjëherë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pas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lëshimin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Litecoin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tetor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2011. Altcoin boom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2013,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lansoheshin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pothuajse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javë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Meqenëse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leje,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studiuesit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fokusuan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informacionin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kryesisht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kryesore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rrjetit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hash.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Shumica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studimeve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mëparshme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fokusuar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punim, 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hetojmë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kuptuar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dinamikën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synojnë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japin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pasqyrë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gjithëpërfshirëse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</w:t>
      </w:r>
      <w:r w:rsidR="00350208">
        <w:rPr>
          <w:rFonts w:ascii="Times New Roman" w:eastAsia="Times New Roman" w:hAnsi="Times New Roman" w:cs="Times New Roman"/>
          <w:sz w:val="24"/>
          <w:szCs w:val="24"/>
        </w:rPr>
        <w:t>viteteve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çmimin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e bitcoin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221438964"/>
          <w:citation/>
        </w:sdtPr>
        <w:sdtContent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IEE2 \l 1033 </w:instrTex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50208" w:rsidRP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Furnizimi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rreth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21,000,000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maksimale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ekzistojnë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ndonjëherë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kufizuar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korrespondon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kërkesa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bitcoin.</w:t>
      </w:r>
    </w:p>
    <w:p w14:paraId="2B4A8CC6" w14:textId="1AEF400D" w:rsidR="007E7F57" w:rsidRPr="00E044CD" w:rsidRDefault="0071071A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Siç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shohim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miratuar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13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tani .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BC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shumëllojshmëri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aplikimesh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votimin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shpërndarë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, e-Health, IoT,</w:t>
      </w:r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kontrat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inteligjente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IoV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80928089"/>
          <w:citation/>
        </w:sdtPr>
        <w:sdtContent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Spr1 \l 1033 </w:instrTex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350208" w:rsidRP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[6]</w: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749A4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87CA8BD" w14:textId="77777777" w:rsidR="00E044CD" w:rsidRDefault="00E044CD" w:rsidP="00E044CD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5" w:name="_29z6o4tqg7qu" w:colFirst="0" w:colLast="0"/>
      <w:bookmarkEnd w:id="5"/>
    </w:p>
    <w:p w14:paraId="4C3FDD4B" w14:textId="480F92B9" w:rsidR="00E044CD" w:rsidRP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Perdorimi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AI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në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Machine Learning</w:t>
      </w:r>
      <w:bookmarkStart w:id="6" w:name="_5sows2whij2j" w:colFirst="0" w:colLast="0"/>
      <w:bookmarkEnd w:id="6"/>
    </w:p>
    <w:p w14:paraId="44162B28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27EDE" w14:textId="16C2806F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Machine learning (ML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nënfushë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,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përkufizohet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imituar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sjelljen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njerëzore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realizohet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zakonisht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kategorizohen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regresionit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Dallimi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kryesor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regresionit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regresionit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mosha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diskrete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Mashkull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Femër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vërtetë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gabuar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Megjithatë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qëllimi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kategorive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kapin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inputeve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outputeve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</w:t>
      </w:r>
      <w:r w:rsidR="00350208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rritet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trajnime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917929078"/>
          <w:citation/>
        </w:sdtPr>
        <w:sdtContent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IEE3 \l 1033 </w:instrTex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350208" w:rsidRP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[7]</w: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2649BC41" w14:textId="77777777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ML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ndërlidhura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luan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vendimtar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performancës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ML duke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atyre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rekomandime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përpunimin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gjuhës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natyrore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ML,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folurit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tekstit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Si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gjithanshme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perdoret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automatizuar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detyra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ML,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tilla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parapërpunimi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përzgjedhja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veçorive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akordimi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hiperparametrave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7C687" w14:textId="2A3F1C2A" w:rsidR="007E7F57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tekstin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imazhet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audion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rekomandime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bur</w:t>
      </w:r>
      <w:r w:rsidR="007A4022">
        <w:rPr>
          <w:rFonts w:ascii="Times New Roman" w:eastAsia="Times New Roman" w:hAnsi="Times New Roman" w:cs="Times New Roman"/>
          <w:sz w:val="24"/>
          <w:szCs w:val="24"/>
        </w:rPr>
        <w:t>imesh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69494420"/>
          <w:citation/>
        </w:sdtPr>
        <w:sdtContent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Sem \l 1033 </w:instrTex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A4022" w:rsidRP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[8]</w: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181CBC" w14:textId="7A32D0F7" w:rsidR="007E7F57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kritike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përparime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kompjuterike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evoluojë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presim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shohim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përparime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performancën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</w:t>
      </w:r>
      <w:r w:rsidR="00350208">
        <w:rPr>
          <w:rFonts w:ascii="Times New Roman" w:eastAsia="Times New Roman" w:hAnsi="Times New Roman" w:cs="Times New Roman"/>
          <w:sz w:val="24"/>
          <w:szCs w:val="24"/>
        </w:rPr>
        <w:t>meve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0208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739630417"/>
          <w:citation/>
        </w:sdtPr>
        <w:sdtContent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6Gt \l 1033 </w:instrTex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350208" w:rsidRP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[8]</w: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878121" w14:textId="77777777" w:rsidR="0071071A" w:rsidRPr="00E044CD" w:rsidRDefault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3EFF8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519D583" w14:textId="77777777" w:rsidR="007E7F57" w:rsidRP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6mcniq4p3o6h" w:colFirst="0" w:colLast="0"/>
      <w:bookmarkEnd w:id="7"/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Çfarë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është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Blockchain ?</w:t>
      </w:r>
      <w:proofErr w:type="gramEnd"/>
    </w:p>
    <w:p w14:paraId="1B20C2F5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52E3E59A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0BEC326B" w14:textId="464E9BF1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dixhital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hapur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shpërndarë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njerëzve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kompjuterë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retroaktive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blloqeve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mëvonshme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konsensusin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bllokut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konsiderohet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fuqia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</w:t>
      </w:r>
      <w:r w:rsidR="00350208">
        <w:rPr>
          <w:rFonts w:ascii="Times New Roman" w:eastAsia="Times New Roman" w:hAnsi="Times New Roman" w:cs="Times New Roman"/>
          <w:sz w:val="24"/>
          <w:szCs w:val="24"/>
        </w:rPr>
        <w:t>iptografisë</w:t>
      </w:r>
      <w:proofErr w:type="spellEnd"/>
      <w:r w:rsidR="00350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491099661"/>
          <w:citation/>
        </w:sdtPr>
        <w:sdtContent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SUR \l 1033 </w:instrTex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50208" w:rsidRPr="00350208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[9]</w:t>
          </w:r>
          <w:r w:rsidR="0035020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zinxhirësh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stampa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kohore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ruajtura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menaxhon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pjesë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60605782"/>
          <w:citation/>
        </w:sdtPr>
        <w:sdtContent>
          <w:r w:rsidR="000F58B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F58B3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Spr2 \l 1033 </w:instrText>
          </w:r>
          <w:r w:rsidR="000F58B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F58B3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0F58B3" w:rsidRPr="000F58B3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[12]</w:t>
          </w:r>
          <w:r w:rsidR="000F58B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F58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6F4CE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5FA7D0B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3F267D6" w14:textId="77777777" w:rsidR="00E044CD" w:rsidRDefault="0071071A" w:rsidP="00E044CD">
      <w:pPr>
        <w:keepNext/>
      </w:pPr>
      <w:r w:rsidRPr="00E044CD"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</w:t>
      </w:r>
      <w:r w:rsidRPr="00E044CD">
        <w:rPr>
          <w:rFonts w:ascii="Times New Roman" w:eastAsia="Times New Roman" w:hAnsi="Times New Roman" w:cs="Times New Roman"/>
          <w:noProof/>
          <w:sz w:val="30"/>
          <w:szCs w:val="30"/>
          <w:highlight w:val="white"/>
          <w:lang w:val="en-US"/>
        </w:rPr>
        <w:drawing>
          <wp:inline distT="114300" distB="114300" distL="114300" distR="114300" wp14:anchorId="209CD5D1" wp14:editId="3BC36F52">
            <wp:extent cx="5943600" cy="3594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BF2BA" w14:textId="661D2BF8" w:rsidR="007E7F57" w:rsidRPr="00B43CAC" w:rsidRDefault="00E044CD" w:rsidP="00E044CD">
      <w:pPr>
        <w:pStyle w:val="Caption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3.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Një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përmbledhje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nivelit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të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lartë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të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arkitekturës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së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rrjetit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blockchain.</w:t>
      </w:r>
    </w:p>
    <w:p w14:paraId="3ABB9A58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A1CF477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53DB528B" w14:textId="3AA619CB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forum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konfidencial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shpërndarë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ndarjen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sasie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nyjeve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asnjë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ndërhyrje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vendimmarrje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zbatohen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softuer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inov</w:t>
      </w:r>
      <w:r w:rsidR="007A4022">
        <w:rPr>
          <w:rFonts w:ascii="Times New Roman" w:eastAsia="Times New Roman" w:hAnsi="Times New Roman" w:cs="Times New Roman"/>
          <w:sz w:val="24"/>
          <w:szCs w:val="24"/>
        </w:rPr>
        <w:t>ativë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fusha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353612408"/>
          <w:citation/>
        </w:sdtPr>
        <w:sdtContent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Spr2 \l 1033 </w:instrTex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A4022" w:rsidRP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[10]</w: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A402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bllokut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garanton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kodohen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dobishme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furnizimin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afatgjatë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leximin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atyre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precedentëve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bashkëpunim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pavarur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theksuar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ruajtjen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monitorimin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ekzekutimin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84321184"/>
          <w:citation/>
        </w:sdtPr>
        <w:sdtContent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Spr3 \l 1033 </w:instrTex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A4022" w:rsidRP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[11]</w: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A8C1E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69DE2AC5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0B1BB989" w14:textId="0B7189F6" w:rsidR="007E7F57" w:rsidRP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617ljebxls9m" w:colFirst="0" w:colLast="0"/>
      <w:bookmarkEnd w:id="8"/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Tregtia</w:t>
      </w:r>
      <w:proofErr w:type="spellEnd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 xml:space="preserve"> e </w:t>
      </w: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t>monedhave</w:t>
      </w:r>
      <w:proofErr w:type="spellEnd"/>
    </w:p>
    <w:p w14:paraId="41A97ACF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1DD94053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328583EC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(AI)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veçanërisht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tregjeve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blerjes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shitjes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qëllim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Përkufizimi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ndahet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aspekte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objekti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funksionimit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strategjia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Objekti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funksionimit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mjetet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Kontratën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diferencat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(CFD)" (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Kontrata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referuar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Strategjia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formuluar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përcakton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rregullash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paracaktuara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Paqëndrueshmëria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ngjarë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tërheqë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investitorët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Fuktuacionet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shpejta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brenda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para,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rrezik.Tregu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disponueshëm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javë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sepse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mallrave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fizikisht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vend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individëve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botë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mallrave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shërbimeve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identitetin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vet.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shqetësime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</w:p>
    <w:p w14:paraId="4722D16C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vjedhjen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identitetit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privatësinë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</w:p>
    <w:p w14:paraId="1DC8EA2A" w14:textId="306630F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avantazhet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privatësinë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veçanta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Know-Your-Customer (KYC)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648103269"/>
          <w:citation/>
        </w:sdtPr>
        <w:sdtContent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Spr2 \l 1033 </w:instrTex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A4022" w:rsidRP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[10]</w: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BFD23" w14:textId="18879F98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Over-the-counter (OTC)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kontekst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homologe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famshëm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OTC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="000F58B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0F58B3">
        <w:rPr>
          <w:rFonts w:ascii="Times New Roman" w:eastAsia="Times New Roman" w:hAnsi="Times New Roman" w:cs="Times New Roman"/>
          <w:sz w:val="24"/>
          <w:szCs w:val="24"/>
        </w:rPr>
        <w:t>LocalBitcoin</w:t>
      </w:r>
      <w:proofErr w:type="spellEnd"/>
      <w:r w:rsidR="000F58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F58B3">
        <w:rPr>
          <w:rFonts w:ascii="Times New Roman" w:eastAsia="Times New Roman" w:hAnsi="Times New Roman" w:cs="Times New Roman"/>
          <w:sz w:val="24"/>
          <w:szCs w:val="24"/>
        </w:rPr>
        <w:t>Localbtc</w:t>
      </w:r>
      <w:proofErr w:type="spellEnd"/>
      <w:r w:rsidR="000F58B3">
        <w:rPr>
          <w:rFonts w:ascii="Times New Roman" w:eastAsia="Times New Roman" w:hAnsi="Times New Roman" w:cs="Times New Roman"/>
          <w:sz w:val="24"/>
          <w:szCs w:val="24"/>
        </w:rPr>
        <w:t xml:space="preserve"> 2020)”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34914482"/>
          <w:citation/>
        </w:sdtPr>
        <w:sdtContent>
          <w:r w:rsidR="000F58B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F58B3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Spr3 \l 1033 </w:instrText>
          </w:r>
          <w:r w:rsidR="000F58B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F58B3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0F58B3" w:rsidRPr="000F58B3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[13]</w:t>
          </w:r>
          <w:r w:rsidR="000F58B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F58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C11BC" w14:textId="7D1543D0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procedurash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paraprogramuara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lejuar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majme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kapërcyer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manipulimin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kriminale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kibernetike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vonesat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sistematik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përcaktuar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qëllimet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kontrollet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rrezikut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rregullat. </w:t>
      </w:r>
    </w:p>
    <w:p w14:paraId="4261158A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Metodat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ekonometrike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aplikojnë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kombinim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teorive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ekonomike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variablat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ekonomike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statistikore</w:t>
      </w:r>
      <w:proofErr w:type="spellEnd"/>
    </w:p>
    <w:p w14:paraId="21842A79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përdorni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ekuacione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matematikore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koduar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informacionin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nxjerrë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raste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shpejt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mjaftueshëm</w:t>
      </w:r>
      <w:proofErr w:type="spellEnd"/>
    </w:p>
    <w:p w14:paraId="451FD331" w14:textId="5C90345F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metodë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lineare</w:t>
      </w:r>
      <w:proofErr w:type="spellEnd"/>
    </w:p>
    <w:p w14:paraId="70F5D484" w14:textId="49A8EDE3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</w:t>
      </w:r>
      <w:r w:rsidR="007A4022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variabli</w:t>
      </w:r>
      <w:proofErr w:type="spellEnd"/>
      <w:r w:rsidR="007A4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022">
        <w:rPr>
          <w:rFonts w:ascii="Times New Roman" w:eastAsia="Times New Roman" w:hAnsi="Times New Roman" w:cs="Times New Roman"/>
          <w:sz w:val="24"/>
          <w:szCs w:val="24"/>
        </w:rPr>
        <w:t>shpjegues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7855934"/>
          <w:citation/>
        </w:sdtPr>
        <w:sdtContent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Spr2 \l 1033 </w:instrTex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A4022" w:rsidRPr="007A4022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[10]</w:t>
          </w:r>
          <w:r w:rsidR="007A40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E6C45D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7F9BB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6C37F" w14:textId="77777777" w:rsidR="00B43CAC" w:rsidRDefault="0071071A" w:rsidP="00B43CAC">
      <w:pPr>
        <w:keepNext/>
      </w:pPr>
      <w:r w:rsidRPr="00E044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3925FB3" wp14:editId="316E37BC">
            <wp:extent cx="5986463" cy="2901485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7112" t="6067" r="4310" b="11474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9014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043B86" w14:textId="7C54324F" w:rsidR="007E7F57" w:rsidRPr="00B43CAC" w:rsidRDefault="00B43CAC" w:rsidP="00B43CAC">
      <w:pPr>
        <w:pStyle w:val="Caption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43CAC">
        <w:rPr>
          <w:color w:val="000000" w:themeColor="text1"/>
          <w:sz w:val="22"/>
          <w:szCs w:val="22"/>
        </w:rPr>
        <w:t xml:space="preserve">Fig 4. </w:t>
      </w:r>
      <w:proofErr w:type="spellStart"/>
      <w:r w:rsidRPr="00B43CAC">
        <w:rPr>
          <w:color w:val="000000" w:themeColor="text1"/>
          <w:sz w:val="22"/>
          <w:szCs w:val="22"/>
        </w:rPr>
        <w:t>Struktura</w:t>
      </w:r>
      <w:proofErr w:type="spellEnd"/>
      <w:r w:rsidRPr="00B43CAC">
        <w:rPr>
          <w:color w:val="000000" w:themeColor="text1"/>
          <w:sz w:val="22"/>
          <w:szCs w:val="22"/>
        </w:rPr>
        <w:t xml:space="preserve"> e trading</w:t>
      </w:r>
    </w:p>
    <w:p w14:paraId="0B6C4D30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DAAFF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F083D" w14:textId="77777777" w:rsid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fuzrrggyvh52" w:colFirst="0" w:colLast="0"/>
      <w:bookmarkEnd w:id="9"/>
    </w:p>
    <w:p w14:paraId="047F4E76" w14:textId="22F1BA5E" w:rsid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7626" w14:textId="77777777" w:rsidR="0071071A" w:rsidRPr="0071071A" w:rsidRDefault="0071071A" w:rsidP="0071071A"/>
    <w:p w14:paraId="5395C4D7" w14:textId="205C002C" w:rsidR="007E7F57" w:rsidRPr="0071071A" w:rsidRDefault="0071071A" w:rsidP="0071071A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71071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Përfundimi</w:t>
      </w:r>
      <w:proofErr w:type="spellEnd"/>
    </w:p>
    <w:p w14:paraId="33AD3B88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19891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D6A314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përfundim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(AI)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efikasitetit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zhvilluar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parandaluar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mashtruese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B1D24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Megjithatë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ka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integrimin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tilla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sulmeve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gjeneruara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potenciali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manipuluar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9D6FA" w14:textId="77777777" w:rsidR="007E7F57" w:rsidRPr="00E044CD" w:rsidRDefault="0071071A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ende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relativisht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eksploruar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përket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rreziqeve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evoluojë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jetë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studiuesit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praktikuesit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bashku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adresuar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sfidat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maksimizuar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hapësirën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91A0D" w14:textId="77777777" w:rsidR="007E7F57" w:rsidRPr="00E044CD" w:rsidRDefault="007E7F57" w:rsidP="007107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92768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39B3F3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05B92BBA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7E3DD4FB" w14:textId="12A3633C" w:rsidR="007E7F57" w:rsidRDefault="007E7F57" w:rsidP="000F58B3">
      <w:pPr>
        <w:rPr>
          <w:rFonts w:ascii="Times New Roman" w:hAnsi="Times New Roman" w:cs="Times New Roman"/>
        </w:rPr>
      </w:pPr>
    </w:p>
    <w:p w14:paraId="2122AE32" w14:textId="4A816CE2" w:rsidR="000F58B3" w:rsidRDefault="000F58B3" w:rsidP="000F58B3">
      <w:pPr>
        <w:rPr>
          <w:rFonts w:ascii="Times New Roman" w:hAnsi="Times New Roman" w:cs="Times New Roman"/>
        </w:rPr>
      </w:pPr>
    </w:p>
    <w:p w14:paraId="623B0732" w14:textId="0D8FF4FD" w:rsidR="000F58B3" w:rsidRDefault="000F58B3" w:rsidP="000F58B3">
      <w:pPr>
        <w:rPr>
          <w:rFonts w:ascii="Times New Roman" w:hAnsi="Times New Roman" w:cs="Times New Roman"/>
        </w:rPr>
      </w:pPr>
    </w:p>
    <w:p w14:paraId="66B64FFF" w14:textId="7B27CB6A" w:rsidR="000F58B3" w:rsidRDefault="000F58B3" w:rsidP="000F58B3">
      <w:pPr>
        <w:rPr>
          <w:rFonts w:ascii="Times New Roman" w:hAnsi="Times New Roman" w:cs="Times New Roman"/>
        </w:rPr>
      </w:pPr>
    </w:p>
    <w:p w14:paraId="40B3A349" w14:textId="468BF213" w:rsidR="000F58B3" w:rsidRDefault="000F58B3" w:rsidP="000F58B3">
      <w:pPr>
        <w:rPr>
          <w:rFonts w:ascii="Times New Roman" w:hAnsi="Times New Roman" w:cs="Times New Roman"/>
        </w:rPr>
      </w:pPr>
    </w:p>
    <w:p w14:paraId="01D2927B" w14:textId="064A286B" w:rsidR="000F58B3" w:rsidRDefault="000F58B3" w:rsidP="000F58B3">
      <w:pPr>
        <w:rPr>
          <w:rFonts w:ascii="Times New Roman" w:hAnsi="Times New Roman" w:cs="Times New Roman"/>
        </w:rPr>
      </w:pPr>
    </w:p>
    <w:p w14:paraId="65FD3908" w14:textId="3E81E687" w:rsidR="000F58B3" w:rsidRDefault="000F58B3" w:rsidP="000F58B3">
      <w:pPr>
        <w:rPr>
          <w:rFonts w:ascii="Times New Roman" w:hAnsi="Times New Roman" w:cs="Times New Roman"/>
        </w:rPr>
      </w:pPr>
    </w:p>
    <w:p w14:paraId="1875928D" w14:textId="7183E5F7" w:rsidR="000F58B3" w:rsidRDefault="000F58B3" w:rsidP="000F58B3">
      <w:pPr>
        <w:rPr>
          <w:rFonts w:ascii="Times New Roman" w:hAnsi="Times New Roman" w:cs="Times New Roman"/>
        </w:rPr>
      </w:pPr>
    </w:p>
    <w:p w14:paraId="6C1A1E27" w14:textId="4103ADE3" w:rsidR="000F58B3" w:rsidRDefault="000F58B3" w:rsidP="000F58B3">
      <w:pPr>
        <w:rPr>
          <w:rFonts w:ascii="Times New Roman" w:hAnsi="Times New Roman" w:cs="Times New Roman"/>
        </w:rPr>
      </w:pPr>
    </w:p>
    <w:p w14:paraId="4532B0B6" w14:textId="44B20863" w:rsidR="000F58B3" w:rsidRDefault="000F58B3" w:rsidP="000F58B3">
      <w:pPr>
        <w:rPr>
          <w:rFonts w:ascii="Times New Roman" w:hAnsi="Times New Roman" w:cs="Times New Roman"/>
        </w:rPr>
      </w:pPr>
    </w:p>
    <w:p w14:paraId="7CF8A8BC" w14:textId="6A6E2E47" w:rsidR="000F58B3" w:rsidRDefault="000F58B3" w:rsidP="000F58B3">
      <w:pPr>
        <w:rPr>
          <w:rFonts w:ascii="Times New Roman" w:hAnsi="Times New Roman" w:cs="Times New Roman"/>
        </w:rPr>
      </w:pPr>
    </w:p>
    <w:p w14:paraId="1FF24EE8" w14:textId="2DC9F073" w:rsidR="000F58B3" w:rsidRDefault="000F58B3" w:rsidP="000F58B3">
      <w:pPr>
        <w:rPr>
          <w:rFonts w:ascii="Times New Roman" w:hAnsi="Times New Roman" w:cs="Times New Roman"/>
        </w:rPr>
      </w:pPr>
    </w:p>
    <w:p w14:paraId="371A4145" w14:textId="0546D793" w:rsidR="000F58B3" w:rsidRDefault="000F58B3" w:rsidP="000F58B3">
      <w:pPr>
        <w:rPr>
          <w:rFonts w:ascii="Times New Roman" w:hAnsi="Times New Roman" w:cs="Times New Roman"/>
        </w:rPr>
      </w:pPr>
    </w:p>
    <w:p w14:paraId="09C8DE46" w14:textId="7A03DBEC" w:rsidR="000F58B3" w:rsidRDefault="000F58B3" w:rsidP="000F58B3">
      <w:pPr>
        <w:rPr>
          <w:rFonts w:ascii="Times New Roman" w:hAnsi="Times New Roman" w:cs="Times New Roman"/>
        </w:rPr>
      </w:pPr>
    </w:p>
    <w:p w14:paraId="0118EB4B" w14:textId="77777777" w:rsidR="000F58B3" w:rsidRPr="00E044CD" w:rsidRDefault="000F58B3" w:rsidP="000F58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0ACED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96D0CB" w14:textId="370A977A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4EDA3" w14:textId="77777777" w:rsidR="007E7F57" w:rsidRPr="00E044CD" w:rsidRDefault="007E7F57">
      <w:pPr>
        <w:rPr>
          <w:rFonts w:ascii="Times New Roman" w:hAnsi="Times New Roman" w:cs="Times New Roman"/>
          <w:highlight w:val="white"/>
        </w:rPr>
      </w:pPr>
    </w:p>
    <w:p w14:paraId="20AD63A7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36D4C48D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1B85289F" w14:textId="33D78577" w:rsidR="007E7F57" w:rsidRDefault="007E7F57">
      <w:pPr>
        <w:rPr>
          <w:rFonts w:ascii="Times New Roman" w:hAnsi="Times New Roman" w:cs="Times New Roman"/>
        </w:rPr>
      </w:pPr>
    </w:p>
    <w:p w14:paraId="6E27E64B" w14:textId="0BBAB0B4" w:rsidR="0071071A" w:rsidRDefault="0071071A">
      <w:pPr>
        <w:rPr>
          <w:rFonts w:ascii="Times New Roman" w:hAnsi="Times New Roman" w:cs="Times New Roman"/>
        </w:rPr>
      </w:pPr>
    </w:p>
    <w:p w14:paraId="14199AC5" w14:textId="77777777" w:rsidR="0071071A" w:rsidRPr="00E044CD" w:rsidRDefault="0071071A">
      <w:pPr>
        <w:rPr>
          <w:rFonts w:ascii="Times New Roman" w:hAnsi="Times New Roman" w:cs="Times New Roman"/>
        </w:rPr>
      </w:pPr>
    </w:p>
    <w:p w14:paraId="5E74159B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DBDD7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8B579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sz w:val="22"/>
          <w:szCs w:val="22"/>
        </w:rPr>
        <w:id w:val="1480733800"/>
        <w:docPartObj>
          <w:docPartGallery w:val="Bibliographies"/>
          <w:docPartUnique/>
        </w:docPartObj>
      </w:sdtPr>
      <w:sdtContent>
        <w:p w14:paraId="632549AA" w14:textId="15C2754B" w:rsidR="009E292F" w:rsidRPr="0071071A" w:rsidRDefault="009E292F" w:rsidP="0071071A">
          <w:pPr>
            <w:pStyle w:val="Heading1"/>
            <w:jc w:val="center"/>
            <w:rPr>
              <w:rFonts w:ascii="Times New Roman" w:hAnsi="Times New Roman" w:cs="Times New Roman"/>
              <w:b/>
              <w:sz w:val="32"/>
            </w:rPr>
          </w:pPr>
          <w:proofErr w:type="spellStart"/>
          <w:r w:rsidRPr="0071071A">
            <w:rPr>
              <w:rFonts w:ascii="Times New Roman" w:hAnsi="Times New Roman" w:cs="Times New Roman"/>
              <w:b/>
              <w:sz w:val="32"/>
            </w:rPr>
            <w:t>Referencat</w:t>
          </w:r>
          <w:proofErr w:type="spellEnd"/>
        </w:p>
        <w:sdt>
          <w:sdtPr>
            <w:id w:val="-573587230"/>
            <w:bibliography/>
          </w:sdtPr>
          <w:sdtContent>
            <w:p w14:paraId="27872B87" w14:textId="77777777" w:rsidR="009E292F" w:rsidRDefault="009E292F" w:rsidP="000F58B3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515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66"/>
                <w:gridCol w:w="66"/>
                <w:gridCol w:w="66"/>
                <w:gridCol w:w="66"/>
                <w:gridCol w:w="66"/>
                <w:gridCol w:w="66"/>
                <w:gridCol w:w="9487"/>
              </w:tblGrid>
              <w:tr w:rsidR="000F58B3" w14:paraId="238823B1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6C50F8DC" w14:textId="52524AD5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17" w:type="pct"/>
                  </w:tcPr>
                  <w:p w14:paraId="7A29E9E6" w14:textId="36AE28BF" w:rsid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1BF5667" w14:textId="38439C9C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4974F9D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5560798F" w14:textId="133DEB35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6B3052D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37630EC5" w14:textId="5B6C5984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761486D7" w14:textId="77777777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"RESEARCH ARTICLE "HyVADRF: Hybrid VADER–Random Forest and GWO for Bitcoin </w:t>
                    </w:r>
                  </w:p>
                  <w:p w14:paraId="05B94F48" w14:textId="1A85AA0A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Twee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t Sentiment Analysis"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. Available: https://ieeexplore.ieee.org/stamp/stamp.jsp?arnumber</w:t>
                    </w:r>
                  </w:p>
                  <w:p w14:paraId="7967F0A7" w14:textId="0C85D7ED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=9903427.</w:t>
                    </w:r>
                  </w:p>
                </w:tc>
              </w:tr>
              <w:tr w:rsidR="000F58B3" w14:paraId="4277BBF0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38CDFBDE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17" w:type="pct"/>
                  </w:tcPr>
                  <w:p w14:paraId="3A04CFF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557B2329" w14:textId="34FF1CE8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9ABF021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16316393" w14:textId="27A17FAE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5D09C44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5010B27C" w14:textId="7CDA8295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2CDFB61B" w14:textId="3C986847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"IEEE ACCESS "Cryptocurrencies and Artificial Intelligence:Challeng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es and Opportunities"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.</w:t>
                    </w:r>
                  </w:p>
                  <w:p w14:paraId="514440D3" w14:textId="312328C4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 Available: https://ieeexplore.ieee.org/stamp/stamp.jsp?arnumber=9200988.</w:t>
                    </w:r>
                  </w:p>
                </w:tc>
              </w:tr>
              <w:tr w:rsidR="000F58B3" w14:paraId="3A36AF64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0671C580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17" w:type="pct"/>
                  </w:tcPr>
                  <w:p w14:paraId="6E6565AF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922DE1E" w14:textId="65AB0ED8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1F4D8AA9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0B2BA79" w14:textId="54280B7D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93FDE26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1DE3D49B" w14:textId="0F07CC93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1D14D97A" w14:textId="13DA0C10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"IEEE ACCESS "he 51% Attack on Blockchains:A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 Mining Behavior Study"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. Available: </w:t>
                    </w:r>
                  </w:p>
                  <w:p w14:paraId="55B274C6" w14:textId="1D59E78D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https://ieeexplore.ieee.org/stamp/stamp.jsp?arnumber=9567686.</w:t>
                    </w:r>
                  </w:p>
                </w:tc>
              </w:tr>
              <w:tr w:rsidR="000F58B3" w14:paraId="4E9AF3A8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5EF3528A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17" w:type="pct"/>
                  </w:tcPr>
                  <w:p w14:paraId="2BF169F1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3D73BC6" w14:textId="42FAD606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8BC411E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8DDE889" w14:textId="7CCD3D79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A257FED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25DC65E6" w14:textId="623A1ADD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30D181CE" w14:textId="27657DD9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"Springer Li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nk "CryptoCurrencies"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. Available: https://link.springer.com/article/10.1007/s11276</w:t>
                    </w:r>
                  </w:p>
                  <w:p w14:paraId="37B24F5A" w14:textId="43E7DB36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-021-02874-/.</w:t>
                    </w:r>
                  </w:p>
                </w:tc>
              </w:tr>
              <w:tr w:rsidR="000F58B3" w14:paraId="0386F812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29824435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17" w:type="pct"/>
                  </w:tcPr>
                  <w:p w14:paraId="4D7E551A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2ABE661B" w14:textId="6779FA25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CE74796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AD1F280" w14:textId="191B06F9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478DE2E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4876A1D6" w14:textId="3BA999AA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37673BC5" w14:textId="77777777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"IEEE ACCESS "A Self-Adaptive Deep Learning-Based Algorithm for Predictive Analysis of Bitcoin </w:t>
                    </w:r>
                  </w:p>
                  <w:p w14:paraId="057F665F" w14:textId="747D1152" w:rsidR="009E292F" w:rsidRPr="0088722F" w:rsidRDefault="008872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Price"</w:t>
                    </w:r>
                    <w:r w:rsidR="009E292F" w:rsidRPr="0088722F">
                      <w:rPr>
                        <w:rFonts w:ascii="Times New Roman" w:hAnsi="Times New Roman" w:cs="Times New Roman"/>
                        <w:noProof/>
                      </w:rPr>
                      <w:t>. Available: https://ieeexplore.ieee.org/stamp/stamp.jsp?arnumber=9359745.</w:t>
                    </w:r>
                  </w:p>
                </w:tc>
              </w:tr>
              <w:tr w:rsidR="000F58B3" w14:paraId="0D3819AD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6BE78ECC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17" w:type="pct"/>
                  </w:tcPr>
                  <w:p w14:paraId="74EEBCE3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2A80B698" w14:textId="0293A35C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4106BEEE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692A124" w14:textId="0FB22A20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367A34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3CDC7EDF" w14:textId="5BF0793B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7E7F45BA" w14:textId="4663668A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"IEEE ACCESS "Approaches to Overpower Proof-of-Work Blockcha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ins Despite Minority"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.</w:t>
                    </w:r>
                  </w:p>
                  <w:p w14:paraId="2D5E1428" w14:textId="0E6CC99D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 Available: https://ieeexplore.ieee.org/stamp/stamp.jsp?arnumber=10006812.</w:t>
                    </w:r>
                  </w:p>
                </w:tc>
              </w:tr>
              <w:tr w:rsidR="000F58B3" w14:paraId="4E01BA28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3C3DBED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17" w:type="pct"/>
                  </w:tcPr>
                  <w:p w14:paraId="47AC546B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DF4EF68" w14:textId="05D140B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71E5D75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5F8911F7" w14:textId="3AD777DE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9313C35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6E3053BE" w14:textId="29EFA24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2713FB09" w14:textId="79F685FE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"Springer Link "Semantic analysis of blockchain intelligence with propo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sed agenda for future issues"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. Available: Semantic analysis of blockchain intelligence with proposed agenda for future issues | </w:t>
                    </w:r>
                  </w:p>
                  <w:p w14:paraId="27CF1267" w14:textId="4701B1EF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SpringerLink.</w:t>
                    </w:r>
                  </w:p>
                </w:tc>
              </w:tr>
              <w:tr w:rsidR="000F58B3" w14:paraId="2FCAF7F7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334F67F9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17" w:type="pct"/>
                  </w:tcPr>
                  <w:p w14:paraId="69731213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2B789443" w14:textId="392F5F98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4E91054C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45E038B8" w14:textId="62F43B3A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E779116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3DE4B35F" w14:textId="20DFA2DC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3E91206E" w14:textId="77777777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"IEEE ACCESS "A Comprehensive Review of Denial of Service Attacks in Blockchain Ecosystem and </w:t>
                    </w:r>
                  </w:p>
                  <w:p w14:paraId="08549453" w14:textId="04068305" w:rsidR="009E292F" w:rsidRPr="0088722F" w:rsidRDefault="008872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Open Challenges"</w:t>
                    </w:r>
                    <w:r w:rsidR="009E292F" w:rsidRPr="0088722F">
                      <w:rPr>
                        <w:rFonts w:ascii="Times New Roman" w:hAnsi="Times New Roman" w:cs="Times New Roman"/>
                        <w:noProof/>
                      </w:rPr>
                      <w:t>. Available: https://ieeexplore.ieee.org/stamp/stamp.jsp?arnumber=9881505.</w:t>
                    </w:r>
                  </w:p>
                </w:tc>
              </w:tr>
              <w:tr w:rsidR="000F58B3" w14:paraId="0EC8D5F3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189780F8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17" w:type="pct"/>
                  </w:tcPr>
                  <w:p w14:paraId="7308A9E4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7868869" w14:textId="7E894428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09CFA933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2916CA2B" w14:textId="2C851DA9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572B1EE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7676FCAB" w14:textId="0C05D78E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74CCC217" w14:textId="4CFF24A9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""Semantic analysis of blockchain intelligence with proposed agen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da for future issues"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. Available: </w:t>
                    </w:r>
                  </w:p>
                  <w:p w14:paraId="073B7374" w14:textId="6095FB0B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https://link.springer.com/article/10.1007/s13198-023-01862-y.</w:t>
                    </w:r>
                  </w:p>
                </w:tc>
              </w:tr>
              <w:tr w:rsidR="000F58B3" w14:paraId="252718A4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49C49694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17" w:type="pct"/>
                  </w:tcPr>
                  <w:p w14:paraId="456FBF55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4AE8A299" w14:textId="2E6A774E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125CF503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1749DC12" w14:textId="7E9AC3F8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0577E89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0FDB460C" w14:textId="2C4D663A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7BF81EDF" w14:textId="57C25B83" w:rsidR="009E292F" w:rsidRPr="0088722F" w:rsidRDefault="000F58B3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</w:t>
                    </w:r>
                    <w:r w:rsidR="009E292F" w:rsidRPr="0088722F">
                      <w:rPr>
                        <w:rFonts w:ascii="Times New Roman" w:hAnsi="Times New Roman" w:cs="Times New Roman"/>
                        <w:noProof/>
                      </w:rPr>
                      <w:t>6G technology and taxonomy of attacks on b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lockchain technology"</w:t>
                    </w:r>
                    <w:r w:rsidR="009E292F" w:rsidRPr="0088722F">
                      <w:rPr>
                        <w:rFonts w:ascii="Times New Roman" w:hAnsi="Times New Roman" w:cs="Times New Roman"/>
                        <w:noProof/>
                      </w:rPr>
                      <w:t>. Available: https://reader.elsevier.com/reader/sd/pii/S1110016821006530?token=8DC08F981FDDFD6BCC8B05F0</w:t>
                    </w:r>
                  </w:p>
                  <w:p w14:paraId="4148A514" w14:textId="77777777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CC9216B05E45E808EBC78887259F8EE5AC05CD9946FE6E222603D343E6FE723D1B7501D4&amp;origin</w:t>
                    </w:r>
                  </w:p>
                  <w:p w14:paraId="15D19AAA" w14:textId="78C539D5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Region=eu-west-1&amp;originCreation=20230315113533.</w:t>
                    </w:r>
                  </w:p>
                </w:tc>
              </w:tr>
              <w:tr w:rsidR="000F58B3" w14:paraId="0C9025EF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67E91DD9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17" w:type="pct"/>
                  </w:tcPr>
                  <w:p w14:paraId="434752BC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7967F00" w14:textId="6B0BEB1B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96AB759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10D28C4" w14:textId="13302792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885074C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286A822A" w14:textId="279E21D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752AF89A" w14:textId="21CC5085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"SURVEY "Approaches to Overpower Proof-of-Work Blockcha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ins Despite Minority"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. Available: https://ieeexplore.ieee.org/stamp/stamp.jsp?arnumber=10006812.</w:t>
                    </w:r>
                  </w:p>
                </w:tc>
              </w:tr>
              <w:tr w:rsidR="000F58B3" w14:paraId="510FC783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110BEA3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17" w:type="pct"/>
                  </w:tcPr>
                  <w:p w14:paraId="380AA48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5509A32B" w14:textId="223DCDBE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D8A496F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50896B3A" w14:textId="4E08AAB9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22D5C209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1F68A9F2" w14:textId="2275F8C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1124EFCA" w14:textId="049CB36B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 xml:space="preserve">"Springer Link "Cryptocurrency trading: a 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comprehensive survey"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. Available: https://link.springer.com/article/10.1186/s40854-021-00321-6.</w:t>
                    </w:r>
                  </w:p>
                </w:tc>
              </w:tr>
              <w:tr w:rsidR="000F58B3" w14:paraId="59C9EB23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6565D018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17" w:type="pct"/>
                  </w:tcPr>
                  <w:p w14:paraId="134C9DCC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51272CA1" w14:textId="0B5692DB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338D123E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2A3A779E" w14:textId="7D2FF313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12310A1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457E5A21" w14:textId="7D81A1A4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0DED0AF4" w14:textId="6B27114A" w:rsidR="009E292F" w:rsidRPr="008872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"SpringerOpen "Detection of illicit cryptomining us</w:t>
                    </w:r>
                    <w:r w:rsidR="0088722F" w:rsidRPr="0088722F">
                      <w:rPr>
                        <w:rFonts w:ascii="Times New Roman" w:hAnsi="Times New Roman" w:cs="Times New Roman"/>
                        <w:noProof/>
                      </w:rPr>
                      <w:t>ing network metadata"</w:t>
                    </w:r>
                    <w:r w:rsidRPr="0088722F">
                      <w:rPr>
                        <w:rFonts w:ascii="Times New Roman" w:hAnsi="Times New Roman" w:cs="Times New Roman"/>
                        <w:noProof/>
                      </w:rPr>
                      <w:t>. Available: Detection of illicit cryptomining using network metadata | EURASIP Journal on Information Security | Full Text (springeropen.com).</w:t>
                    </w:r>
                  </w:p>
                </w:tc>
              </w:tr>
              <w:tr w:rsidR="000F58B3" w14:paraId="429927C6" w14:textId="77777777" w:rsidTr="0088722F">
                <w:trPr>
                  <w:divId w:val="530411554"/>
                  <w:tblCellSpacing w:w="15" w:type="dxa"/>
                </w:trPr>
                <w:tc>
                  <w:tcPr>
                    <w:tcW w:w="192" w:type="pct"/>
                    <w:hideMark/>
                  </w:tcPr>
                  <w:p w14:paraId="324E75E8" w14:textId="3F45F633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E292F"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17" w:type="pct"/>
                  </w:tcPr>
                  <w:p w14:paraId="4370FC67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6B0D0FC1" w14:textId="7D4E6476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4A9EEB0B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7DC2D45B" w14:textId="4601B58E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17" w:type="pct"/>
                  </w:tcPr>
                  <w:p w14:paraId="1E6E6E12" w14:textId="77777777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24" w:type="pct"/>
                  </w:tcPr>
                  <w:p w14:paraId="13F8D95A" w14:textId="6941DAA9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4566" w:type="pct"/>
                    <w:hideMark/>
                  </w:tcPr>
                  <w:p w14:paraId="070E171B" w14:textId="2B05D416" w:rsidR="009E292F" w:rsidRPr="009E292F" w:rsidRDefault="009E292F" w:rsidP="000F58B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</w:tr>
            </w:tbl>
            <w:p w14:paraId="08979CEB" w14:textId="77777777" w:rsidR="009E292F" w:rsidRDefault="009E292F" w:rsidP="000F58B3">
              <w:pPr>
                <w:jc w:val="both"/>
                <w:divId w:val="530411554"/>
                <w:rPr>
                  <w:rFonts w:eastAsia="Times New Roman"/>
                  <w:noProof/>
                </w:rPr>
              </w:pPr>
            </w:p>
            <w:p w14:paraId="57809E58" w14:textId="451DCCDB" w:rsidR="007E7F57" w:rsidRPr="001B49AE" w:rsidRDefault="009E292F" w:rsidP="001B49AE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10" w:name="_x8dva59zxrx9" w:colFirst="0" w:colLast="0" w:displacedByCustomXml="prev"/>
    <w:bookmarkEnd w:id="10" w:displacedByCustomXml="prev"/>
    <w:bookmarkStart w:id="11" w:name="_f6gkedy0sfho" w:colFirst="0" w:colLast="0" w:displacedByCustomXml="prev"/>
    <w:bookmarkEnd w:id="11" w:displacedByCustomXml="prev"/>
    <w:sectPr w:rsidR="007E7F57" w:rsidRPr="001B49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57"/>
    <w:rsid w:val="000F58B3"/>
    <w:rsid w:val="001B49AE"/>
    <w:rsid w:val="00350208"/>
    <w:rsid w:val="0071071A"/>
    <w:rsid w:val="007A4022"/>
    <w:rsid w:val="007E7F57"/>
    <w:rsid w:val="0088722F"/>
    <w:rsid w:val="009E292F"/>
    <w:rsid w:val="00B43CAC"/>
    <w:rsid w:val="00CC746F"/>
    <w:rsid w:val="00E044CD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27D"/>
  <w15:docId w15:val="{88C0FDF6-81D2-4EF7-9E3E-9B3B3D77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044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292F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9E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RES</b:Tag>
    <b:SourceType>InternetSite</b:SourceType>
    <b:Guid>{35FF4944-9546-4886-B84F-246609992591}</b:Guid>
    <b:Title>RESEARCH ARTICLE "HyVADRF: Hybrid VADER–Random Forest and GWO for Bitcoin Tweet Sentiment Analysis"</b:Title>
    <b:URL>https://ieeexplore.ieee.org/stamp/stamp.jsp?arnumber=9903427</b:URL>
    <b:RefOrder>1</b:RefOrder>
  </b:Source>
  <b:Source>
    <b:Tag>IEE</b:Tag>
    <b:SourceType>InternetSite</b:SourceType>
    <b:Guid>{A42989F3-8DEC-46A7-BC87-AB820122B5E6}</b:Guid>
    <b:Title>IEEE ACCESS "Cryptocurrencies and Artificial Intelligence:Challenges and Opportunities"</b:Title>
    <b:URL>https://ieeexplore.ieee.org/stamp/stamp.jsp?arnumber=9200988</b:URL>
    <b:RefOrder>2</b:RefOrder>
  </b:Source>
  <b:Source>
    <b:Tag>Spr</b:Tag>
    <b:SourceType>InternetSite</b:SourceType>
    <b:Guid>{87F224CA-3EC9-476C-BD64-FEE1264AD7CE}</b:Guid>
    <b:Title>Springer Link "CryptoCurrencies"</b:Title>
    <b:URL>https://link.springer.com/article/10.1007/s11276-021-02874-/</b:URL>
    <b:RefOrder>4</b:RefOrder>
  </b:Source>
  <b:Source>
    <b:Tag>IEE1</b:Tag>
    <b:SourceType>InternetSite</b:SourceType>
    <b:Guid>{DC04460D-2BA9-446B-B420-E9E69AD03364}</b:Guid>
    <b:Title>IEEE ACCESS "A Self-Adaptive Deep Learning-Based Algorithm for Predictive Analysis of Bitcoin Price"</b:Title>
    <b:URL>https://ieeexplore.ieee.org/stamp/stamp.jsp?arnumber=9359745</b:URL>
    <b:RefOrder>5</b:RefOrder>
  </b:Source>
  <b:Source>
    <b:Tag>IEE2</b:Tag>
    <b:SourceType>InternetSite</b:SourceType>
    <b:Guid>{3B23DD65-8602-4B54-AF32-A1977911A0B7}</b:Guid>
    <b:Title>IEEE ACCESS  "Approaches to Overpower Proof-of-Work Blockchains Despite Minority"</b:Title>
    <b:URL>https://ieeexplore.ieee.org/stamp/stamp.jsp?arnumber=10006812</b:URL>
    <b:RefOrder>6</b:RefOrder>
  </b:Source>
  <b:Source>
    <b:Tag>Spr1</b:Tag>
    <b:SourceType>InternetSite</b:SourceType>
    <b:Guid>{0BEA1526-0479-4333-84E5-5C84683D9E07}</b:Guid>
    <b:Title>Springer Link "Semantic analysis of blockchain intelligence with proposed agenda for future issues"</b:Title>
    <b:URL>Semantic analysis of blockchain intelligence with proposed agenda for future issues | SpringerLink</b:URL>
    <b:RefOrder>7</b:RefOrder>
  </b:Source>
  <b:Source>
    <b:Tag>IEE3</b:Tag>
    <b:SourceType>InternetSite</b:SourceType>
    <b:Guid>{95A610D8-96E0-4277-9909-8CDAD6F8A6EC}</b:Guid>
    <b:Title>IEEE ACCESS "A Comprehensive Review of Denial of Service Attacks in Blockchain Ecosystem and Open Challenges"</b:Title>
    <b:URL>https://ieeexplore.ieee.org/stamp/stamp.jsp?arnumber=9881505</b:URL>
    <b:RefOrder>8</b:RefOrder>
  </b:Source>
  <b:Source>
    <b:Tag>6Gt</b:Tag>
    <b:SourceType>InternetSite</b:SourceType>
    <b:Guid>{64FB0A38-929E-49AC-AE06-DFC16C6044D5}</b:Guid>
    <b:Title>"6G technology and taxonomy of attacks on blockchain technology"</b:Title>
    <b:URL>https://reader.elsevier.com/reader/sd/pii/S1110016821006530?token=8DC08F981FDDFD6BCC8B05F0CC9216B05E45E808EBC78887259F8EE5AC05CD9946FE6E222603D343E6FE723D1B7501D4&amp;originRegion=eu-west-1&amp;originCreation=20230315113533</b:URL>
    <b:RefOrder>10</b:RefOrder>
  </b:Source>
  <b:Source>
    <b:Tag>SUR</b:Tag>
    <b:SourceType>InternetSite</b:SourceType>
    <b:Guid>{12E78AA0-010F-467B-B50F-14057BD2BBD5}</b:Guid>
    <b:Title>SURVEY "Approaches to Overpower Proof-of-Work Blockchains Despite Minority"</b:Title>
    <b:URL>https://ieeexplore.ieee.org/stamp/stamp.jsp?arnumber=10006812</b:URL>
    <b:RefOrder>11</b:RefOrder>
  </b:Source>
  <b:Source>
    <b:Tag>Spr2</b:Tag>
    <b:SourceType>InternetSite</b:SourceType>
    <b:Guid>{DB96A885-250D-4F40-BCDB-65617FA7F25C}</b:Guid>
    <b:Title>Springer Link "Cryptocurrency trading: a comprehensive survey"</b:Title>
    <b:URL>https://link.springer.com/article/10.1186/s40854-021-00321-6</b:URL>
    <b:RefOrder>12</b:RefOrder>
  </b:Source>
  <b:Source>
    <b:Tag>Spr3</b:Tag>
    <b:SourceType>InternetSite</b:SourceType>
    <b:Guid>{43770479-8AE0-427B-9BDD-5D14AD6D4E44}</b:Guid>
    <b:Title>SpringerOpen "Detection of illicit cryptomining using network metadata"</b:Title>
    <b:URL>Detection of illicit cryptomining using network metadata | EURASIP Journal on Information Security | Full Text (springeropen.com)</b:URL>
    <b:RefOrder>13</b:RefOrder>
  </b:Source>
  <b:Source>
    <b:Tag>Sem</b:Tag>
    <b:SourceType>InternetSite</b:SourceType>
    <b:Guid>{A56E81C1-1CAA-4D34-96CF-4F95F9F22021}</b:Guid>
    <b:Title>"Semantic analysis of blockchain intelligence with proposed agenda for future issues"</b:Title>
    <b:URL>https://link.springer.com/article/10.1007/s13198-023-01862-y</b:URL>
    <b:RefOrder>9</b:RefOrder>
  </b:Source>
  <b:Source>
    <b:Tag>IEE4</b:Tag>
    <b:SourceType>InternetSite</b:SourceType>
    <b:Guid>{DD74EE0F-2453-43F5-9E7D-3B2BFB427206}</b:Guid>
    <b:Title>IEEE ACCESS "he 51% Attack on Blockchains:A Mining Behavior Study"</b:Title>
    <b:URL>https://ieeexplore.ieee.org/stamp/stamp.jsp?arnumber=9567686</b:URL>
    <b:RefOrder>3</b:RefOrder>
  </b:Source>
  <b:Source>
    <b:Tag>IEE5</b:Tag>
    <b:SourceType>InternetSite</b:SourceType>
    <b:Guid>{DF89969B-66C9-4C5C-93AE-2C68B2201DD0}</b:Guid>
    <b:Title>IEEE ACCESS "The 51% Attack on Blockchains:A Mining Behavior Study"</b:Title>
    <b:URL>https://ieeexplore.ieee.org/stamp/stamp.jsp?arnumber=9567686</b:URL>
    <b:RefOrder>14</b:RefOrder>
  </b:Source>
</b:Sources>
</file>

<file path=customXml/itemProps1.xml><?xml version="1.0" encoding="utf-8"?>
<ds:datastoreItem xmlns:ds="http://schemas.openxmlformats.org/officeDocument/2006/customXml" ds:itemID="{35BECCBB-B6B4-4DDC-9FF0-4109D48A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3428</Words>
  <Characters>19541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Dafina`s laptop</dc:creator>
  <cp:lastModifiedBy>dafina sopa</cp:lastModifiedBy>
  <cp:revision>3</cp:revision>
  <dcterms:created xsi:type="dcterms:W3CDTF">2023-05-23T10:06:00Z</dcterms:created>
  <dcterms:modified xsi:type="dcterms:W3CDTF">2023-05-23T10:07:00Z</dcterms:modified>
</cp:coreProperties>
</file>