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264" w:lineRule="auto"/>
        <w:jc w:val="center"/>
      </w:pPr>
      <w:r>
        <w:rPr>
          <w:rFonts w:ascii="Coder Pro" w:hAnsi="Coder Pro" w:eastAsia="Coder Pro"/>
          <w:b/>
          <w:color w:val="D28A1A"/>
          <w:sz w:val="36"/>
        </w:rPr>
        <w:t>CASE STUDY</w:t>
      </w:r>
    </w:p>
    <w:p>
      <w:pPr>
        <w:spacing w:before="400" w:after="240" w:line="264" w:lineRule="auto"/>
        <w:jc w:val="center"/>
      </w:pPr>
      <w:r>
        <w:rPr>
          <w:rFonts w:ascii="Bebas Neue" w:hAnsi="Bebas Neue" w:eastAsia="Bebas Neue"/>
          <w:b w:val="0"/>
          <w:color w:val="002B24"/>
          <w:sz w:val="80"/>
        </w:rPr>
        <w:t>CASE STUDY KI-AUTOMATISIERUNG</w:t>
      </w:r>
    </w:p>
    <w:p>
      <w:pPr>
        <w:spacing w:before="80" w:after="360" w:line="264" w:lineRule="auto"/>
        <w:jc w:val="center"/>
      </w:pPr>
      <w:r>
        <w:rPr>
          <w:rFonts w:ascii="Coder Pro" w:hAnsi="Coder Pro" w:eastAsia="Coder Pro"/>
          <w:b/>
          <w:color w:val="1B1B1B"/>
          <w:sz w:val="26"/>
        </w:rPr>
        <w:t>Modellhafte Szenarien für wirtschaftliche Entlastung im Mittelstand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D9E8F7"/>
            <w:tcBorders>
              <w:top w:val="single" w:sz="14" w:space="0" w:color="2F73D8"/>
              <w:left w:val="single" w:sz="14" w:space="0" w:color="2F73D8"/>
              <w:bottom w:val="single" w:sz="14" w:space="0" w:color="2F73D8"/>
              <w:right w:val="single" w:sz="14" w:space="0" w:color="2F73D8"/>
              <w:insideH w:val="single" w:sz="14" w:space="0" w:color="2F73D8"/>
              <w:insideV w:val="single" w:sz="14" w:space="0" w:color="2F73D8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2F73D8"/>
                <w:sz w:val="22"/>
              </w:rPr>
              <w:t>HINWEIS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Diese Case Study ist eine modellhafte Ableitung aus dem vorhandenen Executive-Briefing-Material. Sie stellt keine echte Kundenreferenz dar und verwendet keine frei erfundenen Kundennamen.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DFF1E5"/>
            <w:tcBorders>
              <w:top w:val="single" w:sz="14" w:space="0" w:color="1F8B4C"/>
              <w:left w:val="single" w:sz="14" w:space="0" w:color="1F8B4C"/>
              <w:bottom w:val="single" w:sz="14" w:space="0" w:color="1F8B4C"/>
              <w:right w:val="single" w:sz="14" w:space="0" w:color="1F8B4C"/>
              <w:insideH w:val="single" w:sz="14" w:space="0" w:color="1F8B4C"/>
              <w:insideV w:val="single" w:sz="14" w:space="0" w:color="1F8B4C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1F8B4C"/>
                <w:sz w:val="22"/>
              </w:rPr>
              <w:t>ZIEL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Ziel ist eine klare, wirtschaftliche Darstellung typischer KI-Automatisierungsszenarien: Problem, Lösung, Ergebnis, ROI und nächster Handlungsschritt.</w:t>
            </w:r>
          </w:p>
        </w:tc>
      </w:tr>
    </w:tbl>
    <w:p>
      <w:pPr>
        <w:spacing w:after="20"/>
      </w:pPr>
    </w:p>
    <w:p>
      <w:pPr>
        <w:spacing w:before="360" w:after="0" w:line="264" w:lineRule="auto"/>
        <w:jc w:val="center"/>
      </w:pPr>
      <w:r>
        <w:rPr>
          <w:rFonts w:ascii="Coder Pro" w:hAnsi="Coder Pro" w:eastAsia="Coder Pro"/>
          <w:b/>
          <w:color w:val="002B24"/>
          <w:sz w:val="20"/>
        </w:rPr>
        <w:t>NUROVELLE · KI-SYSTEME · PROZESSAUTOMATISIERUNG · ROI</w:t>
      </w:r>
    </w:p>
    <w:p>
      <w:r>
        <w:br w:type="page"/>
      </w: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INHALTSVERZEICHNIS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Nr.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Abschnitt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Einordnung der Case Study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2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Ausgangslage im Mittelstand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3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Szenario A: Belegverarbeitung in einer Steuerkanzlei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4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Szenario B: Angebotserstellung im Handwerk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5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Szenario C: Produktbeschreibungen im E-Commerce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6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Vergleich der Szenarien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7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Gemeinsame Erfolgsfaktoren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8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Risiken und Gegenmaßnahmen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9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30-Tage-Fahrplan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10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Fazit und nächster Schritt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FF5B3"/>
            <w:tcBorders>
              <w:top w:val="single" w:sz="14" w:space="0" w:color="D6B000"/>
              <w:left w:val="single" w:sz="14" w:space="0" w:color="D6B000"/>
              <w:bottom w:val="single" w:sz="14" w:space="0" w:color="D6B000"/>
              <w:right w:val="single" w:sz="14" w:space="0" w:color="D6B000"/>
              <w:insideH w:val="single" w:sz="14" w:space="0" w:color="D6B000"/>
              <w:insideV w:val="single" w:sz="14" w:space="0" w:color="D6B000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D28A1A"/>
                <w:sz w:val="22"/>
              </w:rPr>
              <w:t>INFO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Das Inhaltsverzeichnis ist bewusst statisch aufgebaut. Kopf- und Fußzeile werden separat gesetzt.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1. EINORDNUNG DER CASE STUDY</w:t>
      </w:r>
    </w:p>
    <w:p>
      <w:pPr>
        <w:spacing w:before="0" w:after="140" w:line="264" w:lineRule="auto"/>
      </w:pPr>
      <w:r>
        <w:rPr>
          <w:rFonts w:ascii="Consolas" w:hAnsi="Consolas" w:eastAsia="Consolas"/>
          <w:b w:val="0"/>
        </w:rPr>
        <w:t>Diese Case Study fasst drei typische Automatisierungsszenarien zusammen, die im Executive Briefing bereits als praxisnahe Modellfälle beschrieben wurden. Der Schwerpunkt liegt auf wirtschaftlicher Entlastung, messbarer Zeitersparnis und realistischer Projektbewertung.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002B24"/>
            <w:tcBorders>
              <w:top w:val="single" w:sz="14" w:space="0" w:color="D4AF37"/>
              <w:left w:val="single" w:sz="14" w:space="0" w:color="D4AF37"/>
              <w:bottom w:val="single" w:sz="14" w:space="0" w:color="D4AF37"/>
              <w:right w:val="single" w:sz="14" w:space="0" w:color="D4AF37"/>
              <w:insideH w:val="single" w:sz="14" w:space="0" w:color="D4AF37"/>
              <w:insideV w:val="single" w:sz="14" w:space="0" w:color="D4AF37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D4AF37"/>
                <w:sz w:val="22"/>
              </w:rPr>
              <w:t>REGELBOX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FFFFFF"/>
                <w:sz w:val="19"/>
              </w:rPr>
              <w:t>Diese Case Study ist modellhaft. Sie darf nicht als echte Kundenreferenz, Referenzprojekt oder bestätigter Kundenfall verwendet werden.</w:t>
            </w:r>
          </w:p>
        </w:tc>
      </w:tr>
    </w:tbl>
    <w:p>
      <w:pPr>
        <w:spacing w:after="20"/>
      </w:pP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Zentrale Fragestellung</w:t>
      </w:r>
    </w:p>
    <w:p>
      <w:pPr>
        <w:spacing w:before="0" w:after="60" w:line="264" w:lineRule="auto"/>
      </w:pPr>
      <w:r>
        <w:rPr>
          <w:rFonts w:ascii="Consolas" w:hAnsi="Consolas" w:eastAsia="Consolas"/>
          <w:b w:val="0"/>
        </w:rPr>
        <w:t>Nicht die Tool-Auswahl steht am Anfang. Die erste Frage lautet: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DFF1E5"/>
            <w:tcBorders>
              <w:top w:val="single" w:sz="14" w:space="0" w:color="1F8B4C"/>
              <w:left w:val="single" w:sz="14" w:space="0" w:color="1F8B4C"/>
              <w:bottom w:val="single" w:sz="14" w:space="0" w:color="1F8B4C"/>
              <w:right w:val="single" w:sz="14" w:space="0" w:color="1F8B4C"/>
              <w:insideH w:val="single" w:sz="14" w:space="0" w:color="1F8B4C"/>
              <w:insideV w:val="single" w:sz="14" w:space="0" w:color="1F8B4C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1F8B4C"/>
                <w:sz w:val="22"/>
              </w:rPr>
              <w:t>ZIEL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Welcher wiederkehrende Prozess kostet heute messbar Zeit, Geld oder Qualität - und lässt sich mit klaren Regeln verbessern?</w:t>
            </w:r>
          </w:p>
        </w:tc>
      </w:tr>
    </w:tbl>
    <w:p>
      <w:pPr>
        <w:spacing w:after="20"/>
      </w:pP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2. AUSGANGSLAGE IM MITTELSTAND</w:t>
      </w:r>
    </w:p>
    <w:p>
      <w:pPr>
        <w:spacing w:before="0" w:after="140" w:line="264" w:lineRule="auto"/>
      </w:pPr>
      <w:r>
        <w:rPr>
          <w:rFonts w:ascii="Consolas" w:hAnsi="Consolas" w:eastAsia="Consolas"/>
          <w:b w:val="0"/>
        </w:rPr>
        <w:t>Viele mittelständische Unternehmen arbeiten mit gewachsenen Abläufen. Dokumente, E-Mails, Angebote und Produktdaten werden häufig manuell verarbeitet. Die Einzelaufgabe wirkt klein. Über Wochen und Monate entsteht daraus ein relevanter Kostenblock.</w:t>
      </w:r>
    </w:p>
    <w:p>
      <w:pPr>
        <w:spacing w:before="80" w:after="40" w:line="264" w:lineRule="auto"/>
      </w:pPr>
      <w:r>
        <w:rPr>
          <w:rFonts w:ascii="Coder Pro" w:hAnsi="Coder Pro" w:eastAsia="Coder Pro"/>
          <w:b/>
          <w:color w:val="D28A1A"/>
          <w:sz w:val="21"/>
        </w:rPr>
        <w:t>Typische Symptome: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Fachkräfte verlieren Zeit durch Routinearbeit.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Daten werden mehrfach übertragen.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Fehler entstehen durch manuelle Eingabe.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Antworten und Angebote gehen verzögert raus.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Mitarbeiter erledigen Verwaltungsarbeit statt wertschöpfender Aufgaben.</w:t>
      </w:r>
    </w:p>
    <w:p>
      <w:r>
        <w:br w:type="page"/>
      </w: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Geeignete Startprozesse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Merkmale geeigneter Startprozesse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Bedeutung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häufig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Der Prozess läuft täglich oder mehrfach pro Woche.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regelbasiert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Die Entscheidungsschritte lassen sich beschreiben.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digital verfügbar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Eingangsdaten liegen als E-Mail, PDF, Tabelle oder Systemdaten vor.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messbar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Zeitaufwand, Volumen und Fehler lassen sich vor und nach der Automatisierung vergleichen.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begrenztes Risiko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Sonderfälle bleiben beim Menschen.</w:t>
            </w:r>
          </w:p>
        </w:tc>
      </w:tr>
    </w:tbl>
    <w:p>
      <w:pPr>
        <w:spacing w:after="80"/>
      </w:pP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3. SZENARIO A: BELEGVERARBEITUNG IN EINER STEUERKANZLEI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0EDE2"/>
            <w:tcBorders>
              <w:top w:val="single" w:sz="14" w:space="0" w:color="8A5A12"/>
              <w:left w:val="single" w:sz="14" w:space="0" w:color="8A5A12"/>
              <w:bottom w:val="single" w:sz="14" w:space="0" w:color="8A5A12"/>
              <w:right w:val="single" w:sz="14" w:space="0" w:color="8A5A12"/>
              <w:insideH w:val="single" w:sz="14" w:space="0" w:color="8A5A12"/>
              <w:insideV w:val="single" w:sz="14" w:space="0" w:color="8A5A12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8A5A12"/>
                <w:sz w:val="22"/>
              </w:rPr>
              <w:t>BEISPIEL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Modellfall aus dem Executive-Briefing-Material: Steuerkanzlei mit manueller Belegverarbeitung und wachsender Arbeitsbelastung.</w:t>
            </w:r>
          </w:p>
        </w:tc>
      </w:tr>
    </w:tbl>
    <w:p>
      <w:pPr>
        <w:spacing w:after="20"/>
      </w:pP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Ausgangslage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8 Mitarbeiter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800 Mandanten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80-100 Belege pro Tag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Belege kommen per E-Mail, Papier und DATEV-Online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manuelle Sortierung, Zuordnung und Buchung in DATEV</w:t>
      </w: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Manueller Zustand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Ausgangswerte Belegverarbeitung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Kennzahl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Modellwert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Belege pro Tag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80-100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Beleg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15 Minuten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Tagesaufwand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20 Stunden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Ressourcenbindung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2,5 Vollzeitkräfte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jährliche Kosten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85.000 EUR inklusive versteckter Fehlerkosten</w:t>
            </w:r>
          </w:p>
        </w:tc>
      </w:tr>
    </w:tbl>
    <w:p>
      <w:pPr>
        <w:spacing w:after="80"/>
      </w:pP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Automatisierungsansatz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OCR-Erkennung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KI-gestützte Mandantenzuordnung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automatische Buchung in DATEV über API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manuelle Prüfung nur bei Unsicherheiten unter definierter Konfidenz</w:t>
      </w: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Investition und Ergebnis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Wirtschaftliche Wirkung Szenario 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Entwicklung / Integration / Training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12.000 EUR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Tools OCR / API / KI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2.500 EUR pro Jahr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Schulung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1.500 EUR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Wartung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1.800 EUR pro Jahr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Beleg nach Automatisierung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15 Minuten -&gt; 2,5 Minuten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Fehlerquote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7 % -&gt; 1 %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zusätzlicher Beratungsumsatz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30.000 EUR pro Jahr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ROI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über 900 %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Amortisation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4 Monate</w:t>
            </w:r>
          </w:p>
        </w:tc>
      </w:tr>
    </w:tbl>
    <w:p>
      <w:pPr>
        <w:spacing w:after="80"/>
      </w:pP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4. SZENARIO B: ANGEBOTSERSTELLUNG IM HANDWERK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0EDE2"/>
            <w:tcBorders>
              <w:top w:val="single" w:sz="14" w:space="0" w:color="8A5A12"/>
              <w:left w:val="single" w:sz="14" w:space="0" w:color="8A5A12"/>
              <w:bottom w:val="single" w:sz="14" w:space="0" w:color="8A5A12"/>
              <w:right w:val="single" w:sz="14" w:space="0" w:color="8A5A12"/>
              <w:insideH w:val="single" w:sz="14" w:space="0" w:color="8A5A12"/>
              <w:insideV w:val="single" w:sz="14" w:space="0" w:color="8A5A12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8A5A12"/>
                <w:sz w:val="22"/>
              </w:rPr>
              <w:t>BEISPIEL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Modellfall aus dem Executive-Briefing-Material: Elektroinstallationsbetrieb mit hoher manueller Angebotslast.</w:t>
            </w:r>
          </w:p>
        </w:tc>
      </w:tr>
    </w:tbl>
    <w:p>
      <w:pPr>
        <w:spacing w:after="20"/>
      </w:pP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Ausgangslage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8 Mitarbeiter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15-20 Angebote pro Woche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Chef erstellt Angebote selbst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Materialrecherche, Arbeitszeitkalkulation und PDF-Erstellung laufen manuell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Zeit pro Angebot: ca. 2 Stunden</w:t>
      </w: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Manueller Zustand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Ausgangswerte Angebotserstellung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Kennzahl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Modellwert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Angebote pro Woche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18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Angebot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2 Stunden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Wochenaufwand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36 Stunden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Stundensatz Chef-Arbeitszeit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80 EUR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jährliche Kosten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115.000 EUR</w:t>
            </w:r>
          </w:p>
        </w:tc>
      </w:tr>
    </w:tbl>
    <w:p>
      <w:pPr>
        <w:spacing w:after="80"/>
      </w:pP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Automatisierungsansatz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mobile App für Monteure mit Checklisten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automatische Materialpreise aus zentraler Preisliste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sofortige PDF-Generierung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Versand per E-Mail oder WhatsApp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Chef prüft nur Sonderfälle</w:t>
      </w: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Investition und Ergebnis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Wirtschaftliche Wirkung Szenario 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Entwicklung Web-App + PDF-Generator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8.000 EUR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Hosting + Preislistenpflege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1.200 EUR pro Jahr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Schulung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800 EUR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Wartung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1.600 EUR pro Jahr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Angebot nach Automatisierung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2 Stunden -&gt; 25 Minuten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Prüfanteil Chef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20 % der Angebote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Erfolgsquote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45 % -&gt; 62 %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zusätzliche Aufträge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8 pro Monat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Mehrumsatz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200.000 EUR pro Jahr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ROI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über 3.000 %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Amortisation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1-2 Monate</w:t>
            </w:r>
          </w:p>
        </w:tc>
      </w:tr>
    </w:tbl>
    <w:p>
      <w:pPr>
        <w:spacing w:after="80"/>
      </w:pP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5. SZENARIO C: PRODUKTBESCHREIBUNGEN IM E-COMMERCE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0EDE2"/>
            <w:tcBorders>
              <w:top w:val="single" w:sz="14" w:space="0" w:color="8A5A12"/>
              <w:left w:val="single" w:sz="14" w:space="0" w:color="8A5A12"/>
              <w:bottom w:val="single" w:sz="14" w:space="0" w:color="8A5A12"/>
              <w:right w:val="single" w:sz="14" w:space="0" w:color="8A5A12"/>
              <w:insideH w:val="single" w:sz="14" w:space="0" w:color="8A5A12"/>
              <w:insideV w:val="single" w:sz="14" w:space="0" w:color="8A5A12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8A5A12"/>
                <w:sz w:val="22"/>
              </w:rPr>
              <w:t>BEISPIEL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Modellfall aus dem Executive-Briefing-Material: Online-Shop mit regelmäßig neuen Produkten und manueller Texterstellung.</w:t>
            </w:r>
          </w:p>
        </w:tc>
      </w:tr>
    </w:tbl>
    <w:p>
      <w:pPr>
        <w:spacing w:after="20"/>
      </w:pP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Ausgangslage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Online-Shop für Gartenbedarf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ca. 2.000 Produkte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40-50 Neuheiten pro Monat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Produktbeschreibungen werden manuell erstellt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Zeit pro Produkt: ca. 45 Minuten</w:t>
      </w: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Manueller Zustand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Ausgangswerte Produktbeschreibungen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Kennzahl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Modellwert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Produkte pro Monat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45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Produkt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45 Minuten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Jahresaufwand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400 Stunden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jährliche Personalkosten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18.000 EUR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zusätzliches Problem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zu wenig Zeit für SEO-Optimierung und Newsletter</w:t>
            </w:r>
          </w:p>
        </w:tc>
      </w:tr>
    </w:tbl>
    <w:p>
      <w:pPr>
        <w:spacing w:after="80"/>
      </w:pP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Automatisierungsansatz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KI-gestützte Textgenerierung aus Produktdaten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automatische SEO-Optimierung für Titel und Meta-Beschreibung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menschliche Prüfung als Stichprobe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Texterin übernimmt Prüfung und höherwertige Aufgaben</w:t>
      </w:r>
    </w:p>
    <w:p>
      <w:pPr>
        <w:spacing w:before="280" w:after="140" w:line="264" w:lineRule="auto"/>
      </w:pPr>
      <w:r>
        <w:rPr>
          <w:rFonts w:ascii="Coder Pro" w:hAnsi="Coder Pro" w:eastAsia="Coder Pro"/>
          <w:b/>
          <w:color w:val="D28A1A"/>
          <w:sz w:val="32"/>
        </w:rPr>
        <w:t>Investition und Ergebnis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Wirtschaftliche Wirkung Szenario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Entwicklung n8n-Workflow + Prompt-Optimierung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5.000 EUR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OpenAI API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2.500 EUR pro Jahr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Schulung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400 EUR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Wartung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500 EUR pro Jahr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Produkt nach Automatisierung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45 Minuten -&gt; 8 Minuten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organischer Traffic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+40 %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zusätzlicher Umsatz durch Traffic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50.000 EUR pro Jahr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ROI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über 700 %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Amortisation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5 Monate</w:t>
            </w:r>
          </w:p>
        </w:tc>
      </w:tr>
    </w:tbl>
    <w:p>
      <w:pPr>
        <w:spacing w:after="80"/>
      </w:pP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6. VERGLEICH DER SZENARIEN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Vergleich der drei Modellfälle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Szenario</w:t>
            </w:r>
          </w:p>
        </w:tc>
        <w:tc>
          <w:tcPr>
            <w:tcW w:type="dxa" w:w="2494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Hauptproblem</w:t>
            </w:r>
          </w:p>
        </w:tc>
        <w:tc>
          <w:tcPr>
            <w:tcW w:type="dxa" w:w="2494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Automatisierungsansatz</w:t>
            </w:r>
          </w:p>
        </w:tc>
        <w:tc>
          <w:tcPr>
            <w:tcW w:type="dxa" w:w="2494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Ergebnis</w:t>
            </w:r>
          </w:p>
        </w:tc>
      </w:tr>
      <w:tr>
        <w:trPr>
          <w:cantSplit/>
        </w:trPr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Belegverarbeitung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hoher manueller Sortier- und Buchungsaufwand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OCR, KI-Zuordnung, DATEV-API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Beleg 15 Min -&gt; 2,5 Min</w:t>
            </w:r>
          </w:p>
        </w:tc>
      </w:tr>
      <w:tr>
        <w:trPr>
          <w:cantSplit/>
        </w:trPr>
        <w:tc>
          <w:tcPr>
            <w:tcW w:type="dxa" w:w="2494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Angebotserstellung</w:t>
            </w:r>
          </w:p>
        </w:tc>
        <w:tc>
          <w:tcPr>
            <w:tcW w:type="dxa" w:w="2494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Chef blockiert durch manuelle Angebote</w:t>
            </w:r>
          </w:p>
        </w:tc>
        <w:tc>
          <w:tcPr>
            <w:tcW w:type="dxa" w:w="2494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mobile Checklisten, Preisdaten, PDF-Generator</w:t>
            </w:r>
          </w:p>
        </w:tc>
        <w:tc>
          <w:tcPr>
            <w:tcW w:type="dxa" w:w="2494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Angebot 2 h -&gt; 25 Min</w:t>
            </w:r>
          </w:p>
        </w:tc>
      </w:tr>
      <w:tr>
        <w:trPr>
          <w:cantSplit/>
        </w:trPr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Produktbeschreibungen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manuelle Texterstellung und geringe SEO-Kapazität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KI-Textgenerierung und SEO-Optimierung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Zeit pro Produkt 45 Min -&gt; 8 Min</w:t>
            </w:r>
          </w:p>
        </w:tc>
      </w:tr>
    </w:tbl>
    <w:p>
      <w:pPr>
        <w:spacing w:after="80"/>
      </w:pP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ROI-Vergleich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Szenario</w:t>
            </w:r>
          </w:p>
        </w:tc>
        <w:tc>
          <w:tcPr>
            <w:tcW w:type="dxa" w:w="2494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ROI</w:t>
            </w:r>
          </w:p>
        </w:tc>
        <w:tc>
          <w:tcPr>
            <w:tcW w:type="dxa" w:w="2494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Amortisation</w:t>
            </w:r>
          </w:p>
        </w:tc>
        <w:tc>
          <w:tcPr>
            <w:tcW w:type="dxa" w:w="2494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Charakter</w:t>
            </w:r>
          </w:p>
        </w:tc>
      </w:tr>
      <w:tr>
        <w:trPr>
          <w:cantSplit/>
        </w:trPr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Belegverarbeitung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über 900 %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4 Monate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dokumentenbasierter Quick Win</w:t>
            </w:r>
          </w:p>
        </w:tc>
      </w:tr>
      <w:tr>
        <w:trPr>
          <w:cantSplit/>
        </w:trPr>
        <w:tc>
          <w:tcPr>
            <w:tcW w:type="dxa" w:w="2494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Angebotserstellung</w:t>
            </w:r>
          </w:p>
        </w:tc>
        <w:tc>
          <w:tcPr>
            <w:tcW w:type="dxa" w:w="2494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über 3.000 %</w:t>
            </w:r>
          </w:p>
        </w:tc>
        <w:tc>
          <w:tcPr>
            <w:tcW w:type="dxa" w:w="2494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1-2 Monate</w:t>
            </w:r>
          </w:p>
        </w:tc>
        <w:tc>
          <w:tcPr>
            <w:tcW w:type="dxa" w:w="2494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starker Hebel bei Chef- oder Engpasszeit</w:t>
            </w:r>
          </w:p>
        </w:tc>
      </w:tr>
      <w:tr>
        <w:trPr>
          <w:cantSplit/>
        </w:trPr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Produktbeschreibungen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über 700 %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ca. 5 Monate</w:t>
            </w:r>
          </w:p>
        </w:tc>
        <w:tc>
          <w:tcPr>
            <w:tcW w:type="dxa" w:w="2494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Content- und SEO-Hebel</w:t>
            </w:r>
          </w:p>
        </w:tc>
      </w:tr>
    </w:tbl>
    <w:p>
      <w:pPr>
        <w:spacing w:after="80"/>
      </w:pP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7. GEMEINSAME ERFOLGSFAKTOREN</w:t>
      </w:r>
    </w:p>
    <w:p>
      <w:pPr>
        <w:spacing w:before="0" w:after="100" w:line="264" w:lineRule="auto"/>
      </w:pPr>
      <w:r>
        <w:rPr>
          <w:rFonts w:ascii="Consolas" w:hAnsi="Consolas" w:eastAsia="Consolas"/>
          <w:b w:val="0"/>
        </w:rPr>
        <w:t>Alle drei Szenarien funktionieren aus denselben Gründen. Sie starten nicht mit einer großen Plattform, sondern mit einem klaren, wiederkehrenden Prozess.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Der Prozess kommt häufig vor.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Die Datenbasis ist vorbereitet oder zumindest strukturierbar.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Mitarbeiter profitieren von Entlastung.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Sonderfälle bleiben beim Menschen.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Der wirtschaftliche Effekt wird vor Projektstart berechnet.</w:t>
      </w:r>
    </w:p>
    <w:p>
      <w:pPr>
        <w:spacing w:after="60" w:line="252" w:lineRule="auto"/>
        <w:ind w:left="312" w:hanging="142"/>
      </w:pPr>
      <w:r>
        <w:rPr>
          <w:rFonts w:ascii="Consolas" w:hAnsi="Consolas" w:eastAsia="Consolas"/>
          <w:color w:val="D28A1A"/>
          <w:sz w:val="20"/>
        </w:rPr>
        <w:t xml:space="preserve">• </w:t>
      </w:r>
      <w:r>
        <w:rPr>
          <w:rFonts w:ascii="Consolas" w:hAnsi="Consolas" w:eastAsia="Consolas"/>
          <w:color w:val="1B1B1B"/>
          <w:sz w:val="19"/>
        </w:rPr>
        <w:t>Die Automatisierung wird als Pilot eingeführt und danach erweitert.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002B24"/>
            <w:tcBorders>
              <w:top w:val="single" w:sz="14" w:space="0" w:color="D4AF37"/>
              <w:left w:val="single" w:sz="14" w:space="0" w:color="D4AF37"/>
              <w:bottom w:val="single" w:sz="14" w:space="0" w:color="D4AF37"/>
              <w:right w:val="single" w:sz="14" w:space="0" w:color="D4AF37"/>
              <w:insideH w:val="single" w:sz="14" w:space="0" w:color="D4AF37"/>
              <w:insideV w:val="single" w:sz="14" w:space="0" w:color="D4AF37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D4AF37"/>
                <w:sz w:val="22"/>
              </w:rPr>
              <w:t>REGELBOX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FFFFFF"/>
                <w:sz w:val="19"/>
              </w:rPr>
              <w:t>Ein gutes erstes KI-Projekt ist klein genug, um kontrollierbar zu bleiben, und relevant genug, um wirtschaftlich spürbar zu wirken.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8. RISIKEN UND GEGENMASSNAHMEN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Risiken und Gegenmaßnahmen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Risiko</w:t>
            </w:r>
          </w:p>
        </w:tc>
        <w:tc>
          <w:tcPr>
            <w:tcW w:type="dxa" w:w="4989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Gegenmaßnahme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falscher Prozess wird automatisiert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nur tägliche, regelbasierte und messbare Prozesse auswählen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Daten sind unsauber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Daten vor Projektstart prüfen und Standards festlegen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Mitarbeiter nutzen System nicht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Betroffene früh einbinden und Nutzen klar erklären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KI gibt falsche Ergebnisse aus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Human-in-the-Loop und Stichprobenprüfung einbauen</w:t>
            </w:r>
          </w:p>
        </w:tc>
      </w:tr>
      <w:tr>
        <w:trPr>
          <w:cantSplit/>
        </w:trPr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DSGVO-Risiken</w:t>
            </w:r>
          </w:p>
        </w:tc>
        <w:tc>
          <w:tcPr>
            <w:tcW w:type="dxa" w:w="4989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personenbezogene Daten klassifizieren und AVV / Hosting prüfen</w:t>
            </w:r>
          </w:p>
        </w:tc>
      </w:tr>
      <w:tr>
        <w:trPr>
          <w:cantSplit/>
        </w:trPr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Tool-Ausfall oder API-Änderung</w:t>
            </w:r>
          </w:p>
        </w:tc>
        <w:tc>
          <w:tcPr>
            <w:tcW w:type="dxa" w:w="4989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Fallback-Prozess und Wartungsbudget einplanen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BE0C2"/>
            <w:tcBorders>
              <w:top w:val="single" w:sz="14" w:space="0" w:color="D76B12"/>
              <w:left w:val="single" w:sz="14" w:space="0" w:color="D76B12"/>
              <w:bottom w:val="single" w:sz="14" w:space="0" w:color="D76B12"/>
              <w:right w:val="single" w:sz="14" w:space="0" w:color="D76B12"/>
              <w:insideH w:val="single" w:sz="14" w:space="0" w:color="D76B12"/>
              <w:insideV w:val="single" w:sz="14" w:space="0" w:color="D76B12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D76B12"/>
                <w:sz w:val="22"/>
              </w:rPr>
              <w:t>WARNUNG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Automatisierung macht einen schlechten Prozess nicht automatisch besser. Ohne Prozessklärung entstehen schnellere Fehler statt echter Entlastung.</w:t>
            </w:r>
          </w:p>
        </w:tc>
      </w:tr>
    </w:tbl>
    <w:p>
      <w:pPr>
        <w:spacing w:after="20"/>
      </w:pP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9. 30-TAGE-FAHRPLAN</w:t>
      </w:r>
    </w:p>
    <w:p>
      <w:pPr>
        <w:spacing w:before="160" w:after="80" w:line="264" w:lineRule="auto"/>
      </w:pPr>
      <w:r>
        <w:rPr>
          <w:rFonts w:ascii="Coder Pro" w:hAnsi="Coder Pro" w:eastAsia="Coder Pro"/>
          <w:b/>
          <w:color w:val="D28A1A"/>
          <w:sz w:val="21"/>
        </w:rPr>
        <w:t>Tabellenbeschriftung: 30-Tage-Fahrplan für den Pilotstart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Woche</w:t>
            </w:r>
          </w:p>
        </w:tc>
        <w:tc>
          <w:tcPr>
            <w:tcW w:type="dxa" w:w="3326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Aufgabe</w:t>
            </w:r>
          </w:p>
        </w:tc>
        <w:tc>
          <w:tcPr>
            <w:tcW w:type="dxa" w:w="3326"/>
            <w:shd w:fill="002B24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/>
                <w:color w:val="FFFFFF"/>
                <w:sz w:val="17"/>
              </w:rPr>
              <w:t>Ergebnis</w:t>
            </w:r>
          </w:p>
        </w:tc>
      </w:tr>
      <w:tr>
        <w:trPr>
          <w:cantSplit/>
        </w:trPr>
        <w:tc>
          <w:tcPr>
            <w:tcW w:type="dxa" w:w="3326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1</w:t>
            </w:r>
          </w:p>
        </w:tc>
        <w:tc>
          <w:tcPr>
            <w:tcW w:type="dxa" w:w="3326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Prozess auswählen, Zeit messen, ROI grob berechnen</w:t>
            </w:r>
          </w:p>
        </w:tc>
        <w:tc>
          <w:tcPr>
            <w:tcW w:type="dxa" w:w="3326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klarer Kandidat mit wirtschaftlicher Begründung</w:t>
            </w:r>
          </w:p>
        </w:tc>
      </w:tr>
      <w:tr>
        <w:trPr>
          <w:cantSplit/>
        </w:trPr>
        <w:tc>
          <w:tcPr>
            <w:tcW w:type="dxa" w:w="3326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2</w:t>
            </w:r>
          </w:p>
        </w:tc>
        <w:tc>
          <w:tcPr>
            <w:tcW w:type="dxa" w:w="3326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Daten prüfen, Regeln definieren, Tool-Ansatz festlegen</w:t>
            </w:r>
          </w:p>
        </w:tc>
        <w:tc>
          <w:tcPr>
            <w:tcW w:type="dxa" w:w="3326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Pilot kann technisch geplant werden</w:t>
            </w:r>
          </w:p>
        </w:tc>
      </w:tr>
      <w:tr>
        <w:trPr>
          <w:cantSplit/>
        </w:trPr>
        <w:tc>
          <w:tcPr>
            <w:tcW w:type="dxa" w:w="3326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3</w:t>
            </w:r>
          </w:p>
        </w:tc>
        <w:tc>
          <w:tcPr>
            <w:tcW w:type="dxa" w:w="3326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Workflow bauen und mit echten Daten testen</w:t>
            </w:r>
          </w:p>
        </w:tc>
        <w:tc>
          <w:tcPr>
            <w:tcW w:type="dxa" w:w="3326"/>
            <w:shd w:fill="F6F0DC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Schwachstellen werden sichtbar</w:t>
            </w:r>
          </w:p>
        </w:tc>
      </w:tr>
      <w:tr>
        <w:trPr>
          <w:cantSplit/>
        </w:trPr>
        <w:tc>
          <w:tcPr>
            <w:tcW w:type="dxa" w:w="3326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4</w:t>
            </w:r>
          </w:p>
        </w:tc>
        <w:tc>
          <w:tcPr>
            <w:tcW w:type="dxa" w:w="3326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Parallelbetrieb starten, Fehler korrigieren, Mitarbeiter schulen</w:t>
            </w:r>
          </w:p>
        </w:tc>
        <w:tc>
          <w:tcPr>
            <w:tcW w:type="dxa" w:w="3326"/>
            <w:shd w:fill="E6F0E7"/>
            <w:tcBorders>
              <w:top w:val="single" w:sz="5" w:space="0" w:color="D4AF37"/>
              <w:left w:val="single" w:sz="5" w:space="0" w:color="D4AF37"/>
              <w:bottom w:val="single" w:sz="5" w:space="0" w:color="D4AF37"/>
              <w:right w:val="single" w:sz="5" w:space="0" w:color="D4AF37"/>
              <w:insideH w:val="single" w:sz="5" w:space="0" w:color="D4AF37"/>
              <w:insideV w:val="single" w:sz="5" w:space="0" w:color="D4AF37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1B1B1B"/>
                <w:sz w:val="16"/>
              </w:rPr>
              <w:t>kontrollierter Einstieg ohne harten Bruch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D9E8F7"/>
            <w:tcBorders>
              <w:top w:val="single" w:sz="14" w:space="0" w:color="2F73D8"/>
              <w:left w:val="single" w:sz="14" w:space="0" w:color="2F73D8"/>
              <w:bottom w:val="single" w:sz="14" w:space="0" w:color="2F73D8"/>
              <w:right w:val="single" w:sz="14" w:space="0" w:color="2F73D8"/>
              <w:insideH w:val="single" w:sz="14" w:space="0" w:color="2F73D8"/>
              <w:insideV w:val="single" w:sz="14" w:space="0" w:color="2F73D8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2F73D8"/>
                <w:sz w:val="22"/>
              </w:rPr>
              <w:t>HINWEIS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Der alte Prozess sollte in der Pilotphase als Backup weiterlaufen. Das reduziert Risiko und erhöht Akzeptanz.</w:t>
            </w:r>
          </w:p>
        </w:tc>
      </w:tr>
    </w:tbl>
    <w:p>
      <w:pPr>
        <w:spacing w:after="20"/>
      </w:pPr>
    </w:p>
    <w:p>
      <w:pPr>
        <w:spacing w:before="360" w:after="200" w:line="264" w:lineRule="auto"/>
      </w:pPr>
      <w:r>
        <w:rPr>
          <w:rFonts w:ascii="Bebas Neue" w:hAnsi="Bebas Neue" w:eastAsia="Bebas Neue"/>
          <w:b w:val="0"/>
          <w:color w:val="002B24"/>
          <w:sz w:val="60"/>
        </w:rPr>
        <w:t>10. FAZIT UND NÄCHSTER SCHRITT</w:t>
      </w:r>
    </w:p>
    <w:p>
      <w:pPr>
        <w:spacing w:before="0" w:after="120" w:line="264" w:lineRule="auto"/>
      </w:pPr>
      <w:r>
        <w:rPr>
          <w:rFonts w:ascii="Consolas" w:hAnsi="Consolas" w:eastAsia="Consolas"/>
          <w:b w:val="0"/>
        </w:rPr>
        <w:t>Die drei Modellfälle zeigen, dass KI-Automatisierung besonders dann wirtschaftlich wird, wenn sie repetitive, messbare und regelbasierte Prozesse entlastet. Der Nutzen entsteht nicht durch Personalabbau, sondern durch bessere Nutzung vorhandener Fachkräfte.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DFF1E5"/>
            <w:tcBorders>
              <w:top w:val="single" w:sz="14" w:space="0" w:color="1F8B4C"/>
              <w:left w:val="single" w:sz="14" w:space="0" w:color="1F8B4C"/>
              <w:bottom w:val="single" w:sz="14" w:space="0" w:color="1F8B4C"/>
              <w:right w:val="single" w:sz="14" w:space="0" w:color="1F8B4C"/>
              <w:insideH w:val="single" w:sz="14" w:space="0" w:color="1F8B4C"/>
              <w:insideV w:val="single" w:sz="14" w:space="0" w:color="1F8B4C"/>
            </w:tcBorders>
            <w:vAlign w:val="center"/>
          </w:tcPr>
          <w:p>
            <w:pPr>
              <w:spacing w:before="120" w:after="80"/>
            </w:pPr>
            <w:r/>
            <w:r>
              <w:rPr>
                <w:rFonts w:ascii="Coder Pro" w:hAnsi="Coder Pro" w:eastAsia="Coder Pro"/>
                <w:b/>
                <w:color w:val="1F8B4C"/>
                <w:sz w:val="22"/>
              </w:rPr>
              <w:t>ZIEL</w:t>
            </w:r>
          </w:p>
          <w:p>
            <w:pPr>
              <w:spacing w:before="0" w:after="120"/>
            </w:pPr>
            <w:r>
              <w:rPr>
                <w:rFonts w:ascii="Consolas" w:hAnsi="Consolas" w:eastAsia="Consolas"/>
                <w:color w:val="1B1B1B"/>
                <w:sz w:val="19"/>
              </w:rPr>
              <w:t>Der nächste sinnvolle Schritt ist keine Tool-Entscheidung, sondern eine strukturierte KI-Potenzialanalyse: Prozess auswählen, Aufwand messen, Daten prüfen, ROI bewerten.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onsolas" w:hAnsi="Consolas" w:eastAsia="Consolas"/>
          <w:b w:val="0"/>
        </w:rPr>
        <w:t>Diese Case Study kann als Einstieg in die KI-Potenzialanalyse genutzt werden. Sie zeigt, welche Prozessarten wirtschaftlich interessant sind und welche Voraussetzungen vor einem Pilotprojekt geprüft werden müssen.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KI-AUTOMATISIERUNG</dc:title>
  <dc:subject/>
  <dc:creator>Nurovelle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