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15" w:type="dxa"/>
          <w:right w:w="72" w:type="dxa"/>
        </w:tblCellMar>
        <w:tblLook w:val="01E0" w:firstRow="1" w:lastRow="1" w:firstColumn="1" w:lastColumn="1" w:noHBand="0" w:noVBand="0"/>
      </w:tblPr>
      <w:tblGrid>
        <w:gridCol w:w="3162"/>
        <w:gridCol w:w="3451"/>
        <w:gridCol w:w="2592"/>
      </w:tblGrid>
      <w:tr w:rsidR="002F2D56" w:rsidRPr="0077103D" w:rsidTr="00B85AC8">
        <w:trPr>
          <w:cantSplit/>
          <w:trHeight w:hRule="exact" w:val="187"/>
        </w:trPr>
        <w:tc>
          <w:tcPr>
            <w:tcW w:w="3162" w:type="dxa"/>
            <w:noWrap/>
          </w:tcPr>
          <w:p w:rsidR="002F2D56" w:rsidRPr="00573549" w:rsidRDefault="00A774A2" w:rsidP="002F2D56">
            <w:pPr>
              <w:rPr>
                <w:rFonts w:ascii="Interstate-Black" w:hAnsi="Interstate-Black"/>
                <w:color w:val="000000"/>
                <w:sz w:val="16"/>
                <w:szCs w:val="16"/>
              </w:rPr>
            </w:pPr>
            <w:r w:rsidRPr="00573549">
              <w:rPr>
                <w:rFonts w:ascii="Interstate-Black" w:hAnsi="Interstate-Black"/>
                <w:sz w:val="16"/>
                <w:szCs w:val="16"/>
              </w:rPr>
              <w:t xml:space="preserve">HNTB </w:t>
            </w:r>
            <w:r>
              <w:rPr>
                <w:rFonts w:ascii="Interstate-Black" w:hAnsi="Interstate-Black"/>
                <w:sz w:val="16"/>
                <w:szCs w:val="16"/>
              </w:rPr>
              <w:t>Corporation</w:t>
            </w:r>
          </w:p>
        </w:tc>
        <w:tc>
          <w:tcPr>
            <w:tcW w:w="3451" w:type="dxa"/>
            <w:noWrap/>
            <w:tcMar>
              <w:left w:w="115" w:type="dxa"/>
              <w:right w:w="115" w:type="dxa"/>
            </w:tcMar>
          </w:tcPr>
          <w:p w:rsidR="002F2D56" w:rsidRPr="0077103D" w:rsidRDefault="00F453EA" w:rsidP="00F453EA">
            <w:pPr>
              <w:pStyle w:val="Header"/>
              <w:rPr>
                <w:rFonts w:ascii="Interstate-Light" w:hAnsi="Interstate-Light"/>
                <w:sz w:val="16"/>
                <w:szCs w:val="16"/>
              </w:rPr>
            </w:pPr>
            <w:r>
              <w:rPr>
                <w:rFonts w:ascii="Interstate-Light" w:hAnsi="Interstate-Light"/>
                <w:sz w:val="16"/>
                <w:szCs w:val="16"/>
              </w:rPr>
              <w:t>1276 Metropolitan Boulevard</w:t>
            </w:r>
          </w:p>
        </w:tc>
        <w:tc>
          <w:tcPr>
            <w:tcW w:w="2592" w:type="dxa"/>
            <w:noWrap/>
          </w:tcPr>
          <w:p w:rsidR="002F2D56" w:rsidRPr="0077103D" w:rsidRDefault="002F2D56" w:rsidP="00F453EA">
            <w:pPr>
              <w:pStyle w:val="Header"/>
              <w:tabs>
                <w:tab w:val="left" w:pos="-24408"/>
                <w:tab w:val="right" w:pos="2052"/>
              </w:tabs>
              <w:rPr>
                <w:rFonts w:ascii="Interstate-Light" w:hAnsi="Interstate-Light"/>
                <w:sz w:val="16"/>
                <w:szCs w:val="16"/>
              </w:rPr>
            </w:pPr>
            <w:r>
              <w:rPr>
                <w:rFonts w:ascii="Interstate-Light" w:hAnsi="Interstate-Light"/>
                <w:sz w:val="16"/>
                <w:szCs w:val="16"/>
              </w:rPr>
              <w:t xml:space="preserve">Telephone </w:t>
            </w:r>
            <w:r w:rsidR="00AD7A69">
              <w:rPr>
                <w:rFonts w:ascii="Interstate-Light" w:hAnsi="Interstate-Light"/>
                <w:sz w:val="16"/>
                <w:szCs w:val="16"/>
              </w:rPr>
              <w:t>(</w:t>
            </w:r>
            <w:r w:rsidR="00F453EA">
              <w:rPr>
                <w:rFonts w:ascii="Interstate-Light" w:hAnsi="Interstate-Light"/>
                <w:sz w:val="16"/>
                <w:szCs w:val="16"/>
              </w:rPr>
              <w:t>850</w:t>
            </w:r>
            <w:r w:rsidR="00AD7A69">
              <w:rPr>
                <w:rFonts w:ascii="Interstate-Light" w:hAnsi="Interstate-Light"/>
                <w:sz w:val="16"/>
                <w:szCs w:val="16"/>
              </w:rPr>
              <w:t xml:space="preserve">) </w:t>
            </w:r>
            <w:r w:rsidR="00F453EA">
              <w:rPr>
                <w:rFonts w:ascii="Interstate-Light" w:hAnsi="Interstate-Light"/>
                <w:sz w:val="16"/>
                <w:szCs w:val="16"/>
              </w:rPr>
              <w:t>878</w:t>
            </w:r>
            <w:r w:rsidR="00AD7A69">
              <w:rPr>
                <w:rFonts w:ascii="Interstate-Light" w:hAnsi="Interstate-Light"/>
                <w:sz w:val="16"/>
                <w:szCs w:val="16"/>
              </w:rPr>
              <w:t>-</w:t>
            </w:r>
            <w:r w:rsidR="00F453EA">
              <w:rPr>
                <w:rFonts w:ascii="Interstate-Light" w:hAnsi="Interstate-Light"/>
                <w:sz w:val="16"/>
                <w:szCs w:val="16"/>
              </w:rPr>
              <w:t>9777</w:t>
            </w:r>
          </w:p>
        </w:tc>
      </w:tr>
      <w:tr w:rsidR="002F2D56" w:rsidRPr="0077103D" w:rsidTr="00B85AC8">
        <w:trPr>
          <w:cantSplit/>
          <w:trHeight w:hRule="exact" w:val="187"/>
        </w:trPr>
        <w:tc>
          <w:tcPr>
            <w:tcW w:w="3162" w:type="dxa"/>
            <w:noWrap/>
          </w:tcPr>
          <w:p w:rsidR="002F2D56" w:rsidRPr="0077103D" w:rsidRDefault="00935E7A" w:rsidP="002F2D56">
            <w:pPr>
              <w:pStyle w:val="Header"/>
              <w:rPr>
                <w:sz w:val="16"/>
                <w:szCs w:val="16"/>
              </w:rPr>
            </w:pPr>
            <w:r>
              <w:rPr>
                <w:rFonts w:ascii="Interstate-Light" w:hAnsi="Interstate-Light"/>
                <w:sz w:val="16"/>
                <w:szCs w:val="16"/>
              </w:rPr>
              <w:t>Infrastructure Solutions</w:t>
            </w:r>
          </w:p>
        </w:tc>
        <w:tc>
          <w:tcPr>
            <w:tcW w:w="3451" w:type="dxa"/>
            <w:noWrap/>
          </w:tcPr>
          <w:p w:rsidR="002F2D56" w:rsidRPr="0077103D" w:rsidRDefault="00F453EA" w:rsidP="006A1B71">
            <w:pPr>
              <w:pStyle w:val="Header"/>
              <w:rPr>
                <w:rFonts w:ascii="Interstate-Light" w:hAnsi="Interstate-Light"/>
                <w:sz w:val="16"/>
                <w:szCs w:val="16"/>
              </w:rPr>
            </w:pPr>
            <w:r>
              <w:rPr>
                <w:rFonts w:ascii="Interstate-Light" w:hAnsi="Interstate-Light"/>
                <w:sz w:val="16"/>
                <w:szCs w:val="16"/>
              </w:rPr>
              <w:t>Suite 304</w:t>
            </w:r>
          </w:p>
        </w:tc>
        <w:tc>
          <w:tcPr>
            <w:tcW w:w="2592" w:type="dxa"/>
            <w:noWrap/>
          </w:tcPr>
          <w:p w:rsidR="002F2D56" w:rsidRPr="0077103D" w:rsidRDefault="002F2D56" w:rsidP="006A1B71">
            <w:pPr>
              <w:pStyle w:val="Header"/>
              <w:tabs>
                <w:tab w:val="left" w:pos="-8898"/>
                <w:tab w:val="left" w:pos="792"/>
                <w:tab w:val="right" w:pos="2037"/>
              </w:tabs>
              <w:rPr>
                <w:rFonts w:ascii="Interstate-Light" w:hAnsi="Interstate-Light"/>
                <w:sz w:val="16"/>
                <w:szCs w:val="16"/>
              </w:rPr>
            </w:pPr>
          </w:p>
        </w:tc>
      </w:tr>
      <w:tr w:rsidR="002F2D56" w:rsidRPr="0077103D" w:rsidTr="00B85AC8">
        <w:trPr>
          <w:cantSplit/>
          <w:trHeight w:hRule="exact" w:val="187"/>
        </w:trPr>
        <w:tc>
          <w:tcPr>
            <w:tcW w:w="3162" w:type="dxa"/>
            <w:noWrap/>
          </w:tcPr>
          <w:p w:rsidR="002F2D56" w:rsidRPr="0077103D" w:rsidRDefault="002F2D56" w:rsidP="006A1B71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3451" w:type="dxa"/>
            <w:noWrap/>
          </w:tcPr>
          <w:p w:rsidR="002F2D56" w:rsidRPr="0077103D" w:rsidRDefault="00F453EA" w:rsidP="006A1B71">
            <w:pPr>
              <w:pStyle w:val="Header"/>
              <w:rPr>
                <w:rFonts w:ascii="Interstate-Light" w:hAnsi="Interstate-Light"/>
                <w:sz w:val="16"/>
                <w:szCs w:val="16"/>
              </w:rPr>
            </w:pPr>
            <w:r>
              <w:rPr>
                <w:rFonts w:ascii="Interstate-Light" w:hAnsi="Interstate-Light"/>
                <w:sz w:val="16"/>
                <w:szCs w:val="16"/>
              </w:rPr>
              <w:t>Tallahassee, Florida 32312</w:t>
            </w:r>
            <w:r w:rsidR="002F2D56" w:rsidDel="00456ACF">
              <w:rPr>
                <w:rFonts w:ascii="Interstate-Light" w:hAnsi="Interstate-Light"/>
                <w:sz w:val="16"/>
                <w:szCs w:val="16"/>
              </w:rPr>
              <w:t xml:space="preserve"> </w:t>
            </w:r>
          </w:p>
        </w:tc>
        <w:tc>
          <w:tcPr>
            <w:tcW w:w="2592" w:type="dxa"/>
            <w:noWrap/>
          </w:tcPr>
          <w:p w:rsidR="002F2D56" w:rsidRPr="0077103D" w:rsidRDefault="003A1092" w:rsidP="006A1B71">
            <w:pPr>
              <w:pStyle w:val="Header"/>
              <w:tabs>
                <w:tab w:val="left" w:pos="792"/>
              </w:tabs>
              <w:rPr>
                <w:sz w:val="16"/>
                <w:szCs w:val="16"/>
              </w:rPr>
            </w:pPr>
            <w:r w:rsidRPr="0077103D">
              <w:rPr>
                <w:rFonts w:ascii="Interstate-Light" w:hAnsi="Interstate-Light"/>
                <w:sz w:val="16"/>
                <w:szCs w:val="16"/>
              </w:rPr>
              <w:t>www.hntb.com</w:t>
            </w:r>
          </w:p>
        </w:tc>
      </w:tr>
      <w:tr w:rsidR="00B85AC8" w:rsidRPr="0077103D" w:rsidTr="00B85AC8">
        <w:trPr>
          <w:cantSplit/>
          <w:trHeight w:hRule="exact" w:val="187"/>
        </w:trPr>
        <w:tc>
          <w:tcPr>
            <w:tcW w:w="3162" w:type="dxa"/>
            <w:noWrap/>
          </w:tcPr>
          <w:p w:rsidR="00B85AC8" w:rsidRPr="0077103D" w:rsidRDefault="00B85AC8" w:rsidP="006A1B71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3451" w:type="dxa"/>
            <w:noWrap/>
          </w:tcPr>
          <w:p w:rsidR="00B85AC8" w:rsidRDefault="00B85AC8" w:rsidP="006A1B71">
            <w:pPr>
              <w:pStyle w:val="Header"/>
              <w:rPr>
                <w:rFonts w:ascii="Interstate-Light" w:hAnsi="Interstate-Light"/>
                <w:sz w:val="16"/>
                <w:szCs w:val="16"/>
              </w:rPr>
            </w:pPr>
          </w:p>
        </w:tc>
        <w:tc>
          <w:tcPr>
            <w:tcW w:w="2592" w:type="dxa"/>
            <w:noWrap/>
          </w:tcPr>
          <w:p w:rsidR="00B85AC8" w:rsidRPr="0077103D" w:rsidRDefault="00B85AC8" w:rsidP="006A1B71">
            <w:pPr>
              <w:pStyle w:val="Header"/>
              <w:tabs>
                <w:tab w:val="left" w:pos="792"/>
              </w:tabs>
              <w:rPr>
                <w:rFonts w:ascii="Interstate-Light" w:hAnsi="Interstate-Light"/>
                <w:sz w:val="16"/>
                <w:szCs w:val="16"/>
              </w:rPr>
            </w:pPr>
          </w:p>
        </w:tc>
      </w:tr>
      <w:tr w:rsidR="003A1092" w:rsidRPr="0077103D" w:rsidTr="00B85AC8">
        <w:trPr>
          <w:gridAfter w:val="1"/>
          <w:wAfter w:w="2592" w:type="dxa"/>
          <w:cantSplit/>
          <w:trHeight w:hRule="exact" w:val="216"/>
        </w:trPr>
        <w:tc>
          <w:tcPr>
            <w:tcW w:w="3162" w:type="dxa"/>
            <w:noWrap/>
          </w:tcPr>
          <w:p w:rsidR="003A1092" w:rsidRPr="0077103D" w:rsidRDefault="003A1092" w:rsidP="006A1B71">
            <w:pPr>
              <w:pStyle w:val="Header"/>
              <w:rPr>
                <w:sz w:val="16"/>
                <w:szCs w:val="16"/>
              </w:rPr>
            </w:pPr>
            <w:r w:rsidRPr="00AE26DD">
              <w:rPr>
                <w:rFonts w:ascii="Interstate-Bold" w:hAnsi="Interstate-Bold"/>
                <w:sz w:val="20"/>
              </w:rPr>
              <w:t>Dat</w:t>
            </w:r>
            <w:r>
              <w:rPr>
                <w:rFonts w:ascii="Interstate-Bold" w:hAnsi="Interstate-Bold"/>
                <w:sz w:val="20"/>
              </w:rPr>
              <w:t>e</w:t>
            </w:r>
          </w:p>
        </w:tc>
        <w:tc>
          <w:tcPr>
            <w:tcW w:w="3451" w:type="dxa"/>
            <w:noWrap/>
          </w:tcPr>
          <w:p w:rsidR="003A1092" w:rsidRPr="00AD7A69" w:rsidRDefault="00935E7A" w:rsidP="006A1B71">
            <w:pPr>
              <w:pStyle w:val="Header"/>
              <w:tabs>
                <w:tab w:val="left" w:pos="792"/>
              </w:tabs>
              <w:rPr>
                <w:rFonts w:ascii="Interstate-Light" w:hAnsi="Interstate-Light"/>
                <w:sz w:val="20"/>
              </w:rPr>
            </w:pPr>
            <w:r>
              <w:rPr>
                <w:rFonts w:ascii="Interstate-Light" w:hAnsi="Interstate-Light"/>
                <w:noProof/>
                <w:sz w:val="20"/>
              </w:rPr>
              <w:drawing>
                <wp:anchor distT="0" distB="0" distL="114300" distR="114300" simplePos="0" relativeHeight="251657728" behindDoc="0" locked="0" layoutInCell="1" allowOverlap="1" wp14:anchorId="1844C4D0" wp14:editId="213F101E">
                  <wp:simplePos x="0" y="0"/>
                  <wp:positionH relativeFrom="column">
                    <wp:posOffset>2817495</wp:posOffset>
                  </wp:positionH>
                  <wp:positionV relativeFrom="page">
                    <wp:posOffset>2540</wp:posOffset>
                  </wp:positionV>
                  <wp:extent cx="1000125" cy="276225"/>
                  <wp:effectExtent l="0" t="0" r="9525" b="9525"/>
                  <wp:wrapNone/>
                  <wp:docPr id="5" name="Picture 5" descr="HNTB_bw_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NTB_bw_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1092" w:rsidRPr="00AE26DD">
              <w:rPr>
                <w:rFonts w:ascii="Interstate-Bold" w:hAnsi="Interstate-Bold"/>
                <w:sz w:val="20"/>
              </w:rPr>
              <w:t>T</w:t>
            </w:r>
            <w:r w:rsidR="003A1092">
              <w:rPr>
                <w:rFonts w:ascii="Interstate-Bold" w:hAnsi="Interstate-Bold"/>
                <w:sz w:val="20"/>
              </w:rPr>
              <w:t>o</w:t>
            </w:r>
          </w:p>
        </w:tc>
      </w:tr>
      <w:tr w:rsidR="003A1092" w:rsidRPr="0077103D" w:rsidTr="00B85AC8">
        <w:trPr>
          <w:gridAfter w:val="1"/>
          <w:wAfter w:w="2592" w:type="dxa"/>
          <w:cantSplit/>
          <w:trHeight w:val="504"/>
        </w:trPr>
        <w:tc>
          <w:tcPr>
            <w:tcW w:w="3162" w:type="dxa"/>
            <w:noWrap/>
          </w:tcPr>
          <w:p w:rsidR="003A1092" w:rsidRPr="00AD7A69" w:rsidRDefault="000446C7" w:rsidP="00E325F8">
            <w:pPr>
              <w:pStyle w:val="Header"/>
              <w:rPr>
                <w:rFonts w:ascii="Minion Pro" w:hAnsi="Minion Pro"/>
                <w:sz w:val="22"/>
                <w:szCs w:val="22"/>
              </w:rPr>
            </w:pPr>
            <w:r>
              <w:rPr>
                <w:rFonts w:ascii="Minion Pro" w:hAnsi="Minion Pro"/>
                <w:sz w:val="22"/>
                <w:szCs w:val="22"/>
              </w:rPr>
              <w:t>8</w:t>
            </w:r>
            <w:r w:rsidR="004D6802">
              <w:rPr>
                <w:rFonts w:ascii="Minion Pro" w:hAnsi="Minion Pro"/>
                <w:sz w:val="22"/>
                <w:szCs w:val="22"/>
              </w:rPr>
              <w:t>/</w:t>
            </w:r>
            <w:r w:rsidR="00E325F8">
              <w:rPr>
                <w:rFonts w:ascii="Minion Pro" w:hAnsi="Minion Pro"/>
                <w:sz w:val="22"/>
                <w:szCs w:val="22"/>
              </w:rPr>
              <w:t>26</w:t>
            </w:r>
            <w:r w:rsidR="004D6802">
              <w:rPr>
                <w:rFonts w:ascii="Minion Pro" w:hAnsi="Minion Pro"/>
                <w:sz w:val="22"/>
                <w:szCs w:val="22"/>
              </w:rPr>
              <w:t>/2016</w:t>
            </w:r>
          </w:p>
        </w:tc>
        <w:tc>
          <w:tcPr>
            <w:tcW w:w="3451" w:type="dxa"/>
            <w:noWrap/>
          </w:tcPr>
          <w:p w:rsidR="003A1092" w:rsidRPr="00AD7A69" w:rsidRDefault="004D6802" w:rsidP="006A1B71">
            <w:pPr>
              <w:pStyle w:val="Header"/>
              <w:rPr>
                <w:rFonts w:ascii="Minion Pro" w:hAnsi="Minion Pro"/>
                <w:sz w:val="22"/>
                <w:szCs w:val="22"/>
              </w:rPr>
            </w:pPr>
            <w:r>
              <w:rPr>
                <w:rFonts w:ascii="Minion Pro" w:hAnsi="Minion Pro"/>
                <w:sz w:val="22"/>
                <w:szCs w:val="22"/>
              </w:rPr>
              <w:t>Jason Learned, FDOT D5 Planning</w:t>
            </w:r>
          </w:p>
          <w:p w:rsidR="003A1092" w:rsidRDefault="004D6802" w:rsidP="006A1B71">
            <w:pPr>
              <w:pStyle w:val="Header"/>
              <w:tabs>
                <w:tab w:val="left" w:pos="792"/>
              </w:tabs>
              <w:rPr>
                <w:rFonts w:ascii="Interstate-Light" w:hAnsi="Interstate-Light"/>
                <w:sz w:val="20"/>
              </w:rPr>
            </w:pPr>
            <w:r>
              <w:rPr>
                <w:rFonts w:ascii="Interstate-Light" w:hAnsi="Interstate-Light"/>
                <w:sz w:val="20"/>
              </w:rPr>
              <w:t>Tim Palermo, AECOM/Orlando</w:t>
            </w:r>
          </w:p>
          <w:p w:rsidR="004D6802" w:rsidRPr="00AD7A69" w:rsidRDefault="004D6802" w:rsidP="006A1B71">
            <w:pPr>
              <w:pStyle w:val="Header"/>
              <w:tabs>
                <w:tab w:val="left" w:pos="792"/>
              </w:tabs>
              <w:rPr>
                <w:rFonts w:ascii="Interstate-Light" w:hAnsi="Interstate-Light"/>
                <w:sz w:val="20"/>
              </w:rPr>
            </w:pPr>
          </w:p>
        </w:tc>
      </w:tr>
      <w:tr w:rsidR="003A1092" w:rsidRPr="0077103D" w:rsidTr="00B85AC8">
        <w:trPr>
          <w:gridAfter w:val="1"/>
          <w:wAfter w:w="2592" w:type="dxa"/>
          <w:cantSplit/>
          <w:trHeight w:hRule="exact" w:val="216"/>
        </w:trPr>
        <w:tc>
          <w:tcPr>
            <w:tcW w:w="3162" w:type="dxa"/>
            <w:vMerge w:val="restart"/>
            <w:noWrap/>
          </w:tcPr>
          <w:p w:rsidR="00D90B03" w:rsidRDefault="00D90B03" w:rsidP="00AF72A5">
            <w:pPr>
              <w:rPr>
                <w:rFonts w:ascii="Interstate-Black" w:hAnsi="Interstate-Black"/>
                <w:szCs w:val="24"/>
              </w:rPr>
            </w:pPr>
          </w:p>
          <w:p w:rsidR="00D90B03" w:rsidRDefault="00D90B03" w:rsidP="00AF72A5">
            <w:pPr>
              <w:rPr>
                <w:rFonts w:ascii="Interstate-Black" w:hAnsi="Interstate-Black"/>
                <w:szCs w:val="24"/>
              </w:rPr>
            </w:pPr>
          </w:p>
          <w:p w:rsidR="003A1092" w:rsidRPr="00485E87" w:rsidRDefault="003A1092" w:rsidP="00AF72A5">
            <w:pPr>
              <w:rPr>
                <w:rFonts w:ascii="Interstate-Black" w:hAnsi="Interstate-Black"/>
                <w:szCs w:val="24"/>
              </w:rPr>
            </w:pPr>
            <w:r w:rsidRPr="00485E87">
              <w:rPr>
                <w:rFonts w:ascii="Interstate-Black" w:hAnsi="Interstate-Black"/>
                <w:szCs w:val="24"/>
              </w:rPr>
              <w:t>PROJECT</w:t>
            </w:r>
          </w:p>
          <w:p w:rsidR="003A1092" w:rsidRPr="00485E87" w:rsidRDefault="003A1092" w:rsidP="00AF72A5">
            <w:pPr>
              <w:rPr>
                <w:rFonts w:ascii="Interstate-Black" w:hAnsi="Interstate-Black"/>
                <w:szCs w:val="24"/>
              </w:rPr>
            </w:pPr>
            <w:r w:rsidRPr="00485E87">
              <w:rPr>
                <w:rFonts w:ascii="Interstate-Black" w:hAnsi="Interstate-Black"/>
                <w:szCs w:val="24"/>
              </w:rPr>
              <w:t>CORRESPONDENCE</w:t>
            </w:r>
          </w:p>
        </w:tc>
        <w:tc>
          <w:tcPr>
            <w:tcW w:w="3451" w:type="dxa"/>
            <w:noWrap/>
          </w:tcPr>
          <w:p w:rsidR="003A1092" w:rsidRPr="00AD7A69" w:rsidRDefault="003A1092" w:rsidP="006A1B71">
            <w:pPr>
              <w:pStyle w:val="Header"/>
              <w:tabs>
                <w:tab w:val="left" w:pos="792"/>
              </w:tabs>
              <w:rPr>
                <w:rFonts w:ascii="Interstate-Light" w:hAnsi="Interstate-Light"/>
                <w:sz w:val="20"/>
              </w:rPr>
            </w:pPr>
            <w:r>
              <w:rPr>
                <w:rFonts w:ascii="Interstate-Bold" w:hAnsi="Interstate-Bold"/>
                <w:sz w:val="20"/>
              </w:rPr>
              <w:t>From</w:t>
            </w:r>
          </w:p>
        </w:tc>
      </w:tr>
      <w:tr w:rsidR="003A1092" w:rsidRPr="0077103D" w:rsidTr="00B85AC8">
        <w:trPr>
          <w:gridAfter w:val="1"/>
          <w:wAfter w:w="2592" w:type="dxa"/>
          <w:cantSplit/>
          <w:trHeight w:val="504"/>
        </w:trPr>
        <w:tc>
          <w:tcPr>
            <w:tcW w:w="3162" w:type="dxa"/>
            <w:vMerge/>
            <w:noWrap/>
          </w:tcPr>
          <w:p w:rsidR="003A1092" w:rsidRPr="00AD7A69" w:rsidRDefault="003A1092" w:rsidP="006A1B71">
            <w:pPr>
              <w:pStyle w:val="Header"/>
              <w:rPr>
                <w:rFonts w:ascii="Interstate-Light" w:hAnsi="Interstate-Light"/>
                <w:sz w:val="20"/>
              </w:rPr>
            </w:pPr>
          </w:p>
        </w:tc>
        <w:tc>
          <w:tcPr>
            <w:tcW w:w="3451" w:type="dxa"/>
            <w:noWrap/>
          </w:tcPr>
          <w:p w:rsidR="003A1092" w:rsidRPr="00AD7A69" w:rsidRDefault="000544C0" w:rsidP="006A1B71">
            <w:pPr>
              <w:pStyle w:val="Header"/>
              <w:tabs>
                <w:tab w:val="left" w:pos="792"/>
              </w:tabs>
              <w:rPr>
                <w:rFonts w:ascii="Interstate-Light" w:hAnsi="Interstate-Light"/>
                <w:sz w:val="20"/>
              </w:rPr>
            </w:pPr>
            <w:r>
              <w:rPr>
                <w:rFonts w:ascii="Interstate-Light" w:hAnsi="Interstate-Light"/>
                <w:sz w:val="20"/>
              </w:rPr>
              <w:t>Daniel Beaty, AICP</w:t>
            </w:r>
          </w:p>
        </w:tc>
      </w:tr>
      <w:tr w:rsidR="003A1092" w:rsidRPr="0077103D" w:rsidTr="00B85AC8">
        <w:trPr>
          <w:gridAfter w:val="1"/>
          <w:wAfter w:w="2592" w:type="dxa"/>
          <w:cantSplit/>
        </w:trPr>
        <w:tc>
          <w:tcPr>
            <w:tcW w:w="3162" w:type="dxa"/>
            <w:vMerge/>
            <w:noWrap/>
            <w:vAlign w:val="center"/>
          </w:tcPr>
          <w:p w:rsidR="003A1092" w:rsidRPr="00AD7A69" w:rsidRDefault="003A1092" w:rsidP="006A1B71">
            <w:pPr>
              <w:pStyle w:val="Header"/>
              <w:rPr>
                <w:rFonts w:ascii="Interstate-Light" w:hAnsi="Interstate-Light"/>
                <w:sz w:val="20"/>
              </w:rPr>
            </w:pPr>
          </w:p>
        </w:tc>
        <w:tc>
          <w:tcPr>
            <w:tcW w:w="3451" w:type="dxa"/>
            <w:noWrap/>
          </w:tcPr>
          <w:p w:rsidR="003A1092" w:rsidRPr="00AD7A69" w:rsidRDefault="003A1092" w:rsidP="006A1B71">
            <w:pPr>
              <w:pStyle w:val="Header"/>
              <w:tabs>
                <w:tab w:val="left" w:pos="792"/>
              </w:tabs>
              <w:rPr>
                <w:rFonts w:ascii="Interstate-Light" w:hAnsi="Interstate-Light"/>
                <w:sz w:val="20"/>
              </w:rPr>
            </w:pPr>
            <w:r>
              <w:rPr>
                <w:rFonts w:ascii="Interstate-Bold" w:hAnsi="Interstate-Bold"/>
                <w:sz w:val="20"/>
              </w:rPr>
              <w:t>Subject</w:t>
            </w:r>
          </w:p>
        </w:tc>
      </w:tr>
      <w:tr w:rsidR="003A1092" w:rsidRPr="0077103D" w:rsidTr="00B85AC8">
        <w:trPr>
          <w:gridAfter w:val="1"/>
          <w:wAfter w:w="2592" w:type="dxa"/>
          <w:cantSplit/>
          <w:trHeight w:val="504"/>
        </w:trPr>
        <w:tc>
          <w:tcPr>
            <w:tcW w:w="3162" w:type="dxa"/>
            <w:vMerge/>
            <w:noWrap/>
            <w:vAlign w:val="center"/>
          </w:tcPr>
          <w:p w:rsidR="003A1092" w:rsidRPr="00AD7A69" w:rsidRDefault="003A1092" w:rsidP="006A1B71">
            <w:pPr>
              <w:pStyle w:val="Header"/>
              <w:rPr>
                <w:rFonts w:ascii="Interstate-Light" w:hAnsi="Interstate-Light"/>
                <w:sz w:val="20"/>
              </w:rPr>
            </w:pPr>
          </w:p>
        </w:tc>
        <w:tc>
          <w:tcPr>
            <w:tcW w:w="3451" w:type="dxa"/>
            <w:noWrap/>
          </w:tcPr>
          <w:p w:rsidR="003A1092" w:rsidRPr="00AD7A69" w:rsidRDefault="000544C0" w:rsidP="006A1B71">
            <w:pPr>
              <w:pStyle w:val="Header"/>
              <w:tabs>
                <w:tab w:val="left" w:pos="792"/>
              </w:tabs>
              <w:rPr>
                <w:rFonts w:ascii="Interstate-Light" w:hAnsi="Interstate-Light"/>
                <w:sz w:val="20"/>
              </w:rPr>
            </w:pPr>
            <w:r>
              <w:rPr>
                <w:rFonts w:ascii="Minion Pro" w:hAnsi="Minion Pro"/>
                <w:sz w:val="22"/>
                <w:szCs w:val="22"/>
              </w:rPr>
              <w:t>CFRPM 6.4.1 TOD: SubArea Application Modifications</w:t>
            </w:r>
          </w:p>
        </w:tc>
      </w:tr>
    </w:tbl>
    <w:p w:rsidR="006A1B71" w:rsidRDefault="006A1B71" w:rsidP="00B45FD3">
      <w:pPr>
        <w:spacing w:after="240"/>
      </w:pPr>
    </w:p>
    <w:p w:rsidR="000F04A0" w:rsidRDefault="000F04A0" w:rsidP="00B45FD3">
      <w:pPr>
        <w:spacing w:after="240"/>
      </w:pPr>
      <w:r>
        <w:t>The following changes were made to the TOD model to incorporate the SubArea application.</w:t>
      </w:r>
    </w:p>
    <w:p w:rsidR="000544C0" w:rsidRDefault="000544C0" w:rsidP="000544C0">
      <w:pPr>
        <w:pStyle w:val="ListParagraph"/>
        <w:numPr>
          <w:ilvl w:val="0"/>
          <w:numId w:val="1"/>
        </w:numPr>
      </w:pPr>
      <w:r>
        <w:t>Added in DISTR_STEP Key</w:t>
      </w:r>
    </w:p>
    <w:p w:rsidR="004D6802" w:rsidRDefault="004D6802" w:rsidP="000544C0">
      <w:pPr>
        <w:pStyle w:val="ListParagraph"/>
        <w:numPr>
          <w:ilvl w:val="0"/>
          <w:numId w:val="1"/>
        </w:numPr>
      </w:pPr>
      <w:r>
        <w:t>Cleaned up “STEP” key descriptions to accurately display what the step is</w:t>
      </w:r>
    </w:p>
    <w:p w:rsidR="00092642" w:rsidRDefault="00530D7D" w:rsidP="000544C0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DISTRIBUTION.app</w:t>
      </w:r>
      <w:proofErr w:type="spellEnd"/>
      <w:r>
        <w:t xml:space="preserve">, </w:t>
      </w:r>
      <w:r w:rsidR="00092642">
        <w:t xml:space="preserve">combined all the steps for the Peak Period Distribution into </w:t>
      </w:r>
      <w:r w:rsidR="00901FBC">
        <w:t>a</w:t>
      </w:r>
      <w:bookmarkStart w:id="0" w:name="_GoBack"/>
      <w:bookmarkEnd w:id="0"/>
      <w:r w:rsidR="00092642">
        <w:t xml:space="preserve"> new sub application called “Peak Distribution”. </w:t>
      </w:r>
    </w:p>
    <w:p w:rsidR="0024001D" w:rsidRDefault="00663459" w:rsidP="000544C0">
      <w:pPr>
        <w:pStyle w:val="ListParagraph"/>
        <w:numPr>
          <w:ilvl w:val="0"/>
          <w:numId w:val="1"/>
        </w:numPr>
      </w:pPr>
      <w:r>
        <w:t>Added PILOT Steps 1 and 21</w:t>
      </w:r>
      <w:r w:rsidR="0024001D">
        <w:t xml:space="preserve"> in DISTRIBUTION.app</w:t>
      </w:r>
    </w:p>
    <w:p w:rsidR="00611F77" w:rsidRDefault="00611F77" w:rsidP="000544C0">
      <w:pPr>
        <w:pStyle w:val="ListParagraph"/>
        <w:numPr>
          <w:ilvl w:val="0"/>
          <w:numId w:val="1"/>
        </w:numPr>
      </w:pPr>
      <w:r>
        <w:t xml:space="preserve">Added in </w:t>
      </w:r>
      <w:proofErr w:type="spellStart"/>
      <w:r>
        <w:t>SUBAREA.app</w:t>
      </w:r>
      <w:proofErr w:type="spellEnd"/>
      <w:r>
        <w:t xml:space="preserve"> as step </w:t>
      </w:r>
      <w:r w:rsidR="00EE38DA">
        <w:t>1</w:t>
      </w:r>
      <w:r w:rsidR="00092642">
        <w:t>5</w:t>
      </w:r>
      <w:r>
        <w:t xml:space="preserve"> in </w:t>
      </w:r>
      <w:proofErr w:type="spellStart"/>
      <w:r>
        <w:t>DISTRIBUTION.app</w:t>
      </w:r>
      <w:proofErr w:type="spellEnd"/>
    </w:p>
    <w:p w:rsidR="000544C0" w:rsidRDefault="000544C0" w:rsidP="000544C0">
      <w:pPr>
        <w:pStyle w:val="ListParagraph"/>
        <w:numPr>
          <w:ilvl w:val="0"/>
          <w:numId w:val="1"/>
        </w:numPr>
      </w:pPr>
      <w:r>
        <w:t>Copied all District Files into</w:t>
      </w:r>
      <w:r w:rsidR="0077180A" w:rsidRPr="0077180A">
        <w:t xml:space="preserve"> </w:t>
      </w:r>
      <w:r w:rsidR="0024001D">
        <w:t>{Alternative}</w:t>
      </w:r>
      <w:r w:rsidR="0077180A">
        <w:t xml:space="preserve"> Folder</w:t>
      </w:r>
    </w:p>
    <w:p w:rsidR="000544C0" w:rsidRDefault="000544C0" w:rsidP="000544C0">
      <w:pPr>
        <w:pStyle w:val="ListParagraph"/>
        <w:numPr>
          <w:ilvl w:val="1"/>
          <w:numId w:val="1"/>
        </w:numPr>
      </w:pPr>
      <w:r>
        <w:t>DLEVEL_AL.DBF, DLEVEL_LS.DBF, DLEVEL_MP.DBF, DLEVEL_OM.DBF, DLEVEL_RS.DBF, DLEVEL_SC.DBF, DLEVEL_xx.DBF</w:t>
      </w:r>
    </w:p>
    <w:p w:rsidR="000544C0" w:rsidRDefault="000544C0" w:rsidP="000544C0">
      <w:pPr>
        <w:pStyle w:val="ListParagraph"/>
        <w:numPr>
          <w:ilvl w:val="1"/>
          <w:numId w:val="1"/>
        </w:numPr>
      </w:pPr>
      <w:r>
        <w:t>SADists_AL.DBF, SADists_LS.DBF, SADists_MP.DBF, SADists_OM.DBF, SADists_RS.DBF, SADists_SC.DBF, SADists_xx.DBF</w:t>
      </w:r>
    </w:p>
    <w:p w:rsidR="009E163E" w:rsidRDefault="009E163E" w:rsidP="000F04A0">
      <w:pPr>
        <w:pStyle w:val="ListParagraph"/>
        <w:numPr>
          <w:ilvl w:val="0"/>
          <w:numId w:val="1"/>
        </w:numPr>
      </w:pPr>
      <w:r>
        <w:t xml:space="preserve">Created new step </w:t>
      </w:r>
      <w:r w:rsidR="00092642">
        <w:t>19</w:t>
      </w:r>
      <w:r>
        <w:t xml:space="preserve"> in </w:t>
      </w:r>
      <w:proofErr w:type="spellStart"/>
      <w:r>
        <w:t>DISTRIBUTION.app</w:t>
      </w:r>
      <w:proofErr w:type="spellEnd"/>
      <w:r>
        <w:t xml:space="preserve"> (DTMAT00</w:t>
      </w:r>
      <w:r w:rsidR="00CE3435">
        <w:t>Y</w:t>
      </w:r>
      <w:r>
        <w:t>.S)</w:t>
      </w:r>
    </w:p>
    <w:p w:rsidR="00212EEA" w:rsidRDefault="00212EEA" w:rsidP="000F04A0">
      <w:pPr>
        <w:pStyle w:val="ListParagraph"/>
        <w:numPr>
          <w:ilvl w:val="0"/>
          <w:numId w:val="1"/>
        </w:numPr>
      </w:pPr>
      <w:r>
        <w:t xml:space="preserve">Modified step 2 (MCAMT00Q.S) in </w:t>
      </w:r>
      <w:proofErr w:type="spellStart"/>
      <w:r>
        <w:t>MODECHOICE.app</w:t>
      </w:r>
      <w:proofErr w:type="spellEnd"/>
      <w:r>
        <w:t xml:space="preserve"> to reference </w:t>
      </w:r>
      <w:proofErr w:type="spellStart"/>
      <w:r>
        <w:t>SAHTTAB_TEM.MAT</w:t>
      </w:r>
      <w:proofErr w:type="spellEnd"/>
      <w:r>
        <w:t xml:space="preserve"> instead of </w:t>
      </w:r>
      <w:proofErr w:type="spellStart"/>
      <w:r>
        <w:t>MODEIN.TEM</w:t>
      </w:r>
      <w:proofErr w:type="spellEnd"/>
    </w:p>
    <w:p w:rsidR="004D6802" w:rsidRDefault="002265F7" w:rsidP="002265F7">
      <w:pPr>
        <w:pStyle w:val="ListParagraph"/>
        <w:numPr>
          <w:ilvl w:val="0"/>
          <w:numId w:val="1"/>
        </w:numPr>
      </w:pPr>
      <w:r>
        <w:t xml:space="preserve">Modified Highway Assignment, Time of Day Assignment steps 1,3,5 and 7 script files to reference </w:t>
      </w:r>
      <w:proofErr w:type="spellStart"/>
      <w:r>
        <w:t>SA_HNET</w:t>
      </w:r>
      <w:proofErr w:type="spellEnd"/>
      <w:proofErr w:type="gramStart"/>
      <w:r>
        <w:t>_{</w:t>
      </w:r>
      <w:proofErr w:type="gramEnd"/>
      <w:r>
        <w:t>YEAR|.NET instead of UNLOADED{ALT}{YEAR}.NET.</w:t>
      </w:r>
    </w:p>
    <w:p w:rsidR="00CF54B3" w:rsidRPr="006A1B71" w:rsidRDefault="00CF54B3" w:rsidP="006D6079"/>
    <w:sectPr w:rsidR="00CF54B3" w:rsidRPr="006A1B71" w:rsidSect="006A1B71">
      <w:headerReference w:type="default" r:id="rId8"/>
      <w:footerReference w:type="first" r:id="rId9"/>
      <w:pgSz w:w="12240" w:h="15840" w:code="1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259" w:rsidRDefault="00E83259">
      <w:r>
        <w:separator/>
      </w:r>
    </w:p>
  </w:endnote>
  <w:endnote w:type="continuationSeparator" w:id="0">
    <w:p w:rsidR="00E83259" w:rsidRDefault="00E8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nion Pro">
    <w:panose1 w:val="02040503050201020203"/>
    <w:charset w:val="00"/>
    <w:family w:val="roman"/>
    <w:notTrueType/>
    <w:pitch w:val="variable"/>
    <w:sig w:usb0="E00002AF" w:usb1="50006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terstate-Black">
    <w:panose1 w:val="02000603040000020004"/>
    <w:charset w:val="00"/>
    <w:family w:val="auto"/>
    <w:pitch w:val="variable"/>
    <w:sig w:usb0="80000027" w:usb1="00000040" w:usb2="00000000" w:usb3="00000000" w:csb0="00000001" w:csb1="00000000"/>
  </w:font>
  <w:font w:name="Interstate-Light">
    <w:panose1 w:val="02000606030000020004"/>
    <w:charset w:val="00"/>
    <w:family w:val="auto"/>
    <w:pitch w:val="variable"/>
    <w:sig w:usb0="80000027" w:usb1="00000040" w:usb2="00000000" w:usb3="00000000" w:csb0="00000001" w:csb1="00000000"/>
  </w:font>
  <w:font w:name="Interstate-Bold">
    <w:panose1 w:val="02000803030000020004"/>
    <w:charset w:val="00"/>
    <w:family w:val="auto"/>
    <w:pitch w:val="variable"/>
    <w:sig w:usb0="80000027" w:usb1="0000004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8AD" w:rsidRPr="004F58AD" w:rsidRDefault="004F58AD">
    <w:pPr>
      <w:pStyle w:val="Footer"/>
      <w:rPr>
        <w:sz w:val="16"/>
        <w:szCs w:val="16"/>
      </w:rPr>
    </w:pPr>
    <w:r w:rsidRPr="004F58AD">
      <w:rPr>
        <w:sz w:val="16"/>
        <w:szCs w:val="16"/>
      </w:rPr>
      <w:fldChar w:fldCharType="begin"/>
    </w:r>
    <w:r w:rsidRPr="004F58AD">
      <w:rPr>
        <w:sz w:val="16"/>
        <w:szCs w:val="16"/>
      </w:rPr>
      <w:instrText xml:space="preserve"> FILENAME  \* Caps  \* MERGEFORMAT </w:instrText>
    </w:r>
    <w:r w:rsidRPr="004F58AD">
      <w:rPr>
        <w:sz w:val="16"/>
        <w:szCs w:val="16"/>
      </w:rPr>
      <w:fldChar w:fldCharType="separate"/>
    </w:r>
    <w:r w:rsidR="00663459">
      <w:rPr>
        <w:noProof/>
        <w:sz w:val="16"/>
        <w:szCs w:val="16"/>
      </w:rPr>
      <w:t>CFRPM_641TOD_Subarea_Changes_090816.Docx</w:t>
    </w:r>
    <w:r w:rsidRPr="004F58AD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259" w:rsidRDefault="00E83259">
      <w:r>
        <w:separator/>
      </w:r>
    </w:p>
  </w:footnote>
  <w:footnote w:type="continuationSeparator" w:id="0">
    <w:p w:rsidR="00E83259" w:rsidRDefault="00E83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2A5" w:rsidRPr="006A1B71" w:rsidRDefault="00AF72A5" w:rsidP="006A1B71">
    <w:pPr>
      <w:pStyle w:val="Header"/>
      <w:spacing w:after="720"/>
      <w:rPr>
        <w:rFonts w:ascii="Interstate-Light" w:hAnsi="Interstate-Light"/>
        <w:sz w:val="18"/>
        <w:szCs w:val="18"/>
      </w:rPr>
    </w:pPr>
    <w:r w:rsidRPr="006A1B71">
      <w:rPr>
        <w:rFonts w:ascii="Interstate-Light" w:hAnsi="Interstate-Light"/>
        <w:sz w:val="18"/>
        <w:szCs w:val="18"/>
      </w:rPr>
      <w:t xml:space="preserve">Page </w:t>
    </w:r>
    <w:r w:rsidRPr="006A1B71">
      <w:rPr>
        <w:rFonts w:ascii="Interstate-Light" w:hAnsi="Interstate-Light"/>
        <w:sz w:val="18"/>
        <w:szCs w:val="18"/>
      </w:rPr>
      <w:fldChar w:fldCharType="begin"/>
    </w:r>
    <w:r w:rsidRPr="006A1B71">
      <w:rPr>
        <w:rFonts w:ascii="Interstate-Light" w:hAnsi="Interstate-Light"/>
        <w:sz w:val="18"/>
        <w:szCs w:val="18"/>
      </w:rPr>
      <w:instrText xml:space="preserve"> PAGE </w:instrText>
    </w:r>
    <w:r w:rsidRPr="006A1B71">
      <w:rPr>
        <w:rFonts w:ascii="Interstate-Light" w:hAnsi="Interstate-Light"/>
        <w:sz w:val="18"/>
        <w:szCs w:val="18"/>
      </w:rPr>
      <w:fldChar w:fldCharType="separate"/>
    </w:r>
    <w:r w:rsidR="009778FF">
      <w:rPr>
        <w:rFonts w:ascii="Interstate-Light" w:hAnsi="Interstate-Light"/>
        <w:noProof/>
        <w:sz w:val="18"/>
        <w:szCs w:val="18"/>
      </w:rPr>
      <w:t>1</w:t>
    </w:r>
    <w:r w:rsidRPr="006A1B71">
      <w:rPr>
        <w:rFonts w:ascii="Interstate-Light" w:hAnsi="Interstate-Light"/>
        <w:sz w:val="18"/>
        <w:szCs w:val="18"/>
      </w:rPr>
      <w:fldChar w:fldCharType="end"/>
    </w:r>
    <w:r w:rsidRPr="006A1B71">
      <w:rPr>
        <w:rFonts w:ascii="Interstate-Light" w:hAnsi="Interstate-Light"/>
        <w:sz w:val="18"/>
        <w:szCs w:val="18"/>
      </w:rPr>
      <w:t xml:space="preserve"> of </w:t>
    </w:r>
    <w:r w:rsidRPr="006A1B71">
      <w:rPr>
        <w:rFonts w:ascii="Interstate-Light" w:hAnsi="Interstate-Light"/>
        <w:sz w:val="18"/>
        <w:szCs w:val="18"/>
      </w:rPr>
      <w:fldChar w:fldCharType="begin"/>
    </w:r>
    <w:r w:rsidRPr="006A1B71">
      <w:rPr>
        <w:rFonts w:ascii="Interstate-Light" w:hAnsi="Interstate-Light"/>
        <w:sz w:val="18"/>
        <w:szCs w:val="18"/>
      </w:rPr>
      <w:instrText xml:space="preserve"> NUMPAGES </w:instrText>
    </w:r>
    <w:r w:rsidRPr="006A1B71">
      <w:rPr>
        <w:rFonts w:ascii="Interstate-Light" w:hAnsi="Interstate-Light"/>
        <w:sz w:val="18"/>
        <w:szCs w:val="18"/>
      </w:rPr>
      <w:fldChar w:fldCharType="separate"/>
    </w:r>
    <w:r w:rsidR="002F4E43">
      <w:rPr>
        <w:rFonts w:ascii="Interstate-Light" w:hAnsi="Interstate-Light"/>
        <w:noProof/>
        <w:sz w:val="18"/>
        <w:szCs w:val="18"/>
      </w:rPr>
      <w:t>1</w:t>
    </w:r>
    <w:r w:rsidRPr="006A1B71">
      <w:rPr>
        <w:rFonts w:ascii="Interstate-Light" w:hAnsi="Interstate-Ligh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77F1"/>
    <w:multiLevelType w:val="hybridMultilevel"/>
    <w:tmpl w:val="27624A3E"/>
    <w:lvl w:ilvl="0" w:tplc="F85ED52A">
      <w:start w:val="1"/>
      <w:numFmt w:val="decimal"/>
      <w:lvlText w:val="%1."/>
      <w:lvlJc w:val="left"/>
      <w:pPr>
        <w:ind w:left="720" w:hanging="360"/>
      </w:pPr>
      <w:rPr>
        <w:rFonts w:ascii="Minion Pro" w:hAnsi="Minion Pro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E7A"/>
    <w:rsid w:val="0003601D"/>
    <w:rsid w:val="000446C7"/>
    <w:rsid w:val="000544C0"/>
    <w:rsid w:val="00082D6A"/>
    <w:rsid w:val="00092642"/>
    <w:rsid w:val="000F04A0"/>
    <w:rsid w:val="001971FE"/>
    <w:rsid w:val="00212EEA"/>
    <w:rsid w:val="002265F7"/>
    <w:rsid w:val="0024001D"/>
    <w:rsid w:val="002F2D56"/>
    <w:rsid w:val="002F4E43"/>
    <w:rsid w:val="003022F8"/>
    <w:rsid w:val="0037571E"/>
    <w:rsid w:val="003A1092"/>
    <w:rsid w:val="003B03B9"/>
    <w:rsid w:val="00414BA7"/>
    <w:rsid w:val="00485340"/>
    <w:rsid w:val="004D22B5"/>
    <w:rsid w:val="004D6802"/>
    <w:rsid w:val="004F58AD"/>
    <w:rsid w:val="00523766"/>
    <w:rsid w:val="00530D7D"/>
    <w:rsid w:val="00534DD3"/>
    <w:rsid w:val="005D466D"/>
    <w:rsid w:val="00611F77"/>
    <w:rsid w:val="006566CE"/>
    <w:rsid w:val="00663459"/>
    <w:rsid w:val="00687BCB"/>
    <w:rsid w:val="006A1B71"/>
    <w:rsid w:val="006D6079"/>
    <w:rsid w:val="006F33F8"/>
    <w:rsid w:val="00750414"/>
    <w:rsid w:val="0077180A"/>
    <w:rsid w:val="007B638F"/>
    <w:rsid w:val="007E66EB"/>
    <w:rsid w:val="007F6D7C"/>
    <w:rsid w:val="00823419"/>
    <w:rsid w:val="00847AD1"/>
    <w:rsid w:val="0086051E"/>
    <w:rsid w:val="00870038"/>
    <w:rsid w:val="008E33BC"/>
    <w:rsid w:val="00901FBC"/>
    <w:rsid w:val="00935E7A"/>
    <w:rsid w:val="009665C7"/>
    <w:rsid w:val="009778FF"/>
    <w:rsid w:val="009E163E"/>
    <w:rsid w:val="00A02A49"/>
    <w:rsid w:val="00A774A2"/>
    <w:rsid w:val="00AC5C18"/>
    <w:rsid w:val="00AD7A69"/>
    <w:rsid w:val="00AF72A5"/>
    <w:rsid w:val="00B45FD3"/>
    <w:rsid w:val="00B67747"/>
    <w:rsid w:val="00B85AC8"/>
    <w:rsid w:val="00C0662D"/>
    <w:rsid w:val="00C1255B"/>
    <w:rsid w:val="00C50D81"/>
    <w:rsid w:val="00C66925"/>
    <w:rsid w:val="00CE3435"/>
    <w:rsid w:val="00CF54B3"/>
    <w:rsid w:val="00D50296"/>
    <w:rsid w:val="00D90143"/>
    <w:rsid w:val="00D90B03"/>
    <w:rsid w:val="00DC23FC"/>
    <w:rsid w:val="00E02729"/>
    <w:rsid w:val="00E325F8"/>
    <w:rsid w:val="00E83259"/>
    <w:rsid w:val="00EE38DA"/>
    <w:rsid w:val="00F139B6"/>
    <w:rsid w:val="00F36B9A"/>
    <w:rsid w:val="00F453EA"/>
    <w:rsid w:val="00F618AD"/>
    <w:rsid w:val="00F7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16F5A"/>
  <w15:docId w15:val="{1C71E695-F643-4327-AB00-25023D06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B7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A1B7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A1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6A1B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453EA"/>
    <w:rPr>
      <w:sz w:val="24"/>
    </w:rPr>
  </w:style>
  <w:style w:type="paragraph" w:styleId="ListParagraph">
    <w:name w:val="List Paragraph"/>
    <w:basedOn w:val="Normal"/>
    <w:uiPriority w:val="34"/>
    <w:qFormat/>
    <w:rsid w:val="0005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Temp1_Project_Corrrespondence_Corp.zip\Project_Corrrespondence_Cor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Project_Corrrespondence_Corp.dot</Template>
  <TotalTime>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HNTB Corporation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 Black</dc:creator>
  <dc:description>w/o form fields</dc:description>
  <cp:lastModifiedBy>Daniel Beaty</cp:lastModifiedBy>
  <cp:revision>4</cp:revision>
  <cp:lastPrinted>2016-08-26T14:12:00Z</cp:lastPrinted>
  <dcterms:created xsi:type="dcterms:W3CDTF">2016-09-08T19:06:00Z</dcterms:created>
  <dcterms:modified xsi:type="dcterms:W3CDTF">2016-09-16T17:57:00Z</dcterms:modified>
</cp:coreProperties>
</file>