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8d78863ceaf4d1ac108e596068a0a5dfedc076"/>
    <w:p>
      <w:pPr>
        <w:pStyle w:val="Heading1"/>
        <w:widowControl/>
      </w:pPr>
      <w:r>
        <w:t xml:space="preserve">GP-REC-E0-CONVERSION-READINESS-20260802-v1.0</w:t>
      </w:r>
    </w:p>
    <w:p>
      <w:pPr>
        <w:pStyle w:val="FirstParagraph"/>
        <w:widowControl/>
      </w:pPr>
      <w:r>
        <w:rPr>
          <w:bCs/>
          <w:b/>
        </w:rPr>
        <w:t xml:space="preserve">Date:</w:t>
      </w:r>
      <w:r>
        <w:t xml:space="preserve"> </w:t>
      </w:r>
      <w:r>
        <w:t xml:space="preserve">2026-08-02</w:t>
      </w:r>
      <w:r>
        <w:br/>
      </w:r>
      <w:r>
        <w:rPr>
          <w:bCs/>
          <w:b/>
        </w:rPr>
        <w:t xml:space="preserve">Track:</w:t>
      </w:r>
      <w:r>
        <w:t xml:space="preserve"> </w:t>
      </w:r>
      <w:r>
        <w:t xml:space="preserve">q0/P0.1</w:t>
      </w:r>
      <w:r>
        <w:br/>
      </w:r>
      <w:r>
        <w:rPr>
          <w:bCs/>
          <w:b/>
        </w:rPr>
        <w:t xml:space="preserve">Authority:</w:t>
      </w:r>
      <w:r>
        <w:t xml:space="preserve"> </w:t>
      </w:r>
      <w:r>
        <w:t xml:space="preserve">identity and reconciliation only; zero organizational-independence credit</w:t>
      </w:r>
      <w:r>
        <w:br/>
      </w:r>
      <w:r>
        <w:rPr>
          <w:bCs/>
          <w:b/>
        </w:rPr>
        <w:t xml:space="preserve">Controlling effect:</w:t>
      </w:r>
      <w:r>
        <w:t xml:space="preserve"> </w:t>
      </w:r>
      <w:r>
        <w:rPr>
          <w:bCs/>
          <w:b/>
        </w:rPr>
        <w:t xml:space="preserve">E0 remains FALSE</w:t>
      </w:r>
      <w:r>
        <w:t xml:space="preserve">; no theorem, package, Boolean-group, sealing, or promotion effect.</w:t>
      </w:r>
    </w:p>
    <w:bookmarkStart w:id="20" w:name="exact-target-reproduced"/>
    <w:p>
      <w:pPr>
        <w:pStyle w:val="Heading2"/>
        <w:widowControl/>
      </w:pPr>
      <w:r>
        <w:t xml:space="preserve">1. Exact target reproduced</w:t>
      </w:r>
    </w:p>
    <w:p>
      <w:pPr>
        <w:pStyle w:val="FirstParagraph"/>
        <w:widowControl/>
      </w:pPr>
      <w:r>
        <w:t xml:space="preserve">The live target is: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b/>
        </w:rPr>
        <w:t xml:space="preserve">GP-DER-197-v1.0</w:t>
      </w:r>
      <w:r>
        <w:t xml:space="preserve">,</w:t>
      </w:r>
      <w:r>
        <w:t xml:space="preserve"> </w:t>
      </w:r>
      <w:r>
        <w:t xml:space="preserve">“</w:t>
      </w:r>
      <w:r>
        <w:t xml:space="preserve">Measurable Selected Unstable Branch and Borel Exact Adjacency Event</w:t>
      </w:r>
      <w:r>
        <w:t xml:space="preserve">”</w:t>
      </w:r>
    </w:p>
    <w:p>
      <w:pPr>
        <w:widowControl/>
        <w:numPr>
          <w:ilvl w:val="0"/>
          <w:numId w:val="1001"/>
        </w:numPr>
        <w:pStyle w:val="Compact"/>
      </w:pPr>
      <w:r>
        <w:t xml:space="preserve">Drive ID</w:t>
      </w:r>
      <w:r>
        <w:t xml:space="preserve"> </w:t>
      </w:r>
      <w:r>
        <w:rPr>
          <w:rStyle w:val="VerbatimChar"/>
        </w:rPr>
        <w:t xml:space="preserve">1hGQVFDZKHMcdG94_OIgVEwipTR6pvKCk_-llHyIq3uQ</w:t>
      </w:r>
    </w:p>
    <w:p>
      <w:pPr>
        <w:widowControl/>
        <w:numPr>
          <w:ilvl w:val="0"/>
          <w:numId w:val="1001"/>
        </w:numPr>
        <w:pStyle w:val="Compact"/>
      </w:pPr>
      <w:r>
        <w:t xml:space="preserve">native-Drive metadata size: 13,990 bytes</w:t>
      </w:r>
    </w:p>
    <w:p>
      <w:pPr>
        <w:widowControl/>
        <w:numPr>
          <w:ilvl w:val="0"/>
          <w:numId w:val="1001"/>
        </w:numPr>
        <w:pStyle w:val="Compact"/>
      </w:pPr>
      <w:r>
        <w:t xml:space="preserve">declared marker-body identity:</w:t>
      </w:r>
      <w:r>
        <w:t xml:space="preserve"> </w:t>
      </w:r>
      <w:r>
        <w:rPr>
          <w:bCs/>
          <w:b/>
        </w:rPr>
        <w:t xml:space="preserve">13,797 UTF-8 bytes</w:t>
      </w:r>
    </w:p>
    <w:p>
      <w:pPr>
        <w:widowControl/>
        <w:numPr>
          <w:ilvl w:val="0"/>
          <w:numId w:val="1001"/>
        </w:numPr>
        <w:pStyle w:val="Compact"/>
      </w:pPr>
      <w:r>
        <w:t xml:space="preserve">marker-body SHA-256:</w:t>
      </w:r>
      <w:r>
        <w:t xml:space="preserve"> </w:t>
      </w:r>
      <w:r>
        <w:rPr>
          <w:rStyle w:val="VerbatimChar"/>
        </w:rPr>
        <w:t xml:space="preserve">035d5a18018606bd8736dc5774a7adbed29de453b30a1780976e1e4f69285d4d</w:t>
      </w:r>
    </w:p>
    <w:p>
      <w:pPr>
        <w:pStyle w:val="FirstParagraph"/>
        <w:widowControl/>
      </w:pPr>
      <w:r>
        <w:t xml:space="preserve">A fresh native Google Docs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export was obtained on 2026-08-02. The export contains exactly one literal marker line</w:t>
      </w:r>
      <w:r>
        <w:t xml:space="preserve"> </w:t>
      </w:r>
      <w:r>
        <w:rPr>
          <w:rStyle w:val="VerbatimChar"/>
        </w:rPr>
        <w:t xml:space="preserve">BEGIN_FROZEN_BODY</w:t>
      </w:r>
      <w:r>
        <w:t xml:space="preserve"> </w:t>
      </w:r>
      <w:r>
        <w:t xml:space="preserve">and one literal marker line</w:t>
      </w:r>
      <w:r>
        <w:t xml:space="preserve"> </w:t>
      </w:r>
      <w:r>
        <w:rPr>
          <w:rStyle w:val="VerbatimChar"/>
        </w:rPr>
        <w:t xml:space="preserve">END_FROZEN_BODY</w:t>
      </w:r>
      <w:r>
        <w:t xml:space="preserve">; other occurrences are explanatory prose only. Applying the GP-REC-197 marker policy reproduced 13,797 bytes and the full SHA-256 above. The target therefore has no unresolved byte-identity defect.</w:t>
      </w:r>
    </w:p>
    <w:p>
      <w:pPr>
        <w:pStyle w:val="BodyText"/>
        <w:widowControl/>
      </w:pPr>
      <w:r>
        <w:t xml:space="preserve">The controlling freeze-policy receipt is</w:t>
      </w:r>
      <w:r>
        <w:t xml:space="preserve"> </w:t>
      </w:r>
      <w:r>
        <w:rPr>
          <w:bCs/>
          <w:b/>
        </w:rPr>
        <w:t xml:space="preserve">GP-REC-197-v1.0</w:t>
      </w:r>
      <w:r>
        <w:t xml:space="preserve">, Drive</w:t>
      </w:r>
      <w:r>
        <w:t xml:space="preserve"> </w:t>
      </w:r>
      <w:r>
        <w:rPr>
          <w:rStyle w:val="VerbatimChar"/>
        </w:rPr>
        <w:t xml:space="preserve">1R4qESRtDNtYjYwCwhnRXJ_nkcHIXnzB-f91mjfCdM-8</w:t>
      </w:r>
      <w:r>
        <w:t xml:space="preserve">. It invalidates the superseded 13,783-byte /</w:t>
      </w:r>
      <w:r>
        <w:t xml:space="preserve"> </w:t>
      </w:r>
      <w:r>
        <w:rPr>
          <w:rStyle w:val="VerbatimChar"/>
        </w:rPr>
        <w:t xml:space="preserve">ee9a34f9…73dc7</w:t>
      </w:r>
      <w:r>
        <w:t xml:space="preserve"> </w:t>
      </w:r>
      <w:r>
        <w:t xml:space="preserve">identity.</w:t>
      </w:r>
    </w:p>
    <w:bookmarkEnd w:id="20"/>
    <w:bookmarkStart w:id="21" w:name="X375d3658f5c5d599f4b88c0b729a952b6397368"/>
    <w:p>
      <w:pPr>
        <w:pStyle w:val="Heading2"/>
        <w:widowControl/>
      </w:pPr>
      <w:r>
        <w:t xml:space="preserve">2. Existing favorable review and the remaining R6 condition</w:t>
      </w:r>
    </w:p>
    <w:p>
      <w:pPr>
        <w:pStyle w:val="FirstParagraph"/>
        <w:widowControl/>
      </w:pPr>
      <w:r>
        <w:t xml:space="preserve">The favorable mathematical review is</w:t>
      </w:r>
      <w:r>
        <w:t xml:space="preserve"> </w:t>
      </w:r>
      <w:r>
        <w:rPr>
          <w:bCs/>
          <w:b/>
        </w:rPr>
        <w:t xml:space="preserve">CL-AUD-205-v1.0</w:t>
      </w:r>
      <w:r>
        <w:t xml:space="preserve">, Drive</w:t>
      </w:r>
      <w:r>
        <w:t xml:space="preserve"> </w:t>
      </w:r>
      <w:r>
        <w:rPr>
          <w:rStyle w:val="VerbatimChar"/>
        </w:rPr>
        <w:t xml:space="preserve">1lJFM5-4wtAp8nAbaSZbJXYovEJmsA1RERqKOieyel9U</w:t>
      </w:r>
      <w:r>
        <w:t xml:space="preserve">. Its current text names the 13,797-byte body and full</w:t>
      </w:r>
      <w:r>
        <w:t xml:space="preserve"> </w:t>
      </w:r>
      <w:r>
        <w:rPr>
          <w:rStyle w:val="VerbatimChar"/>
        </w:rPr>
        <w:t xml:space="preserve">035d…85d4d</w:t>
      </w:r>
      <w:r>
        <w:t xml:space="preserve"> </w:t>
      </w:r>
      <w:r>
        <w:t xml:space="preserve">SHA and says that frozen body was reviewed.</w:t>
      </w:r>
    </w:p>
    <w:p>
      <w:pPr>
        <w:pStyle w:val="BodyText"/>
        <w:widowControl/>
      </w:pPr>
      <w:r>
        <w:t xml:space="preserve">The controlling conversion route is</w:t>
      </w:r>
      <w:r>
        <w:t xml:space="preserve"> </w:t>
      </w:r>
      <w:r>
        <w:rPr>
          <w:bCs/>
          <w:b/>
        </w:rPr>
        <w:t xml:space="preserve">LS-P01-REQ-001-v1.0</w:t>
      </w:r>
      <w:r>
        <w:t xml:space="preserve">, Drive</w:t>
      </w:r>
      <w:r>
        <w:t xml:space="preserve"> </w:t>
      </w:r>
      <w:r>
        <w:rPr>
          <w:rStyle w:val="VerbatimChar"/>
        </w:rPr>
        <w:t xml:space="preserve">1xBD6CPtm902p1RZKvv8J_xavHImw4QSGmVlo79BTfZw</w:t>
      </w:r>
      <w:r>
        <w:t xml:space="preserve">, requirement R6. E0 becomes TRUE only after an organizationally distinct reviewer independently exports and reproduces the exact target, then either:</w:t>
      </w:r>
    </w:p>
    <w:p>
      <w:pPr>
        <w:widowControl/>
        <w:numPr>
          <w:ilvl w:val="0"/>
          <w:numId w:val="1002"/>
        </w:numPr>
        <w:pStyle w:val="Compact"/>
      </w:pPr>
      <w:r>
        <w:t xml:space="preserve">issues a narrow supplement saying CL-AUD-205’s favorable scope applies to that unchanged body; or</w:t>
      </w:r>
    </w:p>
    <w:p>
      <w:pPr>
        <w:widowControl/>
        <w:numPr>
          <w:ilvl w:val="0"/>
          <w:numId w:val="1002"/>
        </w:numPr>
        <w:pStyle w:val="Compact"/>
      </w:pPr>
      <w:r>
        <w:t xml:space="preserve">redoes enough exact-hash source checks to support the same conclusion.</w:t>
      </w:r>
    </w:p>
    <w:p>
      <w:pPr>
        <w:pStyle w:val="FirstParagraph"/>
        <w:widowControl/>
      </w:pPr>
      <w:r>
        <w:t xml:space="preserve">Mutable-header agreement, an OpenAI same-line receipt, or same-line hashing does not satisfy R6. No later qualifying outside-line supplement was found in the 2026-08-02 sweep.</w:t>
      </w:r>
    </w:p>
    <w:bookmarkEnd w:id="21"/>
    <w:bookmarkStart w:id="22" w:name="Xc2841d8d0b3ee701a998ba99c4909c8e4615e2a"/>
    <w:p>
      <w:pPr>
        <w:pStyle w:val="Heading2"/>
        <w:widowControl/>
      </w:pPr>
      <w:r>
        <w:t xml:space="preserve">3. Exact handoff text for an eligible reviewer</w:t>
      </w:r>
    </w:p>
    <w:p>
      <w:pPr>
        <w:pStyle w:val="BlockText"/>
        <w:widowControl/>
      </w:pPr>
      <w:r>
        <w:rPr>
          <w:bCs/>
          <w:b/>
        </w:rPr>
        <w:t xml:space="preserve">PASS EXACT-HASH CONFIRMATION — GP-DER-197-v1.0.</w:t>
      </w:r>
      <w:r>
        <w:t xml:space="preserve"> </w:t>
      </w:r>
      <w:r>
        <w:t xml:space="preserve">I independently exported Drive object</w:t>
      </w:r>
      <w:r>
        <w:t xml:space="preserve"> </w:t>
      </w:r>
      <w:r>
        <w:rPr>
          <w:rStyle w:val="VerbatimChar"/>
        </w:rPr>
        <w:t xml:space="preserve">1hGQVFDZKHMcdG94_OIgVEwipTR6pvKCk_-llHyIq3uQ</w:t>
      </w:r>
      <w:r>
        <w:t xml:space="preserve">, applied the GP-REC-197 marker policy, and reproduced 13,797 bytes with SHA-256</w:t>
      </w:r>
      <w:r>
        <w:t xml:space="preserve"> </w:t>
      </w:r>
      <w:r>
        <w:rPr>
          <w:rStyle w:val="VerbatimChar"/>
        </w:rPr>
        <w:t xml:space="preserve">035d5a18018606bd8736dc5774a7adbed29de453b30a1780976e1e4f69285d4d</w:t>
      </w:r>
      <w:r>
        <w:t xml:space="preserve">. The favorable measurable-selected-branch/Borel-event/conditional-Palm scope of CL-AUD-205 applies to this unchanged frozen body. This is a narrow conversion supplement in the existing reviewer lineage, creates no additional family credit, does not discharge E2, and implies no P0.1/P0.2 promotion.</w:t>
      </w:r>
    </w:p>
    <w:p>
      <w:pPr>
        <w:pStyle w:val="FirstParagraph"/>
        <w:widowControl/>
      </w:pPr>
      <w:r>
        <w:t xml:space="preserve">The eligible reviewer should add its own artifact ID, organization, provider family, timestamp, export environment, whole-file hash, and fail-closed reproduction transcript or equivalent check record.</w:t>
      </w:r>
    </w:p>
    <w:bookmarkEnd w:id="22"/>
    <w:bookmarkStart w:id="23" w:name="control-plane-boundaries"/>
    <w:p>
      <w:pPr>
        <w:pStyle w:val="Heading2"/>
        <w:widowControl/>
      </w:pPr>
      <w:r>
        <w:t xml:space="preserve">4. Control-plane boundaries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b/>
        </w:rPr>
        <w:t xml:space="preserve">E0:</w:t>
      </w:r>
      <w:r>
        <w:t xml:space="preserve"> </w:t>
      </w:r>
      <w:r>
        <w:t xml:space="preserve">remains FALSE pending the qualifying R6 supplement.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b/>
        </w:rPr>
        <w:t xml:space="preserve">E1:</w:t>
      </w:r>
      <w:r>
        <w:t xml:space="preserve"> </w:t>
      </w:r>
      <w:r>
        <w:t xml:space="preserve">remains TRUE on LCR-DER-057-v1.1 / CL-AUD-273.</w:t>
      </w:r>
    </w:p>
    <w:p>
      <w:pPr>
        <w:widowControl/>
        <w:numPr>
          <w:ilvl w:val="0"/>
          <w:numId w:val="1003"/>
        </w:numPr>
        <w:pStyle w:val="Compact"/>
      </w:pPr>
      <w:r>
        <w:rPr>
          <w:bCs/>
          <w:b/>
        </w:rPr>
        <w:t xml:space="preserve">E2:</w:t>
      </w:r>
      <w:r>
        <w:t xml:space="preserve"> </w:t>
      </w:r>
      <w:r>
        <w:t xml:space="preserve">remains FALSE. Its target is LCR-DER-061-v1.1, marker body 8,928 bytes, SHA-256</w:t>
      </w:r>
      <w:r>
        <w:t xml:space="preserve"> </w:t>
      </w:r>
      <w:r>
        <w:rPr>
          <w:rStyle w:val="VerbatimChar"/>
        </w:rPr>
        <w:t xml:space="preserve">8ec4386fc1214523c98a5ae84acf4f5f64a6601aa2c63728f4382701b82dc3b7</w:t>
      </w:r>
      <w:r>
        <w:t xml:space="preserve">; its exact-hash conversion remains separately open.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Closing E0 alone would not establish FOUNDATION, A0, ELIGIBLE, sealing, or promotion.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The SIDE24 three-dimensional ratification is a separate track and supplies no q0 credit.</w:t>
      </w:r>
    </w:p>
    <w:p>
      <w:pPr>
        <w:widowControl/>
        <w:numPr>
          <w:ilvl w:val="0"/>
          <w:numId w:val="1003"/>
        </w:numPr>
        <w:pStyle w:val="Compact"/>
      </w:pPr>
      <w:r>
        <w:t xml:space="preserve">The blind</w:t>
      </w:r>
      <w:r>
        <w:t xml:space="preserve"> </w:t>
      </w:r>
      <w:r>
        <w:rPr>
          <w:rStyle w:val="VerbatimChar"/>
        </w:rPr>
        <w:t xml:space="preserve">d³/48</w:t>
      </w:r>
      <w:r>
        <w:t xml:space="preserve"> </w:t>
      </w:r>
      <w:r>
        <w:t xml:space="preserve">midpoint-reflection result remains frozen and untouched pending the preregistered Kimi Task-6 comparison.</w:t>
      </w:r>
    </w:p>
    <w:bookmarkEnd w:id="23"/>
    <w:bookmarkStart w:id="24" w:name="supporting-carriers"/>
    <w:p>
      <w:pPr>
        <w:pStyle w:val="Heading2"/>
        <w:widowControl/>
      </w:pPr>
      <w:r>
        <w:t xml:space="preserve">5. Supporting carriers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b/>
        </w:rPr>
        <w:t xml:space="preserve">Exact target — GP-DER-197-v1.0: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1hGQVFDZKHMcdG94_OIgVEwipTR6pvKCk_-llHyIq3uQ</w:t>
      </w:r>
      <w:r>
        <w:t xml:space="preserve">; 13,797 B /</w:t>
      </w:r>
      <w:r>
        <w:t xml:space="preserve"> </w:t>
      </w:r>
      <w:r>
        <w:rPr>
          <w:rStyle w:val="VerbatimChar"/>
        </w:rPr>
        <w:t xml:space="preserve">035d…85d4d</w:t>
      </w:r>
      <w:r>
        <w:t xml:space="preserve"> </w:t>
      </w:r>
      <w:r>
        <w:t xml:space="preserve">marker body.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b/>
        </w:rPr>
        <w:t xml:space="preserve">Freeze receipt — GP-REC-197-v1.0: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1R4qESRtDNtYjYwCwhnRXJ_nkcHIXnzB-f91mjfCdM-8</w:t>
      </w:r>
      <w:r>
        <w:t xml:space="preserve">; controls marker extraction and invalidates the stale identity.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b/>
        </w:rPr>
        <w:t xml:space="preserve">Original review request — GP-REQ-197-v1.0: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1YWkhswy_I0THJX8RG1LrxrEN9PEVuv1i3B3GN0CZNjU</w:t>
      </w:r>
      <w:r>
        <w:t xml:space="preserve">; historical broad packet, not the live narrow R6 route.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b/>
        </w:rPr>
        <w:t xml:space="preserve">Favorable review — CL-AUD-205-v1.0: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1lJFM5-4wtAp8nAbaSZbJXYovEJmsA1RERqKOieyel9U</w:t>
      </w:r>
      <w:r>
        <w:t xml:space="preserve">; mathematical scope to be linked by the eligible supplement.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b/>
        </w:rPr>
        <w:t xml:space="preserve">Controlling conversion request — LS-P01-REQ-001-v1.0: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1xBD6CPtm902p1RZKvv8J_xavHImw4QSGmVlo79BTfZw</w:t>
      </w:r>
      <w:r>
        <w:t xml:space="preserve">; R6 exact-hash conversion contract.</w:t>
      </w:r>
    </w:p>
    <w:p>
      <w:pPr>
        <w:widowControl/>
        <w:numPr>
          <w:ilvl w:val="0"/>
          <w:numId w:val="1004"/>
        </w:numPr>
        <w:pStyle w:val="Compact"/>
      </w:pPr>
      <w:r>
        <w:rPr>
          <w:bCs/>
          <w:b/>
        </w:rPr>
        <w:t xml:space="preserve">Boolean contract — LS-CTL-003-v1.0 plus v1.1 overlay:</w:t>
      </w:r>
      <w:r>
        <w:t xml:space="preserve"> </w:t>
      </w:r>
      <w:r>
        <w:t xml:space="preserve">Drive</w:t>
      </w:r>
      <w:r>
        <w:t xml:space="preserve"> </w:t>
      </w:r>
      <w:r>
        <w:rPr>
          <w:rStyle w:val="VerbatimChar"/>
        </w:rPr>
        <w:t xml:space="preserve">1Fhg-iYRjeFND0oDcBiPdO9eVwB8tkgnQnid-6HeN7Y4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16PsfzxKfq28RD6OlyubPbmgfUmGPHuTd</w:t>
      </w:r>
      <w:r>
        <w:t xml:space="preserve">; E0 remains FALSE and the N0-only overlay is preserved.</w:t>
      </w:r>
    </w:p>
    <w:bookmarkEnd w:id="24"/>
    <w:bookmarkEnd w:id="25"/>
    <w:sectPr>
      <w:headerReference r:id="rId9" w:type="default"/>
      <w:footerReference r:id="rId10" w:type="default"/>
      <w:pgSz w:h="15840" w:w="12240"/>
      <w:pgMar w:bottom="1440" w:footer="708" w:header="708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before="0" w:line="252" w:lineRule="auto"/>
    </w:pPr>
    <w:rPr>
      <w:rFonts w:ascii="Arial" w:eastAsia="Arial" w:hAnsi="Arial"/>
      <w:color w:val="000000"/>
      <w:sz w:val="20"/>
    </w:rPr>
  </w:style>
  <w:style w:styleId="BodyText" w:type="paragraph">
    <w:name w:val="Body Text"/>
    <w:basedOn w:val="Normal"/>
    <w:link w:val="BodyTextChar"/>
    <w:pPr>
      <w:spacing w:after="80" w:before="0" w:line="252" w:lineRule="auto"/>
    </w:pPr>
    <w:qFormat/>
    <w:rPr>
      <w:rFonts w:ascii="Arial" w:eastAsia="Arial" w:hAnsi="Arial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76" w:lineRule="auto"/>
    </w:pPr>
    <w:rPr>
      <w:rFonts w:ascii="Arial" w:eastAsia="Arial" w:hAnsi="Arial"/>
      <w:color w:val="000000"/>
      <w:sz w:val="22"/>
    </w:rPr>
  </w:style>
  <w:style w:customStyle="1" w:styleId="Compact" w:type="paragraph">
    <w:name w:val="Compact"/>
    <w:basedOn w:val="BodyText"/>
    <w:qFormat/>
    <w:pPr>
      <w:spacing w:after="80" w:before="0" w:line="276" w:lineRule="auto"/>
    </w:pPr>
    <w:rPr>
      <w:rFonts w:ascii="Arial" w:eastAsia="Arial" w:hAnsi="Arial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60" w:before="120"/>
      <w:jc w:val="center"/>
    </w:pPr>
    <w:rPr>
      <w:rFonts w:asciiTheme="majorHAnsi" w:cstheme="majorBidi" w:eastAsiaTheme="majorEastAsia" w:hAnsiTheme="majorHAnsi" w:ascii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0" w:line="252" w:lineRule="auto"/>
      <w:ind w:firstLine="0" w:left="432" w:right="216"/>
    </w:pPr>
    <w:rPr>
      <w:rFonts w:ascii="Arial" w:eastAsia="Arial" w:hAnsi="Arial"/>
      <w:color w:val="555555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eastAsia="Arial" w:hAnsi="Arial"/>
      <w:b w:val="0"/>
      <w:color w:val="000000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Arial" w:eastAsia="Arial" w:hAnsi="Arial"/>
      <w:b w:val="0"/>
      <w:color w:val="000000"/>
      <w:sz w:val="18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2026-08-02T16:48:26Z</dcterms:created>
  <dcterms:modified xsi:type="dcterms:W3CDTF">2026-08-02T16:48:26Z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