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60"/>
      </w:pPr>
      <w:r>
        <w:rPr>
          <w:rFonts w:ascii="Arial" w:hAnsi="Arial"/>
          <w:b w:val="0"/>
          <w:color w:val="000000"/>
          <w:sz w:val="52"/>
          <w:u w:val="none"/>
        </w:rPr>
        <w:t xml:space="preserve">Side-24</w:t>
      </w:r>
      <w:r>
        <w:rPr>
          <w:rFonts w:ascii="Arial" w:hAnsi="Arial"/>
          <w:b w:val="0"/>
          <w:color w:val="000000"/>
          <w:sz w:val="52"/>
          <w:u w:val="none"/>
        </w:rPr>
        <w:t xml:space="preserve"> </w:t>
      </w:r>
      <w:r>
        <w:rPr>
          <w:rFonts w:ascii="Arial" w:hAnsi="Arial"/>
          <w:b w:val="0"/>
          <w:color w:val="000000"/>
          <w:sz w:val="52"/>
          <w:u w:val="none"/>
        </w:rPr>
        <w:t xml:space="preserve">pre-peer-review</w:t>
      </w:r>
      <w:r>
        <w:rPr>
          <w:rFonts w:ascii="Arial" w:hAnsi="Arial"/>
          <w:b w:val="0"/>
          <w:color w:val="000000"/>
          <w:sz w:val="52"/>
          <w:u w:val="none"/>
        </w:rPr>
        <w:t xml:space="preserve"> </w:t>
      </w:r>
      <w:r>
        <w:rPr>
          <w:rFonts w:ascii="Arial" w:hAnsi="Arial"/>
          <w:b w:val="0"/>
          <w:color w:val="000000"/>
          <w:sz w:val="52"/>
          <w:u w:val="none"/>
        </w:rPr>
        <w:t xml:space="preserve">package</w:t>
      </w:r>
    </w:p>
    <w:p>
      <w:pPr>
        <w:pStyle w:val="Author"/>
      </w:pPr>
      <w:r>
        <w:t xml:space="preserve">Dylan</w:t>
      </w:r>
      <w:r>
        <w:t xml:space="preserve"> </w:t>
      </w:r>
      <w:r>
        <w:t xml:space="preserve">Roy</w:t>
      </w:r>
    </w:p>
    <w:p>
      <w:pPr>
        <w:pStyle w:val="Date"/>
      </w:pPr>
      <w:r>
        <w:t xml:space="preserve">Frozen</w:t>
      </w:r>
      <w:r>
        <w:t xml:space="preserve"> </w:t>
      </w:r>
      <w:r>
        <w:t xml:space="preserve">snapshot:</w:t>
      </w:r>
      <w:r>
        <w:t xml:space="preserve"> </w:t>
      </w:r>
      <w:r>
        <w:t xml:space="preserve">31</w:t>
      </w:r>
      <w:r>
        <w:t xml:space="preserve"> </w:t>
      </w:r>
      <w:r>
        <w:t xml:space="preserve">July</w:t>
      </w:r>
      <w:r>
        <w:t xml:space="preserve"> </w:t>
      </w:r>
      <w:r>
        <w:t xml:space="preserve">2026</w:t>
      </w:r>
    </w:p>
    <w:p>
      <w:pPr>
        <w:pStyle w:val="FirstParagraph"/>
      </w:pPr>
      <w:r>
        <w:rPr>
          <w:bCs/>
          <w:b/>
        </w:rPr>
        <w:t xml:space="preserve">Project owner and author:</w:t>
      </w:r>
      <w:r>
        <w:t xml:space="preserve"> </w:t>
      </w:r>
      <w:r>
        <w:t xml:space="preserve">Dylan Roy</w:t>
      </w:r>
      <w:r>
        <w:br/>
      </w:r>
      <w:r>
        <w:rPr>
          <w:bCs/>
          <w:b/>
        </w:rPr>
        <w:t xml:space="preserve">Revised snapshot:</w:t>
      </w:r>
      <w:r>
        <w:t xml:space="preserve"> </w:t>
      </w:r>
      <w:r>
        <w:t xml:space="preserve">2026-07-31</w:t>
      </w:r>
      <w:r>
        <w:br/>
      </w:r>
      <w:r>
        <w:rPr>
          <w:bCs/>
          <w:b/>
        </w:rPr>
        <w:t xml:space="preserve">Package identifier:</w:t>
      </w:r>
      <w:r>
        <w:t xml:space="preserve"> </w:t>
      </w:r>
      <w:r>
        <w:rPr>
          <w:rStyle w:val="VerbatimChar"/>
        </w:rPr>
        <w:t xml:space="preserve">SIDE24-PRE-REVIEW-2026-07-31-R2</w:t>
      </w:r>
      <w:r>
        <w:br/>
      </w:r>
      <w:r>
        <w:rPr>
          <w:bCs/>
          <w:b/>
        </w:rPr>
        <w:t xml:space="preserve">Status:</w:t>
      </w:r>
      <w:r>
        <w:t xml:space="preserve"> </w:t>
      </w:r>
      <w:r>
        <w:t xml:space="preserve">Confidential pre-submission review material; not independently validated and not submitted for publication.</w:t>
      </w:r>
    </w:p>
    <w:bookmarkStart w:id="20" w:name="why-this-package-exists"/>
    <w:p>
      <w:pPr>
        <w:pStyle w:val="Heading2"/>
        <w:keepNext/>
      </w:pPr>
      <w:r>
        <w:t xml:space="preserve">1. Why this package exists</w:t>
      </w:r>
    </w:p>
    <w:p>
      <w:pPr>
        <w:pStyle w:val="FirstParagraph"/>
      </w:pPr>
      <w:r>
        <w:t xml:space="preserve">This package is for a private, technically candid review by a university physics or mathematics professor before formal peer review. It is designed to answer two questions:</w:t>
      </w:r>
    </w:p>
    <w:p>
      <w:pPr>
        <w:numPr>
          <w:ilvl w:val="0"/>
          <w:numId w:val="1001"/>
        </w:numPr>
        <w:pStyle w:val="Compact"/>
      </w:pPr>
      <w:r>
        <w:t xml:space="preserve">Is the fixed-scope theorem mathematically sound enough to continue toward a preprint or journal submission?</w:t>
      </w:r>
    </w:p>
    <w:p>
      <w:pPr>
        <w:numPr>
          <w:ilvl w:val="0"/>
          <w:numId w:val="1001"/>
        </w:numPr>
        <w:pStyle w:val="Compact"/>
      </w:pPr>
      <w:r>
        <w:t xml:space="preserve">If not, what is the earliest unsupported inference, incorrect normalization, missing hypothesis, or invalid scope transition?</w:t>
      </w:r>
    </w:p>
    <w:p>
      <w:pPr>
        <w:pStyle w:val="FirstParagraph"/>
      </w:pPr>
      <w:r>
        <w:t xml:space="preserve">The package is</w:t>
      </w:r>
      <w:r>
        <w:t xml:space="preserve"> </w:t>
      </w:r>
      <w:r>
        <w:rPr>
          <w:bCs/>
          <w:b/>
        </w:rPr>
        <w:t xml:space="preserve">transfer-self-contained</w:t>
      </w:r>
      <w:r>
        <w:t xml:space="preserve">: the reviewer does not need access to Dylan Roy’s Google Drive, prior conversations, internal claim-management system, or historical versions. It is</w:t>
      </w:r>
      <w:r>
        <w:t xml:space="preserve"> </w:t>
      </w:r>
      <w:r>
        <w:rPr>
          <w:bCs/>
          <w:b/>
        </w:rPr>
        <w:t xml:space="preserve">not proof-complete</w:t>
      </w:r>
      <w:r>
        <w:t xml:space="preserve">. The manuscript and dossier identify the remaining load-bearing obligations rather than presenting them as settled. The technical appendix is a review-revised extraction of the current proof modules, with provenance retained for audit.</w:t>
      </w:r>
    </w:p>
    <w:p>
      <w:pPr>
        <w:pStyle w:val="BodyText"/>
      </w:pPr>
      <w:r>
        <w:t xml:space="preserve">This is a transfer-self-contained pre-review package for a fixed-scope theorem candidate. The local all-typed contact calculation and coefficient architecture are developed. The revision now contains a component-based exhaustion of elder-selection failure, a contiguous deterministic capture/escape proof, its determinant-weighted exceptional-set transfer, and a fixed-distance witness bound. The elder-selected persistence theorem nevertheless remains conditional on the uniform finite-</w:t>
      </w:r>
      <m:oMath>
        <m:r>
          <m:t>r</m:t>
        </m:r>
      </m:oMath>
      <w:r>
        <w:t xml:space="preserve"> </w:t>
      </w:r>
      <w:r>
        <w:t xml:space="preserve">collar and singular-near triple-contact estimates, including their angular integrations and quantitative side-24 chart transfer.</w:t>
      </w:r>
    </w:p>
    <w:p>
      <w:pPr>
        <w:pStyle w:val="BodyText"/>
      </w:pPr>
      <w:r>
        <w:t xml:space="preserve">AI systems were used extensively during derivation, checking, criticism, consolidation, and editing. No AI-produced status marker or audit verdict is independent evidence of correctness. All mathematical responsibility remains with Dylan Roy. Independent expert review is precisely the purpose of this package.</w:t>
      </w:r>
    </w:p>
    <w:bookmarkEnd w:id="20"/>
    <w:bookmarkStart w:id="21" w:name="exact-claim-under-review"/>
    <w:p>
      <w:pPr>
        <w:pStyle w:val="Heading2"/>
        <w:keepNext/>
      </w:pPr>
      <w:r>
        <w:t xml:space="preserve">2. Exact claim under review</w:t>
      </w:r>
    </w:p>
    <w:p>
      <w:pPr>
        <w:pStyle w:val="FirstParagraph"/>
      </w:pPr>
      <w:r>
        <w:t xml:space="preserve">Let</w:t>
      </w:r>
      <w:r>
        <w:t xml:space="preserve"> </w:t>
      </w:r>
      <m:oMath>
        <m:sSub>
          <m:e>
            <m:r>
              <m:t>f</m:t>
            </m:r>
          </m:e>
          <m:sub>
            <m:r>
              <m:t>24</m:t>
            </m:r>
          </m:sub>
        </m:sSub>
      </m:oMath>
      <w:r>
        <w:t xml:space="preserve"> </w:t>
      </w:r>
      <w:r>
        <w:t xml:space="preserve">be the centered stationary Gaussian field on the cubic torus</w:t>
      </w:r>
      <w:r>
        <w:t xml:space="preserve"> </w:t>
      </w:r>
      <m:oMath>
        <m:sSubSup>
          <m:e>
            <m:r>
              <m:rPr>
                <m:sty m:val="p"/>
                <m:scr m:val="double-struck"/>
              </m:rPr>
              <m:t>T</m:t>
            </m:r>
          </m:e>
          <m:sub>
            <m:r>
              <m:t>24</m:t>
            </m:r>
          </m:sub>
          <m:sup>
            <m:r>
              <m:t>3</m:t>
            </m:r>
          </m:sup>
        </m:sSubSup>
      </m:oMath>
      <w:r>
        <w:t xml:space="preserve"> </w:t>
      </w:r>
      <w:r>
        <w:t xml:space="preserve">with normalized periodized Bargmann–Fock covariance</w:t>
      </w:r>
    </w:p>
    <w:p>
      <w:pPr>
        <w:pStyle w:val="BodyText"/>
      </w:pPr>
      <m:oMathPara>
        <m:oMathParaPr>
          <m:jc m:val="center"/>
        </m:oMathParaPr>
        <m:oMath>
          <m:sSub>
            <m:e>
              <m:r>
                <m:t>K</m:t>
              </m:r>
            </m:e>
            <m:sub>
              <m:r>
                <m:t>24</m:t>
              </m:r>
            </m:sub>
          </m:sSub>
          <m:d>
            <m:dPr>
              <m:begChr m:val="("/>
              <m:endChr m:val=")"/>
              <m:sepChr m:val=""/>
              <m:grow/>
            </m:dPr>
            <m:e>
              <m:r>
                <m:t>z</m:t>
              </m:r>
            </m:e>
          </m:d>
          <m:r>
            <m:rPr>
              <m:sty m:val="p"/>
            </m:rPr>
            <m:t>=</m:t>
          </m:r>
          <m:sSubSup>
            <m:e>
              <m:r>
                <m:t>Z</m:t>
              </m:r>
            </m:e>
            <m:sub>
              <m:r>
                <m:t>24</m:t>
              </m:r>
            </m:sub>
            <m:sup>
              <m:r>
                <m:rPr>
                  <m:sty m:val="p"/>
                </m:rPr>
                <m:t>−</m:t>
              </m:r>
              <m:r>
                <m:t>1</m:t>
              </m:r>
            </m:sup>
          </m:sSubSup>
          <m:nary>
            <m:naryPr>
              <m:chr m:val="∑"/>
              <m:limLoc m:val="undOvr"/>
              <m:subHide m:val="off"/>
              <m:supHide m:val="on"/>
            </m:naryPr>
            <m:sub>
              <m:r>
                <m:t>n</m:t>
              </m:r>
              <m:r>
                <m:rPr>
                  <m:sty m:val="p"/>
                </m:rPr>
                <m:t>∈</m:t>
              </m:r>
              <m:sSup>
                <m:e>
                  <m:r>
                    <m:rPr>
                      <m:sty m:val="p"/>
                      <m:scr m:val="double-struck"/>
                    </m:rPr>
                    <m:t>Z</m:t>
                  </m:r>
                </m:e>
                <m:sup>
                  <m:r>
                    <m:t>3</m:t>
                  </m:r>
                </m:sup>
              </m:sSup>
            </m:sub>
            <m:sup>
              <m:r>
                <m:t>​</m:t>
              </m:r>
            </m:sup>
            <m:e>
              <m:r>
                <m:rPr>
                  <m:sty m:val="p"/>
                </m:rPr>
                <m:t>exp</m:t>
              </m:r>
            </m:e>
          </m:nary>
          <m:r>
            <m:t>​</m:t>
          </m:r>
          <m:d>
            <m:dPr>
              <m:begChr m:val="("/>
              <m:endChr m:val=")"/>
              <m:sepChr m:val=""/>
              <m:grow/>
            </m:dPr>
            <m:e>
              <m:r>
                <m:rPr>
                  <m:sty m:val="p"/>
                </m:rPr>
                <m:t>−</m:t>
              </m:r>
              <m:f>
                <m:fPr>
                  <m:type m:val="bar"/>
                </m:fPr>
                <m:num>
                  <m:sSup>
                    <m:e>
                      <m:d>
                        <m:dPr>
                          <m:begChr m:val="|"/>
                          <m:endChr m:val="|"/>
                          <m:sepChr m:val=""/>
                          <m:grow/>
                        </m:dPr>
                        <m:e>
                          <m:r>
                            <m:t>z</m:t>
                          </m:r>
                          <m:r>
                            <m:rPr>
                              <m:sty m:val="p"/>
                            </m:rPr>
                            <m:t>+</m:t>
                          </m:r>
                          <m:r>
                            <m:t>24</m:t>
                          </m:r>
                          <m:r>
                            <m:t>n</m:t>
                          </m:r>
                        </m:e>
                      </m:d>
                    </m:e>
                    <m:sup>
                      <m:r>
                        <m:t>2</m:t>
                      </m:r>
                    </m:sup>
                  </m:sSup>
                </m:num>
                <m:den>
                  <m:r>
                    <m:t>2</m:t>
                  </m:r>
                </m:den>
              </m:f>
            </m:e>
          </m:d>
          <m:r>
            <m:rPr>
              <m:sty m:val="p"/>
            </m:rPr>
            <m:t>,</m:t>
          </m:r>
          <m:r>
            <m:t>  </m:t>
          </m:r>
          <m:sSub>
            <m:e>
              <m:r>
                <m:t>Z</m:t>
              </m:r>
            </m:e>
            <m:sub>
              <m:r>
                <m:t>24</m:t>
              </m:r>
            </m:sub>
          </m:sSub>
          <m:r>
            <m:rPr>
              <m:sty m:val="p"/>
            </m:rPr>
            <m:t>=</m:t>
          </m:r>
          <m:nary>
            <m:naryPr>
              <m:chr m:val="∑"/>
              <m:limLoc m:val="undOvr"/>
              <m:subHide m:val="off"/>
              <m:supHide m:val="on"/>
            </m:naryPr>
            <m:sub>
              <m:r>
                <m:t>n</m:t>
              </m:r>
              <m:r>
                <m:rPr>
                  <m:sty m:val="p"/>
                </m:rPr>
                <m:t>∈</m:t>
              </m:r>
              <m:sSup>
                <m:e>
                  <m:r>
                    <m:rPr>
                      <m:sty m:val="p"/>
                      <m:scr m:val="double-struck"/>
                    </m:rPr>
                    <m:t>Z</m:t>
                  </m:r>
                </m:e>
                <m:sup>
                  <m:r>
                    <m:t>3</m:t>
                  </m:r>
                </m:sup>
              </m:sSup>
            </m:sub>
            <m:sup>
              <m:r>
                <m:t>​</m:t>
              </m:r>
            </m:sup>
            <m:e>
              <m:sSup>
                <m:e>
                  <m:r>
                    <m:t>e</m:t>
                  </m:r>
                </m:e>
                <m:sup>
                  <m:r>
                    <m:rPr>
                      <m:sty m:val="p"/>
                    </m:rPr>
                    <m:t>−</m:t>
                  </m:r>
                  <m:r>
                    <m:t>288</m:t>
                  </m:r>
                  <m:sSup>
                    <m:e>
                      <m:d>
                        <m:dPr>
                          <m:begChr m:val="|"/>
                          <m:endChr m:val="|"/>
                          <m:sepChr m:val=""/>
                          <m:grow/>
                        </m:dPr>
                        <m:e>
                          <m:r>
                            <m:t>n</m:t>
                          </m:r>
                        </m:e>
                      </m:d>
                    </m:e>
                    <m:sup>
                      <m:r>
                        <m:t>2</m:t>
                      </m:r>
                    </m:sup>
                  </m:sSup>
                </m:sup>
              </m:sSup>
            </m:e>
          </m:nary>
          <m:r>
            <m:rPr>
              <m:sty m:val="p"/>
            </m:rPr>
            <m:t>.</m:t>
          </m:r>
        </m:oMath>
      </m:oMathPara>
    </w:p>
    <w:p>
      <w:pPr>
        <w:pStyle w:val="FirstParagraph"/>
      </w:pPr>
      <w:r>
        <w:t xml:space="preserve">For finite, nonessential bars in the superlevel-set</w:t>
      </w:r>
      <w:r>
        <w:t xml:space="preserve"> </w:t>
      </w:r>
      <m:oMath>
        <m:sSub>
          <m:e>
            <m:r>
              <m:t>H</m:t>
            </m:r>
          </m:e>
          <m:sub>
            <m:r>
              <m:t>0</m:t>
            </m:r>
          </m:sub>
        </m:sSub>
      </m:oMath>
      <w:r>
        <w:t xml:space="preserve"> </w:t>
      </w:r>
      <w:r>
        <w:t xml:space="preserve">persistence filtration, let</w:t>
      </w:r>
      <w:r>
        <w:t xml:space="preserve"> </w:t>
      </w:r>
      <m:oMath>
        <m:sSub>
          <m:e>
            <m:r>
              <m:t>ν</m:t>
            </m:r>
          </m:e>
          <m:sub>
            <m:r>
              <m:t>3</m:t>
            </m:r>
            <m:r>
              <m:rPr>
                <m:sty m:val="p"/>
              </m:rPr>
              <m:t>,</m:t>
            </m:r>
            <m:r>
              <m:t>24</m:t>
            </m:r>
          </m:sub>
        </m:sSub>
        <m:d>
          <m:dPr>
            <m:begChr m:val="("/>
            <m:endChr m:val=")"/>
            <m:sepChr m:val=""/>
            <m:grow/>
          </m:dPr>
          <m:e>
            <m:r>
              <m:rPr>
                <m:sty m:val="p"/>
              </m:rPr>
              <m:t>ℓ</m:t>
            </m:r>
          </m:e>
        </m:d>
      </m:oMath>
      <w:r>
        <w:t xml:space="preserve"> </w:t>
      </w:r>
      <w:r>
        <w:t xml:space="preserve">be the first-moment lifetime density per unit ordinary torus volume. The candidate theorem is</w:t>
      </w:r>
    </w:p>
    <w:p>
      <w:pPr>
        <w:pStyle w:val="BodyText"/>
      </w:pPr>
      <m:oMathPara>
        <m:oMathParaPr>
          <m:jc m:val="center"/>
        </m:oMathParaPr>
        <m:oMath>
          <m:sSub>
            <m:e>
              <m:r>
                <m:t>ν</m:t>
              </m:r>
            </m:e>
            <m:sub>
              <m:r>
                <m:t>3</m:t>
              </m:r>
              <m:r>
                <m:rPr>
                  <m:sty m:val="p"/>
                </m:rPr>
                <m:t>,</m:t>
              </m:r>
              <m:r>
                <m:t>24</m:t>
              </m:r>
            </m:sub>
          </m:sSub>
          <m:d>
            <m:dPr>
              <m:begChr m:val="("/>
              <m:endChr m:val=")"/>
              <m:sepChr m:val=""/>
              <m:grow/>
            </m:dPr>
            <m:e>
              <m:r>
                <m:rPr>
                  <m:sty m:val="p"/>
                </m:rPr>
                <m:t>ℓ</m:t>
              </m:r>
            </m:e>
          </m:d>
          <m:r>
            <m:rPr>
              <m:sty m:val="p"/>
            </m:rPr>
            <m:t>=</m:t>
          </m:r>
          <m:sSub>
            <m:e>
              <m:r>
                <m:t>c</m:t>
              </m:r>
            </m:e>
            <m:sub>
              <m:r>
                <m:t>3</m:t>
              </m:r>
              <m:r>
                <m:rPr>
                  <m:sty m:val="p"/>
                </m:rPr>
                <m:t>,</m:t>
              </m:r>
              <m:r>
                <m:t>24</m:t>
              </m:r>
            </m:sub>
          </m:sSub>
          <m:sSup>
            <m:e>
              <m:r>
                <m:rPr>
                  <m:sty m:val="p"/>
                </m:rPr>
                <m:t>ℓ</m:t>
              </m:r>
            </m:e>
            <m:sup>
              <m:r>
                <m:rPr>
                  <m:sty m:val="p"/>
                </m:rPr>
                <m:t>−</m:t>
              </m:r>
              <m:r>
                <m:t>1</m:t>
              </m:r>
              <m:r>
                <m:rPr>
                  <m:sty m:val="p"/>
                </m:rPr>
                <m:t>/</m:t>
              </m:r>
              <m:r>
                <m:t>3</m:t>
              </m:r>
            </m:sup>
          </m:sSup>
          <m:d>
            <m:dPr>
              <m:begChr m:val="("/>
              <m:endChr m:val=")"/>
              <m:sepChr m:val=""/>
              <m:grow/>
            </m:dPr>
            <m:e>
              <m:r>
                <m:t>1</m:t>
              </m:r>
              <m:r>
                <m:rPr>
                  <m:sty m:val="p"/>
                </m:rPr>
                <m:t>+</m:t>
              </m:r>
              <m:r>
                <m:t>o</m:t>
              </m:r>
              <m:d>
                <m:dPr>
                  <m:begChr m:val="("/>
                  <m:endChr m:val=")"/>
                  <m:sepChr m:val=""/>
                  <m:grow/>
                </m:dPr>
                <m:e>
                  <m:r>
                    <m:t>1</m:t>
                  </m:r>
                </m:e>
              </m:d>
            </m:e>
          </m:d>
          <m:r>
            <m:rPr>
              <m:sty m:val="p"/>
            </m:rPr>
            <m:t>,</m:t>
          </m:r>
          <m:r>
            <m:t>  </m:t>
          </m:r>
          <m:r>
            <m:rPr>
              <m:sty m:val="p"/>
            </m:rPr>
            <m:t>ℓ</m:t>
          </m:r>
          <m:r>
            <m:rPr>
              <m:sty m:val="p"/>
            </m:rPr>
            <m:t>↓</m:t>
          </m:r>
          <m:r>
            <m:t>0</m:t>
          </m:r>
          <m:r>
            <m:rPr>
              <m:sty m:val="p"/>
            </m:rPr>
            <m:t>,</m:t>
          </m:r>
        </m:oMath>
      </m:oMathPara>
    </w:p>
    <w:p>
      <w:pPr>
        <w:pStyle w:val="FirstParagraph"/>
      </w:pPr>
      <w:r>
        <w:t xml:space="preserve">with an explicit positive finite-dimensional Gaussian-cone integral for</w:t>
      </w:r>
      <w:r>
        <w:t xml:space="preserve"> </w:t>
      </w:r>
      <m:oMath>
        <m:sSub>
          <m:e>
            <m:r>
              <m:t>c</m:t>
            </m:r>
          </m:e>
          <m:sub>
            <m:r>
              <m:t>3</m:t>
            </m:r>
            <m:r>
              <m:rPr>
                <m:sty m:val="p"/>
              </m:rPr>
              <m:t>,</m:t>
            </m:r>
            <m:r>
              <m:t>24</m:t>
            </m:r>
          </m:sub>
        </m:sSub>
      </m:oMath>
      <w:r>
        <w:t xml:space="preserve">, a closed form for the Euclidean (nonperiodized) coefficient</w:t>
      </w:r>
      <w:r>
        <w:t xml:space="preserve"> </w:t>
      </w:r>
      <m:oMath>
        <m:sSub>
          <m:e>
            <m:r>
              <m:t>c</m:t>
            </m:r>
          </m:e>
          <m:sub>
            <m:r>
              <m:t>3</m:t>
            </m:r>
            <m:r>
              <m:rPr>
                <m:sty m:val="p"/>
              </m:rPr>
              <m:t>,</m:t>
            </m:r>
            <m:r>
              <m:rPr>
                <m:sty m:val="p"/>
              </m:rPr>
              <m:t>∞</m:t>
            </m:r>
          </m:sub>
        </m:sSub>
      </m:oMath>
      <w:r>
        <w:t xml:space="preserve">, and the fixed-side correction</w:t>
      </w:r>
    </w:p>
    <w:p>
      <w:pPr>
        <w:pStyle w:val="BodyText"/>
      </w:pPr>
      <m:oMathPara>
        <m:oMathParaPr>
          <m:jc m:val="center"/>
        </m:oMathParaPr>
        <m:oMath>
          <m:f>
            <m:fPr>
              <m:type m:val="bar"/>
            </m:fPr>
            <m:num>
              <m:sSub>
                <m:e>
                  <m:r>
                    <m:t>c</m:t>
                  </m:r>
                </m:e>
                <m:sub>
                  <m:r>
                    <m:t>3</m:t>
                  </m:r>
                  <m:r>
                    <m:rPr>
                      <m:sty m:val="p"/>
                    </m:rPr>
                    <m:t>,</m:t>
                  </m:r>
                  <m:r>
                    <m:t>24</m:t>
                  </m:r>
                </m:sub>
              </m:sSub>
            </m:num>
            <m:den>
              <m:sSub>
                <m:e>
                  <m:r>
                    <m:t>c</m:t>
                  </m:r>
                </m:e>
                <m:sub>
                  <m:r>
                    <m:t>3</m:t>
                  </m:r>
                  <m:r>
                    <m:rPr>
                      <m:sty m:val="p"/>
                    </m:rPr>
                    <m:t>,</m:t>
                  </m:r>
                  <m:r>
                    <m:rPr>
                      <m:sty m:val="p"/>
                    </m:rPr>
                    <m:t>∞</m:t>
                  </m:r>
                </m:sub>
              </m:sSub>
            </m:den>
          </m:f>
          <m:r>
            <m:rPr>
              <m:sty m:val="p"/>
            </m:rPr>
            <m:t>−</m:t>
          </m:r>
          <m:r>
            <m:t>1</m:t>
          </m:r>
          <m:r>
            <m:rPr>
              <m:sty m:val="p"/>
            </m:rPr>
            <m:t>=</m:t>
          </m:r>
          <m:r>
            <m:rPr>
              <m:sty m:val="p"/>
            </m:rPr>
            <m:t>−</m:t>
          </m:r>
          <m:f>
            <m:fPr>
              <m:type m:val="bar"/>
            </m:fPr>
            <m:num>
              <m:r>
                <m:t>620813376</m:t>
              </m:r>
            </m:num>
            <m:den>
              <m:r>
                <m:t>35</m:t>
              </m:r>
            </m:den>
          </m:f>
          <m:sSup>
            <m:e>
              <m:r>
                <m:t>e</m:t>
              </m:r>
            </m:e>
            <m:sup>
              <m:r>
                <m:rPr>
                  <m:sty m:val="p"/>
                </m:rPr>
                <m:t>−</m:t>
              </m:r>
              <m:r>
                <m:t>288</m:t>
              </m:r>
            </m:sup>
          </m:sSup>
          <m:r>
            <m:rPr>
              <m:sty m:val="p"/>
            </m:rPr>
            <m:t>+</m:t>
          </m:r>
          <m:sSub>
            <m:e>
              <m:r>
                <m:t>ε</m:t>
              </m:r>
            </m:e>
            <m:sub>
              <m:r>
                <m:t>24</m:t>
              </m:r>
            </m:sub>
          </m:sSub>
          <m:r>
            <m:rPr>
              <m:sty m:val="p"/>
            </m:rPr>
            <m:t>,</m:t>
          </m:r>
          <m:r>
            <m:t>  </m:t>
          </m:r>
          <m:d>
            <m:dPr>
              <m:begChr m:val="|"/>
              <m:endChr m:val="|"/>
              <m:sepChr m:val=""/>
              <m:grow/>
            </m:dPr>
            <m:e>
              <m:sSub>
                <m:e>
                  <m:r>
                    <m:t>ε</m:t>
                  </m:r>
                </m:e>
                <m:sub>
                  <m:r>
                    <m:t>24</m:t>
                  </m:r>
                </m:sub>
              </m:sSub>
            </m:e>
          </m:d>
          <m:r>
            <m:rPr>
              <m:sty m:val="p"/>
            </m:rPr>
            <m:t>&lt;</m:t>
          </m:r>
          <m:sSup>
            <m:e>
              <m:r>
                <m:t>10</m:t>
              </m:r>
            </m:e>
            <m:sup>
              <m:r>
                <m:rPr>
                  <m:sty m:val="p"/>
                </m:rPr>
                <m:t>−</m:t>
              </m:r>
              <m:r>
                <m:t>180</m:t>
              </m:r>
            </m:sup>
          </m:sSup>
          <m:r>
            <m:rPr>
              <m:sty m:val="p"/>
            </m:rPr>
            <m:t>.</m:t>
          </m:r>
        </m:oMath>
      </m:oMathPara>
    </w:p>
    <w:p>
      <w:pPr>
        <w:pStyle w:val="FirstParagraph"/>
      </w:pPr>
      <w:r>
        <w:t xml:space="preserve">The claim is deliberately restricted to dimension</w:t>
      </w:r>
      <w:r>
        <w:t xml:space="preserve"> </w:t>
      </w:r>
      <m:oMath>
        <m:r>
          <m:t>3</m:t>
        </m:r>
      </m:oMath>
      <w:r>
        <w:t xml:space="preserve">, torus side</w:t>
      </w:r>
      <w:r>
        <w:t xml:space="preserve"> </w:t>
      </w:r>
      <m:oMath>
        <m:r>
          <m:t>24</m:t>
        </m:r>
      </m:oMath>
      <w:r>
        <w:t xml:space="preserve">, the normalized periodized Bargmann–Fock covariance, finite nonessential superlevel</w:t>
      </w:r>
      <w:r>
        <w:t xml:space="preserve"> </w:t>
      </w:r>
      <m:oMath>
        <m:sSub>
          <m:e>
            <m:r>
              <m:t>H</m:t>
            </m:r>
          </m:e>
          <m:sub>
            <m:r>
              <m:t>0</m:t>
            </m:r>
          </m:sub>
        </m:sSub>
      </m:oMath>
      <w:r>
        <w:t xml:space="preserve"> </w:t>
      </w:r>
      <w:r>
        <w:t xml:space="preserve">bars, the first-moment lifetime intensity, and the fixed-</w:t>
      </w:r>
      <m:oMath>
        <m:r>
          <m:t>L</m:t>
        </m:r>
      </m:oMath>
      <w:r>
        <w:t xml:space="preserve"> </w:t>
      </w:r>
      <w:r>
        <w:t xml:space="preserve">limit</w:t>
      </w:r>
      <w:r>
        <w:t xml:space="preserve"> </w:t>
      </w:r>
      <m:oMath>
        <m:r>
          <m:rPr>
            <m:sty m:val="p"/>
          </m:rPr>
          <m:t>ℓ</m:t>
        </m:r>
        <m:r>
          <m:rPr>
            <m:sty m:val="p"/>
          </m:rPr>
          <m:t>↓</m:t>
        </m:r>
        <m:r>
          <m:t>0</m:t>
        </m:r>
      </m:oMath>
      <w:r>
        <w:t xml:space="preserve">.</w:t>
      </w:r>
    </w:p>
    <w:bookmarkEnd w:id="21"/>
    <w:bookmarkStart w:id="26" w:name="recommended-reading-paths"/>
    <w:p>
      <w:pPr>
        <w:pStyle w:val="Heading2"/>
        <w:keepNext/>
      </w:pPr>
      <w:r>
        <w:t xml:space="preserve">3. Recommended reading paths</w:t>
      </w:r>
    </w:p>
    <w:bookmarkStart w:id="22" w:name="a.-fifteen-minute-orientation"/>
    <w:p>
      <w:pPr>
        <w:pStyle w:val="Heading3"/>
        <w:keepNext/>
      </w:pPr>
      <w:r>
        <w:t xml:space="preserve">A. Fifteen-minute orientation</w:t>
      </w:r>
    </w:p>
    <w:p>
      <w:pPr>
        <w:numPr>
          <w:ilvl w:val="0"/>
          <w:numId w:val="1002"/>
        </w:numPr>
        <w:pStyle w:val="Compact"/>
      </w:pPr>
      <w:r>
        <w:t xml:space="preserve">Read this file through Section 5.</w:t>
      </w:r>
    </w:p>
    <w:p>
      <w:pPr>
        <w:numPr>
          <w:ilvl w:val="0"/>
          <w:numId w:val="1002"/>
        </w:numPr>
        <w:pStyle w:val="Compact"/>
      </w:pPr>
      <w:r>
        <w:t xml:space="preserve">Read the executive summary and exact scope in</w:t>
      </w:r>
      <w:r>
        <w:t xml:space="preserve"> </w:t>
      </w:r>
      <w:r>
        <w:rPr>
          <w:rStyle w:val="VerbatimChar"/>
        </w:rPr>
        <w:t xml:space="preserve">02_PRE_REVIEW_DOSSIER.pdf</w:t>
      </w:r>
      <w:r>
        <w:t xml:space="preserve">.</w:t>
      </w:r>
    </w:p>
    <w:p>
      <w:pPr>
        <w:numPr>
          <w:ilvl w:val="0"/>
          <w:numId w:val="1002"/>
        </w:numPr>
        <w:pStyle w:val="Compact"/>
      </w:pPr>
      <w:r>
        <w:t xml:space="preserve">Read Candidate Theorem 2.1 and Sections 3.1–3.3 of</w:t>
      </w:r>
      <w:r>
        <w:t xml:space="preserve"> </w:t>
      </w:r>
      <w:r>
        <w:rPr>
          <w:rStyle w:val="VerbatimChar"/>
        </w:rPr>
        <w:t xml:space="preserve">03_SIDE24_MANUSCRIPT.pdf</w:t>
      </w:r>
      <w:r>
        <w:t xml:space="preserve">.</w:t>
      </w:r>
    </w:p>
    <w:p>
      <w:pPr>
        <w:numPr>
          <w:ilvl w:val="0"/>
          <w:numId w:val="1002"/>
        </w:numPr>
        <w:pStyle w:val="Compact"/>
      </w:pPr>
      <w:r>
        <w:t xml:space="preserve">Decide whether the topic and proof methods overlap your expertise.</w:t>
      </w:r>
    </w:p>
    <w:bookmarkEnd w:id="22"/>
    <w:bookmarkStart w:id="23" w:name="b.-sixty--to-ninety-minute-triage"/>
    <w:p>
      <w:pPr>
        <w:pStyle w:val="Heading3"/>
        <w:keepNext/>
      </w:pPr>
      <w:r>
        <w:t xml:space="preserve">B. Sixty- to ninety-minute triage</w:t>
      </w:r>
    </w:p>
    <w:p>
      <w:pPr>
        <w:numPr>
          <w:ilvl w:val="0"/>
          <w:numId w:val="1003"/>
        </w:numPr>
        <w:pStyle w:val="Compact"/>
      </w:pPr>
      <w:r>
        <w:t xml:space="preserve">Read the full dossier.</w:t>
      </w:r>
    </w:p>
    <w:p>
      <w:pPr>
        <w:numPr>
          <w:ilvl w:val="0"/>
          <w:numId w:val="1003"/>
        </w:numPr>
        <w:pStyle w:val="Compact"/>
      </w:pPr>
      <w:r>
        <w:t xml:space="preserve">Read the manuscript abstract, Propositions 1.1–1.2, Candidate Theorem 2.1, Sections 3.1–3.5, and the exact-scope section.</w:t>
      </w:r>
    </w:p>
    <w:p>
      <w:pPr>
        <w:numPr>
          <w:ilvl w:val="0"/>
          <w:numId w:val="1003"/>
        </w:numPr>
        <w:pStyle w:val="Compact"/>
      </w:pPr>
      <w:r>
        <w:t xml:space="preserve">Inspect the proof-mechanics table in the dossier.</w:t>
      </w:r>
    </w:p>
    <w:p>
      <w:pPr>
        <w:numPr>
          <w:ilvl w:val="0"/>
          <w:numId w:val="1003"/>
        </w:numPr>
        <w:pStyle w:val="Compact"/>
      </w:pPr>
      <w:r>
        <w:t xml:space="preserve">Record the earliest questionable step in</w:t>
      </w:r>
      <w:r>
        <w:t xml:space="preserve"> </w:t>
      </w:r>
      <w:r>
        <w:rPr>
          <w:rStyle w:val="VerbatimChar"/>
        </w:rPr>
        <w:t xml:space="preserve">07_REVIEW_RESPONSE_FORM.docx</w:t>
      </w:r>
      <w:r>
        <w:t xml:space="preserve">.</w:t>
      </w:r>
    </w:p>
    <w:bookmarkEnd w:id="23"/>
    <w:bookmarkStart w:id="24" w:name="c.-substantive-component-audit"/>
    <w:p>
      <w:pPr>
        <w:pStyle w:val="Heading3"/>
        <w:keepNext/>
      </w:pPr>
      <w:r>
        <w:t xml:space="preserve">C. Substantive component audit</w:t>
      </w:r>
    </w:p>
    <w:p>
      <w:pPr>
        <w:numPr>
          <w:ilvl w:val="0"/>
          <w:numId w:val="1004"/>
        </w:numPr>
        <w:pStyle w:val="Compact"/>
      </w:pPr>
      <w:r>
        <w:t xml:space="preserve">Read the entire manuscript.</w:t>
      </w:r>
    </w:p>
    <w:p>
      <w:pPr>
        <w:numPr>
          <w:ilvl w:val="0"/>
          <w:numId w:val="1004"/>
        </w:numPr>
        <w:pStyle w:val="Compact"/>
      </w:pPr>
      <w:r>
        <w:t xml:space="preserve">Use the proof-dependency map in the dossier.</w:t>
      </w:r>
    </w:p>
    <w:p>
      <w:pPr>
        <w:numPr>
          <w:ilvl w:val="0"/>
          <w:numId w:val="1004"/>
        </w:numPr>
        <w:pStyle w:val="Compact"/>
      </w:pPr>
      <w:r>
        <w:t xml:space="preserve">Audit Appendix Modules J, K, and L first: capture/escape, absolute normalization, and ordered-pair multiplicity.</w:t>
      </w:r>
    </w:p>
    <w:p>
      <w:pPr>
        <w:numPr>
          <w:ilvl w:val="0"/>
          <w:numId w:val="1004"/>
        </w:numPr>
        <w:pStyle w:val="Compact"/>
      </w:pPr>
      <w:r>
        <w:t xml:space="preserve">Audit Modules B and I for the elder-selection estimate.</w:t>
      </w:r>
    </w:p>
    <w:p>
      <w:pPr>
        <w:numPr>
          <w:ilvl w:val="0"/>
          <w:numId w:val="1004"/>
        </w:numPr>
        <w:pStyle w:val="Compact"/>
      </w:pPr>
      <w:r>
        <w:t xml:space="preserve">Audit Modules C, D, G, and H for the side-24 coefficient correction.</w:t>
      </w:r>
    </w:p>
    <w:p>
      <w:pPr>
        <w:numPr>
          <w:ilvl w:val="0"/>
          <w:numId w:val="1004"/>
        </w:numPr>
        <w:pStyle w:val="Compact"/>
      </w:pPr>
      <w:r>
        <w:t xml:space="preserve">Run the small exact scripts under</w:t>
      </w:r>
      <w:r>
        <w:t xml:space="preserve"> </w:t>
      </w:r>
      <w:r>
        <w:rPr>
          <w:rStyle w:val="VerbatimChar"/>
        </w:rPr>
        <w:t xml:space="preserve">06_REPRODUCTION_FILES/</w:t>
      </w:r>
      <w:r>
        <w:t xml:space="preserve">.</w:t>
      </w:r>
    </w:p>
    <w:p>
      <w:pPr>
        <w:numPr>
          <w:ilvl w:val="0"/>
          <w:numId w:val="1004"/>
        </w:numPr>
        <w:pStyle w:val="Compact"/>
      </w:pPr>
      <w:r>
        <w:t xml:space="preserve">Complete only those portions of the response form within your expertise.</w:t>
      </w:r>
    </w:p>
    <w:bookmarkEnd w:id="24"/>
    <w:bookmarkStart w:id="25" w:name="d.-full-technical-review"/>
    <w:p>
      <w:pPr>
        <w:pStyle w:val="Heading3"/>
        <w:keepNext/>
      </w:pPr>
      <w:r>
        <w:t xml:space="preserve">D. Full technical review</w:t>
      </w:r>
    </w:p>
    <w:p>
      <w:pPr>
        <w:pStyle w:val="FirstParagraph"/>
      </w:pPr>
      <w:r>
        <w:t xml:space="preserve">Read the manuscript and entire review appendix, check every imported standard theorem against its hypotheses, reproduce the exact scripts, independently derive the normalization and first-image correction, and conduct an external literature search.</w:t>
      </w:r>
    </w:p>
    <w:bookmarkEnd w:id="25"/>
    <w:bookmarkEnd w:id="26"/>
    <w:bookmarkStart w:id="27" w:name="package-contents-and-reading-order"/>
    <w:p>
      <w:pPr>
        <w:pStyle w:val="Heading2"/>
        <w:keepNext/>
      </w:pPr>
      <w:r>
        <w:t xml:space="preserve">4. Package contents and reading order</w:t>
      </w:r>
    </w:p>
    <w:tbl>
      <w:tblPr>
        <w:tblStyle w:val="Table"/>
        <w:tblW w:type="pct" w:w="5000"/>
        <w:tblLayout w:type="fixed"/>
        <w:tblLook w:firstRow="1" w:lastRow="0" w:firstColumn="0" w:lastColumn="0" w:noHBand="0" w:noVBand="0" w:val="0020"/>
        <w:jc w:val="start"/>
      </w:tblPr>
      <w:tblGrid>
        <w:gridCol w:w="5184"/>
        <w:gridCol w:w="2592"/>
        <w:gridCol w:w="1512"/>
      </w:tblGrid>
      <w:tr>
        <w:trPr>
          <w:tblHeader w:val="true"/>
          <w:cantSplit/>
        </w:trPr>
        <w:tc>
          <w:tcPr>
            <w:tcW w:type="dxa" w:w="5184"/>
            <w:tcMar>
              <w:top w:w="80" w:type="dxa"/>
              <w:left w:w="80" w:type="dxa"/>
              <w:bottom w:w="80" w:type="dxa"/>
              <w:right w:w="80" w:type="dxa"/>
            </w:tcMar>
            <w:noWrap/>
          </w:tcPr>
          <w:p>
            <w:pPr>
              <w:pStyle w:val="Compact"/>
              <w:spacing w:after="40"/>
              <w:jc w:val="left"/>
            </w:pPr>
            <w:r>
              <w:rPr>
                <w:rFonts w:ascii="Arial" w:hAnsi="Arial"/>
                <w:b/>
                <w:sz w:val="17"/>
              </w:rPr>
              <w:t xml:space="preserve">Item</w:t>
            </w:r>
          </w:p>
        </w:tc>
        <w:tc>
          <w:tcPr>
            <w:tcW w:type="dxa" w:w="2592"/>
            <w:tcMar>
              <w:top w:w="80" w:type="dxa"/>
              <w:left w:w="80" w:type="dxa"/>
              <w:bottom w:w="80" w:type="dxa"/>
              <w:right w:w="80" w:type="dxa"/>
            </w:tcMar>
          </w:tcPr>
          <w:p>
            <w:pPr>
              <w:pStyle w:val="Compact"/>
              <w:spacing w:after="40"/>
              <w:jc w:val="left"/>
            </w:pPr>
            <w:r>
              <w:rPr>
                <w:rFonts w:ascii="Arial" w:hAnsi="Arial"/>
                <w:b/>
                <w:sz w:val="17"/>
              </w:rPr>
              <w:t xml:space="preserve">Purpose</w:t>
            </w:r>
          </w:p>
        </w:tc>
        <w:tc>
          <w:tcPr>
            <w:tcW w:type="dxa" w:w="1512"/>
            <w:tcMar>
              <w:top w:w="80" w:type="dxa"/>
              <w:left w:w="80" w:type="dxa"/>
              <w:bottom w:w="80" w:type="dxa"/>
              <w:right w:w="80" w:type="dxa"/>
            </w:tcMar>
          </w:tcPr>
          <w:p>
            <w:pPr>
              <w:pStyle w:val="Compact"/>
              <w:spacing w:after="40"/>
              <w:jc w:val="right"/>
            </w:pPr>
            <w:r>
              <w:rPr>
                <w:rFonts w:ascii="Arial" w:hAnsi="Arial"/>
                <w:b/>
                <w:sz w:val="17"/>
              </w:rPr>
              <w:t xml:space="preserve">Essential?</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00_READ_ME_FIRST.pdf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Scope, reading paths, gathering protocol, and transfer checklist</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01_COVER_LETTER.txt</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Editable message to the professor</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02_PRE_REVIEW_DOSSIER.pdf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Self-contained orientation, proof architecture, vulnerabilities, and review tasks</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02A_PRELIMINARY_AI_REVIEW_DISPOSITION.pdf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Claim-by-claim disposition of the preliminary AI reports and revision log</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03_SIDE24_MANUSCRIPT.pdf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Current conventional manuscript core</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03_SIDE24_MANUSCRIPT_SOURCE.md</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Exact Markdown source of the manuscript</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04_TECHNICAL_APPENDIX.pdf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Review-revised extracted proof modules</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 for deep audit</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04_TECHNICAL_APPENDIX_SOURCE.md</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Controlling UTF-8 source of the review appendix</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 for text search</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05_REPRODUCTION_GUIDE.pdf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Commands, expected outputs, and limitations</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 for calculation audit</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06_REPRODUCTION_FILES/</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Small executable ledgers and expected outputs</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 for calculation audit</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07_REVIEW_RESPONSE_FORM.docx</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Editable structured review form</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Recommended</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07_REVIEW_RESPONSE_FORM.pdf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Stable visual copy of the form</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Recommended</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08_REFERENCES.bib</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Machine-readable bibliography</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Recommended</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09_PACKAGE_MANIFEST.csv</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File roles, sizes, sources, and hashes</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10_SHA256SUMS.txt</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Integrity hashes for all frozen payload files</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Yes</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11_COMPLETE_PRE_REVIEW_PACKET.pdf</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One combined PDF for continuous reading</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Convenience copy</w:t>
            </w:r>
          </w:p>
        </w:tc>
      </w:tr>
      <w:tr>
        <w:trPr>
          <w:cantSplit/>
        </w:trPr>
        <w:tc>
          <w:tcPr>
            <w:tcW w:type="dxa" w:w="5184"/>
            <w:tcMar>
              <w:top w:w="80" w:type="dxa"/>
              <w:left w:w="80" w:type="dxa"/>
              <w:bottom w:w="80" w:type="dxa"/>
              <w:right w:w="80" w:type="dxa"/>
            </w:tcMar>
            <w:noWrap/>
          </w:tcPr>
          <w:p>
            <w:pPr>
              <w:pStyle w:val="Compact"/>
              <w:spacing w:after="40"/>
              <w:jc w:val="left"/>
            </w:pPr>
            <w:r>
              <w:rPr>
                <w:rStyle w:val="VerbatimChar"/>
                <w:rFonts w:ascii="Arial" w:hAnsi="Arial"/>
                <w:sz w:val="17"/>
              </w:rPr>
              <w:t xml:space="preserve">90_OPTIONAL_PROVENANCE/</w:t>
            </w:r>
          </w:p>
        </w:tc>
        <w:tc>
          <w:tcPr>
            <w:tcW w:type="dxa" w:w="2592"/>
            <w:tcMar>
              <w:top w:w="80" w:type="dxa"/>
              <w:left w:w="80" w:type="dxa"/>
              <w:bottom w:w="80" w:type="dxa"/>
              <w:right w:w="80" w:type="dxa"/>
            </w:tcMar>
          </w:tcPr>
          <w:p>
            <w:pPr>
              <w:pStyle w:val="Compact"/>
              <w:spacing w:after="40"/>
              <w:jc w:val="left"/>
            </w:pPr>
            <w:r>
              <w:rPr>
                <w:rFonts w:ascii="Arial" w:hAnsi="Arial"/>
                <w:sz w:val="17"/>
              </w:rPr>
              <w:t xml:space="preserve">Limited correction and closure history; not proof evidence</w:t>
            </w:r>
          </w:p>
        </w:tc>
        <w:tc>
          <w:tcPr>
            <w:tcW w:type="dxa" w:w="1512"/>
            <w:tcMar>
              <w:top w:w="80" w:type="dxa"/>
              <w:left w:w="80" w:type="dxa"/>
              <w:bottom w:w="80" w:type="dxa"/>
              <w:right w:w="80" w:type="dxa"/>
            </w:tcMar>
          </w:tcPr>
          <w:p>
            <w:pPr>
              <w:pStyle w:val="Compact"/>
              <w:spacing w:after="40"/>
              <w:jc w:val="right"/>
            </w:pPr>
            <w:r>
              <w:rPr>
                <w:rFonts w:ascii="Arial" w:hAnsi="Arial"/>
                <w:sz w:val="17"/>
              </w:rPr>
              <w:t xml:space="preserve">Optional</w:t>
            </w:r>
          </w:p>
        </w:tc>
      </w:tr>
    </w:tbl>
    <w:p>
      <w:pPr>
        <w:pStyle w:val="BodyText"/>
      </w:pPr>
      <w:r>
        <w:t xml:space="preserve">The individual PDFs are the preferred objects for annotation. The combined PDF is a convenience copy. The Markdown files are controlling for exact text where any rendering ambiguity occurs.</w:t>
      </w:r>
    </w:p>
    <w:bookmarkEnd w:id="27"/>
    <w:bookmarkStart w:id="28" w:name="X72a1d4a21e321aba77e6c623c158421b5959a4f"/>
    <w:p>
      <w:pPr>
        <w:pStyle w:val="Heading2"/>
        <w:keepNext/>
      </w:pPr>
      <w:r>
        <w:t xml:space="preserve">5. What the reviewer is specifically asked to check</w:t>
      </w:r>
    </w:p>
    <w:p>
      <w:pPr>
        <w:pStyle w:val="FirstParagraph"/>
      </w:pPr>
      <w:r>
        <w:t xml:space="preserve">The highest-value checks are:</w:t>
      </w:r>
    </w:p>
    <w:p>
      <w:pPr>
        <w:numPr>
          <w:ilvl w:val="0"/>
          <w:numId w:val="1005"/>
        </w:numPr>
        <w:pStyle w:val="Compact"/>
      </w:pPr>
      <w:r>
        <w:t xml:space="preserve">applicability and normalization of the two-point Kac–Rice formula;</w:t>
      </w:r>
    </w:p>
    <w:p>
      <w:pPr>
        <w:numPr>
          <w:ilvl w:val="0"/>
          <w:numId w:val="1005"/>
        </w:numPr>
        <w:pStyle w:val="Compact"/>
      </w:pPr>
      <w:r>
        <w:t xml:space="preserve">the corrected six-pin Jacobian and</w:t>
      </w:r>
      <w:r>
        <w:t xml:space="preserve"> </w:t>
      </w:r>
      <m:oMath>
        <m:sSup>
          <m:e>
            <m:r>
              <m:t>r</m:t>
            </m:r>
          </m:e>
          <m:sup>
            <m:r>
              <m:rPr>
                <m:sty m:val="p"/>
              </m:rPr>
              <m:t>−</m:t>
            </m:r>
            <m:r>
              <m:t>6</m:t>
            </m:r>
          </m:sup>
        </m:sSup>
      </m:oMath>
      <w:r>
        <w:t xml:space="preserve"> </w:t>
      </w:r>
      <w:r>
        <w:t xml:space="preserve">density scaling;</w:t>
      </w:r>
    </w:p>
    <w:p>
      <w:pPr>
        <w:numPr>
          <w:ilvl w:val="0"/>
          <w:numId w:val="1005"/>
        </w:numPr>
        <w:pStyle w:val="Compact"/>
      </w:pPr>
      <w:r>
        <w:t xml:space="preserve">the two soft endpoint-Hessian factors;</w:t>
      </w:r>
    </w:p>
    <w:p>
      <w:pPr>
        <w:numPr>
          <w:ilvl w:val="0"/>
          <w:numId w:val="1005"/>
        </w:numPr>
        <w:pStyle w:val="Compact"/>
      </w:pPr>
      <w:r>
        <w:t xml:space="preserve">the cubic lifetime relation</w:t>
      </w:r>
      <w:r>
        <w:t xml:space="preserve"> </w:t>
      </w:r>
      <m:oMath>
        <m:r>
          <m:rPr>
            <m:sty m:val="p"/>
          </m:rPr>
          <m:t>ℓ</m:t>
        </m:r>
        <m:r>
          <m:rPr>
            <m:sty m:val="p"/>
          </m:rPr>
          <m:t>=</m:t>
        </m:r>
        <m:r>
          <m:t>κ</m:t>
        </m:r>
        <m:sSup>
          <m:e>
            <m:r>
              <m:t>r</m:t>
            </m:r>
          </m:e>
          <m:sup>
            <m:r>
              <m:t>3</m:t>
            </m:r>
          </m:sup>
        </m:sSup>
        <m:r>
          <m:rPr>
            <m:sty m:val="p"/>
          </m:rPr>
          <m:t>/</m:t>
        </m:r>
        <m:r>
          <m:t>6</m:t>
        </m:r>
      </m:oMath>
      <w:r>
        <w:t xml:space="preserve"> </w:t>
      </w:r>
      <w:r>
        <w:t xml:space="preserve">and the resulting</w:t>
      </w:r>
      <w:r>
        <w:t xml:space="preserve"> </w:t>
      </w:r>
      <m:oMath>
        <m:r>
          <m:rPr>
            <m:sty m:val="p"/>
          </m:rPr>
          <m:t>−</m:t>
        </m:r>
        <m:r>
          <m:t>1</m:t>
        </m:r>
        <m:r>
          <m:rPr>
            <m:sty m:val="p"/>
          </m:rPr>
          <m:t>/</m:t>
        </m:r>
        <m:r>
          <m:t>3</m:t>
        </m:r>
      </m:oMath>
      <w:r>
        <w:t xml:space="preserve"> </w:t>
      </w:r>
      <w:r>
        <w:t xml:space="preserve">exponent;</w:t>
      </w:r>
    </w:p>
    <w:p>
      <w:pPr>
        <w:numPr>
          <w:ilvl w:val="0"/>
          <w:numId w:val="1005"/>
        </w:numPr>
        <w:pStyle w:val="Compact"/>
      </w:pPr>
      <w:r>
        <w:t xml:space="preserve">whether Lemma 3.4a is an exhaustive component-based classification and whether its regional events satisfy the proposed uniform estimate</w:t>
      </w:r>
      <w:r>
        <w:t xml:space="preserve"> </w:t>
      </w:r>
      <m:oMath>
        <m:r>
          <m:t>1</m:t>
        </m:r>
        <m:r>
          <m:rPr>
            <m:sty m:val="p"/>
          </m:rPr>
          <m:t>−</m:t>
        </m:r>
        <m:sSub>
          <m:e>
            <m:r>
              <m:t>p</m:t>
            </m:r>
          </m:e>
          <m:sub>
            <m:r>
              <m:t>r</m:t>
            </m:r>
          </m:sub>
        </m:sSub>
        <m:r>
          <m:rPr>
            <m:sty m:val="p"/>
          </m:rPr>
          <m:t>=</m:t>
        </m:r>
        <m:r>
          <m:t>O</m:t>
        </m:r>
        <m:d>
          <m:dPr>
            <m:begChr m:val="("/>
            <m:endChr m:val=")"/>
            <m:sepChr m:val=""/>
            <m:grow/>
          </m:dPr>
          <m:e>
            <m:sSup>
              <m:e>
                <m:r>
                  <m:t>r</m:t>
                </m:r>
              </m:e>
              <m:sup>
                <m:r>
                  <m:t>3</m:t>
                </m:r>
              </m:sup>
            </m:sSup>
          </m:e>
        </m:d>
      </m:oMath>
      <w:r>
        <w:t xml:space="preserve">;</w:t>
      </w:r>
    </w:p>
    <w:p>
      <w:pPr>
        <w:numPr>
          <w:ilvl w:val="0"/>
          <w:numId w:val="1005"/>
        </w:numPr>
        <w:pStyle w:val="Compact"/>
      </w:pPr>
      <w:r>
        <w:t xml:space="preserve">whether the consolidated energy-adapted deterministic capture/escape argument is valid and transfers under the stated determinant-weighted conditional Gaussian bounds;</w:t>
      </w:r>
    </w:p>
    <w:p>
      <w:pPr>
        <w:numPr>
          <w:ilvl w:val="0"/>
          <w:numId w:val="1005"/>
        </w:numPr>
        <w:pStyle w:val="Compact"/>
      </w:pPr>
      <w:r>
        <w:t xml:space="preserve">the directed-sphere, ordered-pair, branch, and merge multiplicities;</w:t>
      </w:r>
    </w:p>
    <w:p>
      <w:pPr>
        <w:numPr>
          <w:ilvl w:val="0"/>
          <w:numId w:val="1005"/>
        </w:numPr>
        <w:pStyle w:val="Compact"/>
      </w:pPr>
      <w:r>
        <w:t xml:space="preserve">the exact coefficient reduction and Euclidean/nonperiodized closed form;</w:t>
      </w:r>
    </w:p>
    <w:p>
      <w:pPr>
        <w:numPr>
          <w:ilvl w:val="0"/>
          <w:numId w:val="1005"/>
        </w:numPr>
        <w:pStyle w:val="Compact"/>
      </w:pPr>
      <w:r>
        <w:t xml:space="preserve">the first-image polynomial and analytic remainder bound for the side-24 correction;</w:t>
      </w:r>
    </w:p>
    <w:p>
      <w:pPr>
        <w:numPr>
          <w:ilvl w:val="0"/>
          <w:numId w:val="1005"/>
        </w:numPr>
        <w:pStyle w:val="Compact"/>
      </w:pPr>
      <w:r>
        <w:t xml:space="preserve">novelty relative to the literature known to the reviewer.</w:t>
      </w:r>
    </w:p>
    <w:p>
      <w:pPr>
        <w:pStyle w:val="FirstParagraph"/>
      </w:pPr>
      <w:r>
        <w:t xml:space="preserve">The reviewer is not asked to endorse the author, the use of AI, any prior internal status language, or any claim outside the exact fixed scope.</w:t>
      </w:r>
    </w:p>
    <w:bookmarkEnd w:id="28"/>
    <w:bookmarkStart w:id="44" w:name="X27217924798cf302695e3d086d905f641844d92"/>
    <w:p>
      <w:pPr>
        <w:pStyle w:val="Heading2"/>
        <w:keepNext/>
      </w:pPr>
      <w:r>
        <w:t xml:space="preserve">6. Systematic procedure for gathering a future review snapshot</w:t>
      </w:r>
    </w:p>
    <w:p>
      <w:pPr>
        <w:pStyle w:val="FirstParagraph"/>
      </w:pPr>
      <w:r>
        <w:t xml:space="preserve">The following procedure should be used every time a package is assembled. It is intentionally conservative: uncertainty about version, status, or relevance is a reason to omit a file until resolved.</w:t>
      </w:r>
    </w:p>
    <w:bookmarkStart w:id="29" w:name="Xa8acae90a279709c63a3a9a6ebdf88af2f2d881"/>
    <w:p>
      <w:pPr>
        <w:pStyle w:val="Heading3"/>
        <w:keepNext/>
      </w:pPr>
      <w:r>
        <w:t xml:space="preserve">Step 1 — Declare the review question and freeze the scope</w:t>
      </w:r>
    </w:p>
    <w:p>
      <w:pPr>
        <w:pStyle w:val="FirstParagraph"/>
      </w:pPr>
      <w:r>
        <w:t xml:space="preserve">Write one sentence naming the exact theorem, model, dimension, side length, filtration, homology degree, intensity convention, and limit. Assign a snapshot date and immutable package identifier. Do not combine unrelated projects merely because they share notation or internal folders.</w:t>
      </w:r>
    </w:p>
    <w:p>
      <w:pPr>
        <w:pStyle w:val="BodyText"/>
      </w:pPr>
      <w:r>
        <w:t xml:space="preserve">For this snapshot, the scope is the fixed</w:t>
      </w:r>
      <w:r>
        <w:t xml:space="preserve"> </w:t>
      </w:r>
      <m:oMath>
        <m:r>
          <m:t>d</m:t>
        </m:r>
        <m:r>
          <m:rPr>
            <m:sty m:val="p"/>
          </m:rPr>
          <m:t>=</m:t>
        </m:r>
        <m:r>
          <m:t>3</m:t>
        </m:r>
        <m:r>
          <m:rPr>
            <m:sty m:val="p"/>
          </m:rPr>
          <m:t>,</m:t>
        </m:r>
        <m:r>
          <m:t>L</m:t>
        </m:r>
        <m:r>
          <m:rPr>
            <m:sty m:val="p"/>
          </m:rPr>
          <m:t>=</m:t>
        </m:r>
        <m:r>
          <m:t>24</m:t>
        </m:r>
      </m:oMath>
      <w:r>
        <w:t xml:space="preserve"> </w:t>
      </w:r>
      <w:r>
        <w:t xml:space="preserve">short-lifetime theorem only. The broad mathematical dump, unrelated Gaussian-process work, the separate two-dimensional chain, and abandoned generalizations are outside the package.</w:t>
      </w:r>
    </w:p>
    <w:bookmarkEnd w:id="29"/>
    <w:bookmarkStart w:id="30" w:name="X53e4d111768e8330aa03196699461d22e9af448"/>
    <w:p>
      <w:pPr>
        <w:pStyle w:val="Heading3"/>
        <w:keepNext/>
      </w:pPr>
      <w:r>
        <w:t xml:space="preserve">Step 2 — Identify baseline Drive objects by ID, not title alone</w:t>
      </w:r>
    </w:p>
    <w:p>
      <w:pPr>
        <w:pStyle w:val="FirstParagraph"/>
      </w:pPr>
      <w:r>
        <w:t xml:space="preserve">Search separately for the exact titles of the current manuscript, appendix, closure record, reproduction guide, and source manifest. Record the Drive file ID, title, MIME type, creation time, modification time, parent folder, status, and current revision ID. A title can be duplicated; the immutable Drive ID is the primary baseline identity.</w:t>
      </w:r>
    </w:p>
    <w:p>
      <w:pPr>
        <w:pStyle w:val="BodyText"/>
      </w:pPr>
      <w:r>
        <w:t xml:space="preserve">The baseline Drive mathematical sources for this snapshot are:</w:t>
      </w:r>
    </w:p>
    <w:p>
      <w:pPr>
        <w:numPr>
          <w:ilvl w:val="0"/>
          <w:numId w:val="1006"/>
        </w:numPr>
        <w:pStyle w:val="Compact"/>
      </w:pPr>
      <w:r>
        <w:rPr>
          <w:rStyle w:val="VerbatimChar"/>
        </w:rPr>
        <w:t xml:space="preserve">SIDE24_MANUSCRIPT_CORE.md</w:t>
      </w:r>
      <w:r>
        <w:t xml:space="preserve">, Drive ID</w:t>
      </w:r>
      <w:r>
        <w:t xml:space="preserve"> </w:t>
      </w:r>
      <w:r>
        <w:rPr>
          <w:rStyle w:val="VerbatimChar"/>
        </w:rPr>
        <w:t xml:space="preserve">1WQbfdg83ODwtRBfKwXXGoj_OxyvdCLsh</w:t>
      </w:r>
      <w:r>
        <w:t xml:space="preserve">;</w:t>
      </w:r>
    </w:p>
    <w:p>
      <w:pPr>
        <w:numPr>
          <w:ilvl w:val="0"/>
          <w:numId w:val="1006"/>
        </w:numPr>
        <w:pStyle w:val="Compact"/>
      </w:pPr>
      <w:r>
        <w:rPr>
          <w:rStyle w:val="VerbatimChar"/>
        </w:rPr>
        <w:t xml:space="preserve">SIDE24_TECHNICAL_APPENDIX_EXACT.md</w:t>
      </w:r>
      <w:r>
        <w:t xml:space="preserve">, Drive ID</w:t>
      </w:r>
      <w:r>
        <w:t xml:space="preserve"> </w:t>
      </w:r>
      <w:r>
        <w:rPr>
          <w:rStyle w:val="VerbatimChar"/>
        </w:rPr>
        <w:t xml:space="preserve">161RrIl-5esy_NzDqeXF0ur_gwfyQ3t9R</w:t>
      </w:r>
      <w:r>
        <w:t xml:space="preserve">.</w:t>
      </w:r>
    </w:p>
    <w:p>
      <w:pPr>
        <w:pStyle w:val="FirstParagraph"/>
      </w:pPr>
      <w:r>
        <w:t xml:space="preserve">The local review files</w:t>
      </w:r>
      <w:r>
        <w:t xml:space="preserve"> </w:t>
      </w:r>
      <w:r>
        <w:rPr>
          <w:rStyle w:val="VerbatimChar"/>
        </w:rPr>
        <w:t xml:space="preserve">03_SIDE24_MANUSCRIPT_SOURCE.md</w:t>
      </w:r>
      <w:r>
        <w:t xml:space="preserve"> </w:t>
      </w:r>
      <w:r>
        <w:t xml:space="preserve">and</w:t>
      </w:r>
      <w:r>
        <w:t xml:space="preserve"> </w:t>
      </w:r>
      <w:r>
        <w:rPr>
          <w:rStyle w:val="VerbatimChar"/>
        </w:rPr>
        <w:t xml:space="preserve">04_TECHNICAL_APPENDIX_SOURCE.md</w:t>
      </w:r>
      <w:r>
        <w:t xml:space="preserve"> </w:t>
      </w:r>
      <w:r>
        <w:t xml:space="preserve">control this packet and contain disclosed revisions derived from those baselines. The baseline closure record is</w:t>
      </w:r>
      <w:r>
        <w:t xml:space="preserve"> </w:t>
      </w:r>
      <w:r>
        <w:rPr>
          <w:rStyle w:val="VerbatimChar"/>
        </w:rPr>
        <w:t xml:space="preserve">LS-CLS-077-v1.0</w:t>
      </w:r>
      <w:r>
        <w:t xml:space="preserve">, Drive ID</w:t>
      </w:r>
      <w:r>
        <w:t xml:space="preserve"> </w:t>
      </w:r>
      <w:r>
        <w:rPr>
          <w:rStyle w:val="VerbatimChar"/>
        </w:rPr>
        <w:t xml:space="preserve">1V_SC4co_YV6shC4TljncojRjhcn0bYO9ONPbbp419XY</w:t>
      </w:r>
      <w:r>
        <w:t xml:space="preserve">. It establishes internal scope provenance only; it is not independent validation.</w:t>
      </w:r>
    </w:p>
    <w:bookmarkEnd w:id="30"/>
    <w:bookmarkStart w:id="31" w:name="X69f8004ab16b950ed3b0919b502b2717b7cec26"/>
    <w:p>
      <w:pPr>
        <w:pStyle w:val="Heading3"/>
        <w:keepNext/>
      </w:pPr>
      <w:r>
        <w:t xml:space="preserve">Step 3 — Resolve every possible successor before exporting</w:t>
      </w:r>
    </w:p>
    <w:p>
      <w:pPr>
        <w:pStyle w:val="FirstParagraph"/>
      </w:pPr>
      <w:r>
        <w:t xml:space="preserve">For each versioned stem, search the exact stem without its version and inspect all matches. Explicitly search</w:t>
      </w:r>
      <w:r>
        <w:t xml:space="preserve"> </w:t>
      </w:r>
      <w:r>
        <w:rPr>
          <w:rStyle w:val="VerbatimChar"/>
        </w:rPr>
        <w:t xml:space="preserve">.1</w:t>
      </w:r>
      <w:r>
        <w:t xml:space="preserve"> </w:t>
      </w:r>
      <w:r>
        <w:t xml:space="preserve">through</w:t>
      </w:r>
      <w:r>
        <w:t xml:space="preserve"> </w:t>
      </w:r>
      <w:r>
        <w:rPr>
          <w:rStyle w:val="VerbatimChar"/>
        </w:rPr>
        <w:t xml:space="preserve">.9</w:t>
      </w:r>
      <w:r>
        <w:t xml:space="preserve"> </w:t>
      </w:r>
      <w:r>
        <w:t xml:space="preserve">successors and semantic versions such as</w:t>
      </w:r>
      <w:r>
        <w:t xml:space="preserve"> </w:t>
      </w:r>
      <w:r>
        <w:rPr>
          <w:rStyle w:val="VerbatimChar"/>
        </w:rPr>
        <w:t xml:space="preserve">v1.1</w:t>
      </w:r>
      <w:r>
        <w:t xml:space="preserve">,</w:t>
      </w:r>
      <w:r>
        <w:t xml:space="preserve"> </w:t>
      </w:r>
      <w:r>
        <w:rPr>
          <w:rStyle w:val="VerbatimChar"/>
        </w:rPr>
        <w:t xml:space="preserve">v1.2</w:t>
      </w:r>
      <w:r>
        <w:t xml:space="preserve">, and</w:t>
      </w:r>
      <w:r>
        <w:t xml:space="preserve"> </w:t>
      </w:r>
      <w:r>
        <w:rPr>
          <w:rStyle w:val="VerbatimChar"/>
        </w:rPr>
        <w:t xml:space="preserve">v1.3</w:t>
      </w:r>
      <w:r>
        <w:t xml:space="preserve">. Compare content/status, not only modification time. Select the latest operative successor. Record excluded predecessors in the manifest but do not include them as active proof material.</w:t>
      </w:r>
    </w:p>
    <w:p>
      <w:pPr>
        <w:pStyle w:val="BodyText"/>
      </w:pPr>
      <w:r>
        <w:t xml:space="preserve">For this snapshot,</w:t>
      </w:r>
      <w:r>
        <w:t xml:space="preserve"> </w:t>
      </w:r>
      <w:r>
        <w:rPr>
          <w:rStyle w:val="VerbatimChar"/>
        </w:rPr>
        <w:t xml:space="preserve">LS-DER-073-v1.3</w:t>
      </w:r>
      <w:r>
        <w:t xml:space="preserve"> </w:t>
      </w:r>
      <w:r>
        <w:t xml:space="preserve">is the latest operative object and supersedes</w:t>
      </w:r>
      <w:r>
        <w:t xml:space="preserve"> </w:t>
      </w:r>
      <w:r>
        <w:rPr>
          <w:rStyle w:val="VerbatimChar"/>
        </w:rPr>
        <w:t xml:space="preserve">LS-DER-073-v1.0</w:t>
      </w:r>
      <w:r>
        <w:t xml:space="preserve">,</w:t>
      </w:r>
      <w:r>
        <w:t xml:space="preserve"> </w:t>
      </w:r>
      <w:r>
        <w:rPr>
          <w:rStyle w:val="VerbatimChar"/>
        </w:rPr>
        <w:t xml:space="preserve">v1.1</w:t>
      </w:r>
      <w:r>
        <w:t xml:space="preserve">, and</w:t>
      </w:r>
      <w:r>
        <w:t xml:space="preserve"> </w:t>
      </w:r>
      <w:r>
        <w:rPr>
          <w:rStyle w:val="VerbatimChar"/>
        </w:rPr>
        <w:t xml:space="preserve">v1.2</w:t>
      </w:r>
      <w:r>
        <w:t xml:space="preserve">. Those predecessors are not operative proof. Module J nevertheless imports retained estimates from</w:t>
      </w:r>
      <w:r>
        <w:t xml:space="preserve"> </w:t>
      </w:r>
      <w:r>
        <w:rPr>
          <w:rStyle w:val="VerbatimChar"/>
        </w:rPr>
        <w:t xml:space="preserve">v1.2</w:t>
      </w:r>
      <w:r>
        <w:t xml:space="preserve">; that dependency is disclosed as an unresolved defect rather than silently treated as current proof.</w:t>
      </w:r>
    </w:p>
    <w:bookmarkEnd w:id="31"/>
    <w:bookmarkStart w:id="32" w:name="X75bf78ef968d35c2ec2c3f4e8d517f9ae128b03"/>
    <w:p>
      <w:pPr>
        <w:pStyle w:val="Heading3"/>
        <w:keepNext/>
      </w:pPr>
      <w:r>
        <w:t xml:space="preserve">Step 4 — Traverse the proof dependency graph</w:t>
      </w:r>
    </w:p>
    <w:p>
      <w:pPr>
        <w:pStyle w:val="FirstParagraph"/>
      </w:pPr>
      <w:r>
        <w:t xml:space="preserve">Starting from the theorem, list every nonstandard lemma, asymptotic, deterministic geometry claim, probabilistic input, symbolic identity, and numerical enclosure. For each node, classify it as one of:</w:t>
      </w:r>
    </w:p>
    <w:p>
      <w:pPr>
        <w:numPr>
          <w:ilvl w:val="0"/>
          <w:numId w:val="1007"/>
        </w:numPr>
        <w:pStyle w:val="Compact"/>
      </w:pPr>
      <w:r>
        <w:t xml:space="preserve">proved inside the manuscript;</w:t>
      </w:r>
    </w:p>
    <w:p>
      <w:pPr>
        <w:numPr>
          <w:ilvl w:val="0"/>
          <w:numId w:val="1007"/>
        </w:numPr>
        <w:pStyle w:val="Compact"/>
      </w:pPr>
      <w:r>
        <w:t xml:space="preserve">reproduced in the review appendix;</w:t>
      </w:r>
    </w:p>
    <w:p>
      <w:pPr>
        <w:numPr>
          <w:ilvl w:val="0"/>
          <w:numId w:val="1007"/>
        </w:numPr>
        <w:pStyle w:val="Compact"/>
      </w:pPr>
      <w:r>
        <w:t xml:space="preserve">bundled executable source plus expected result;</w:t>
      </w:r>
    </w:p>
    <w:p>
      <w:pPr>
        <w:numPr>
          <w:ilvl w:val="0"/>
          <w:numId w:val="1007"/>
        </w:numPr>
        <w:pStyle w:val="Compact"/>
      </w:pPr>
      <w:r>
        <w:t xml:space="preserve">a standard imported theorem with a precise citation and checked hypotheses;</w:t>
      </w:r>
    </w:p>
    <w:p>
      <w:pPr>
        <w:numPr>
          <w:ilvl w:val="0"/>
          <w:numId w:val="1007"/>
        </w:numPr>
        <w:pStyle w:val="Compact"/>
      </w:pPr>
      <w:r>
        <w:t xml:space="preserve">unresolved.</w:t>
      </w:r>
    </w:p>
    <w:p>
      <w:pPr>
        <w:pStyle w:val="FirstParagraph"/>
      </w:pPr>
      <w:r>
        <w:t xml:space="preserve">An unresolved dependency must be disclosed as a gap. It must not be silently replaced by an internal pass label.</w:t>
      </w:r>
    </w:p>
    <w:bookmarkEnd w:id="32"/>
    <w:bookmarkStart w:id="33" w:name="X3285cdd51c0f5884e56b14309f7f41f2c4270a3"/>
    <w:p>
      <w:pPr>
        <w:pStyle w:val="Heading3"/>
        <w:keepNext/>
      </w:pPr>
      <w:r>
        <w:t xml:space="preserve">Step 5 — Separate mathematical evidence from process evidence</w:t>
      </w:r>
    </w:p>
    <w:p>
      <w:pPr>
        <w:pStyle w:val="FirstParagraph"/>
      </w:pPr>
      <w:r>
        <w:t xml:space="preserve">The professor-facing proof consists of definitions, hypotheses, theorem statements, derivations, and citations. Internal gates, claim ledgers, model verdicts, audit prompts, and completion labels are process provenance. They may explain why a correction was made, but they do not prove the correction. Place only indispensable provenance in</w:t>
      </w:r>
      <w:r>
        <w:t xml:space="preserve"> </w:t>
      </w:r>
      <w:r>
        <w:rPr>
          <w:rStyle w:val="VerbatimChar"/>
        </w:rPr>
        <w:t xml:space="preserve">90_OPTIONAL_PROVENANCE/</w:t>
      </w:r>
      <w:r>
        <w:t xml:space="preserve">.</w:t>
      </w:r>
    </w:p>
    <w:bookmarkEnd w:id="33"/>
    <w:bookmarkStart w:id="34" w:name="X64b6d18835d7fa5d4b84ffc3f5e6ae6e552d36b"/>
    <w:p>
      <w:pPr>
        <w:pStyle w:val="Heading3"/>
        <w:keepNext/>
      </w:pPr>
      <w:r>
        <w:t xml:space="preserve">Step 6 — Export into ordinary, portable formats</w:t>
      </w:r>
    </w:p>
    <w:p>
      <w:pPr>
        <w:pStyle w:val="FirstParagraph"/>
      </w:pPr>
      <w:r>
        <w:t xml:space="preserve">Export the current manuscript and appendix as searchable PDF and retain their UTF-8 Markdown sources. Export any native Google Doc needed for provenance as PDF or plain text. Extract executable code into normal</w:t>
      </w:r>
      <w:r>
        <w:t xml:space="preserve"> </w:t>
      </w:r>
      <w:r>
        <w:rPr>
          <w:rStyle w:val="VerbatimChar"/>
        </w:rPr>
        <w:t xml:space="preserve">.py</w:t>
      </w:r>
      <w:r>
        <w:t xml:space="preserve">,</w:t>
      </w:r>
      <w:r>
        <w:t xml:space="preserve"> </w:t>
      </w:r>
      <w:r>
        <w:rPr>
          <w:rStyle w:val="VerbatimChar"/>
        </w:rPr>
        <w:t xml:space="preserve">.sage</w:t>
      </w:r>
      <w:r>
        <w:t xml:space="preserve">,</w:t>
      </w:r>
      <w:r>
        <w:t xml:space="preserve"> </w:t>
      </w:r>
      <w:r>
        <w:rPr>
          <w:rStyle w:val="VerbatimChar"/>
        </w:rPr>
        <w:t xml:space="preserve">.wl</w:t>
      </w:r>
      <w:r>
        <w:t xml:space="preserve">, or similar files. Never require the professor to open a Drive link, reconstruct code from screenshots, or infer an omitted equation from document history.</w:t>
      </w:r>
    </w:p>
    <w:bookmarkEnd w:id="34"/>
    <w:bookmarkStart w:id="35" w:name="X06bcd30fe0cd7a50dd02e7540d2817400df1a3c"/>
    <w:p>
      <w:pPr>
        <w:pStyle w:val="Heading3"/>
        <w:keepNext/>
      </w:pPr>
      <w:r>
        <w:t xml:space="preserve">Step 7 — Replace private links and internal names</w:t>
      </w:r>
    </w:p>
    <w:p>
      <w:pPr>
        <w:pStyle w:val="FirstParagraph"/>
      </w:pPr>
      <w:r>
        <w:t xml:space="preserve">Replace operative private Drive links with relative filenames and section or equation references. Keep Drive IDs only in the package manifest for provenance. Translate internal object names into conventional mathematical roles in the dossier, while retaining an exact source crosswalk in the appendix.</w:t>
      </w:r>
    </w:p>
    <w:bookmarkEnd w:id="35"/>
    <w:bookmarkStart w:id="36" w:name="step-8-record-transformations"/>
    <w:p>
      <w:pPr>
        <w:pStyle w:val="Heading3"/>
        <w:keepNext/>
      </w:pPr>
      <w:r>
        <w:t xml:space="preserve">Step 8 — Record transformations</w:t>
      </w:r>
    </w:p>
    <w:p>
      <w:pPr>
        <w:pStyle w:val="FirstParagraph"/>
      </w:pPr>
      <w:r>
        <w:t xml:space="preserve">For every exported file, record whether it is an exact byte copy, a text extraction, a conventional reformatting, or a new explanatory document. State which source controls if a rendered PDF and source file differ. Do not claim byte identity for a document produced by rendering or import.</w:t>
      </w:r>
    </w:p>
    <w:bookmarkEnd w:id="36"/>
    <w:bookmarkStart w:id="37" w:name="step-9-build-a-reproducibility-layer"/>
    <w:p>
      <w:pPr>
        <w:pStyle w:val="Heading3"/>
        <w:keepNext/>
      </w:pPr>
      <w:r>
        <w:t xml:space="preserve">Step 9 — Build a reproducibility layer</w:t>
      </w:r>
    </w:p>
    <w:p>
      <w:pPr>
        <w:pStyle w:val="FirstParagraph"/>
      </w:pPr>
      <w:r>
        <w:t xml:space="preserve">Bundle each executable source beside its expected output. Record the interpreter, required packages, commands, precision, tolerances, and theorem equation tested. If the historical runtime or package version is unknown, say so. A script that prints</w:t>
      </w:r>
      <w:r>
        <w:t xml:space="preserve"> </w:t>
      </w:r>
      <w:r>
        <w:rPr>
          <w:rStyle w:val="VerbatimChar"/>
        </w:rPr>
        <w:t xml:space="preserve">PASS</w:t>
      </w:r>
      <w:r>
        <w:t xml:space="preserve"> </w:t>
      </w:r>
      <w:r>
        <w:t xml:space="preserve">is supporting evidence, not a proof of the mathematical assumptions encoded in the script.</w:t>
      </w:r>
    </w:p>
    <w:bookmarkEnd w:id="37"/>
    <w:bookmarkStart w:id="38" w:name="step-10-conduct-a-content-audit"/>
    <w:p>
      <w:pPr>
        <w:pStyle w:val="Heading3"/>
        <w:keepNext/>
      </w:pPr>
      <w:r>
        <w:t xml:space="preserve">Step 10 — Conduct a content audit</w:t>
      </w:r>
    </w:p>
    <w:p>
      <w:pPr>
        <w:pStyle w:val="FirstParagraph"/>
      </w:pPr>
      <w:r>
        <w:t xml:space="preserve">Check that every symbol is defined before use, theorem hypotheses are complete, equations are uniquely numbered, and no section extends the claim beyond the declared scope. Verify that the manuscript distinguishes a first-moment intensity density from a probability density of an individual lifetime.</w:t>
      </w:r>
    </w:p>
    <w:bookmarkEnd w:id="38"/>
    <w:bookmarkStart w:id="39" w:name="step-11-conduct-a-visual-audit"/>
    <w:p>
      <w:pPr>
        <w:pStyle w:val="Heading3"/>
        <w:keepNext/>
      </w:pPr>
      <w:r>
        <w:t xml:space="preserve">Step 11 — Conduct a visual audit</w:t>
      </w:r>
    </w:p>
    <w:p>
      <w:pPr>
        <w:pStyle w:val="FirstParagraph"/>
      </w:pPr>
      <w:r>
        <w:t xml:space="preserve">Render every DOCX and PDF. Inspect every page for clipped equations, missing glyphs, lost minus signs, broken tables, blank pages, malformed hyperlinks, and orphaned headings. Search the extracted PDF text for replacement characters and truncated formula lines.</w:t>
      </w:r>
    </w:p>
    <w:bookmarkEnd w:id="39"/>
    <w:bookmarkStart w:id="40" w:name="step-12-freeze-integrity-metadata"/>
    <w:p>
      <w:pPr>
        <w:pStyle w:val="Heading3"/>
        <w:keepNext/>
      </w:pPr>
      <w:r>
        <w:t xml:space="preserve">Step 12 — Freeze integrity metadata</w:t>
      </w:r>
    </w:p>
    <w:p>
      <w:pPr>
        <w:pStyle w:val="FirstParagraph"/>
      </w:pPr>
      <w:r>
        <w:t xml:space="preserve">Compute SHA-256 after all rendering and before building the ZIP. Write file size and SHA-256 to the manifest. Build the ZIP, extract it into a clean temporary directory, recompute every hash, and run the reproduction commands from that extracted copy.</w:t>
      </w:r>
    </w:p>
    <w:bookmarkEnd w:id="40"/>
    <w:bookmarkStart w:id="41" w:name="X5eec0a9175d55c84a7489f9a5efe0954e507530"/>
    <w:p>
      <w:pPr>
        <w:pStyle w:val="Heading3"/>
        <w:keepNext/>
      </w:pPr>
      <w:r>
        <w:t xml:space="preserve">Step 13 — Prepare the professor-facing request</w:t>
      </w:r>
    </w:p>
    <w:p>
      <w:pPr>
        <w:pStyle w:val="FirstParagraph"/>
      </w:pPr>
      <w:r>
        <w:t xml:space="preserve">Use the cover letter in this package. Ask for a candid component-level assessment, not endorsement. Disclose AI assistance. Give short and deep reading paths. State that partial review within the professor’s expertise is useful.</w:t>
      </w:r>
    </w:p>
    <w:bookmarkEnd w:id="41"/>
    <w:bookmarkStart w:id="42" w:name="step-14-transfer-without-drive-access"/>
    <w:p>
      <w:pPr>
        <w:pStyle w:val="Heading3"/>
        <w:keepNext/>
      </w:pPr>
      <w:r>
        <w:t xml:space="preserve">Step 14 — Transfer without Drive access</w:t>
      </w:r>
    </w:p>
    <w:p>
      <w:pPr>
        <w:pStyle w:val="FirstParagraph"/>
      </w:pPr>
      <w:r>
        <w:t xml:space="preserve">Send the ZIP or a direct-download link whose permissions work in a private/incognito browser. Attach the read-me and cover letter separately if convenient. Do not send links to the original Drive sources. If email size limits apply, use one accessible download link plus the checksum of the ZIP in the email.</w:t>
      </w:r>
    </w:p>
    <w:bookmarkEnd w:id="42"/>
    <w:bookmarkStart w:id="43" w:name="step-15-preserve-exactly-what-was-sent"/>
    <w:p>
      <w:pPr>
        <w:pStyle w:val="Heading3"/>
        <w:keepNext/>
      </w:pPr>
      <w:r>
        <w:t xml:space="preserve">Step 15 — Preserve exactly what was sent</w:t>
      </w:r>
    </w:p>
    <w:p>
      <w:pPr>
        <w:pStyle w:val="FirstParagraph"/>
      </w:pPr>
      <w:r>
        <w:t xml:space="preserve">Retain an immutable copy of the complete sent package and the date sent. Any later correction must become a new dated package with a change log. Never overwrite the historical sent snapshot.</w:t>
      </w:r>
    </w:p>
    <w:bookmarkEnd w:id="43"/>
    <w:bookmarkEnd w:id="44"/>
    <w:bookmarkStart w:id="45" w:name="final-pre-send-checklist"/>
    <w:p>
      <w:pPr>
        <w:pStyle w:val="Heading2"/>
        <w:keepNext/>
      </w:pPr>
      <w:r>
        <w:t xml:space="preserve">7. Final pre-send checklist</w:t>
      </w:r>
    </w:p>
    <w:p>
      <w:pPr>
        <w:numPr>
          <w:ilvl w:val="0"/>
          <w:numId w:val="1008"/>
        </w:numPr>
        <w:pStyle w:val="Compact"/>
      </w:pPr>
      <w:r>
        <w:t xml:space="preserve">☐ Recipient name and salutation are filled in.</w:t>
      </w:r>
    </w:p>
    <w:p>
      <w:pPr>
        <w:numPr>
          <w:ilvl w:val="0"/>
          <w:numId w:val="1008"/>
        </w:numPr>
        <w:pStyle w:val="Compact"/>
      </w:pPr>
      <w:r>
        <w:t xml:space="preserve">☐ Contact details in the cover letter are filled in or intentionally omitted.</w:t>
      </w:r>
    </w:p>
    <w:p>
      <w:pPr>
        <w:numPr>
          <w:ilvl w:val="0"/>
          <w:numId w:val="1008"/>
        </w:numPr>
        <w:pStyle w:val="Compact"/>
      </w:pPr>
      <w:r>
        <w:t xml:space="preserve">☐ The professor has not been promised authorship, endorsement, or confidentiality beyond what was agreed.</w:t>
      </w:r>
    </w:p>
    <w:p>
      <w:pPr>
        <w:numPr>
          <w:ilvl w:val="0"/>
          <w:numId w:val="1008"/>
        </w:numPr>
        <w:pStyle w:val="Compact"/>
      </w:pPr>
      <w:r>
        <w:t xml:space="preserve">☐ The fixed scope is stated in the email and the dossier.</w:t>
      </w:r>
    </w:p>
    <w:p>
      <w:pPr>
        <w:numPr>
          <w:ilvl w:val="0"/>
          <w:numId w:val="1008"/>
        </w:numPr>
        <w:pStyle w:val="Compact"/>
      </w:pPr>
      <w:r>
        <w:t xml:space="preserve">☐ The baseline manuscript and appendix IDs match the manifest, and the local review revisions are identified as derived files.</w:t>
      </w:r>
    </w:p>
    <w:p>
      <w:pPr>
        <w:numPr>
          <w:ilvl w:val="0"/>
          <w:numId w:val="1008"/>
        </w:numPr>
        <w:pStyle w:val="Compact"/>
      </w:pPr>
      <w:r>
        <w:t xml:space="preserve">☐ Successor searches have been repeated immediately before sending.</w:t>
      </w:r>
    </w:p>
    <w:p>
      <w:pPr>
        <w:numPr>
          <w:ilvl w:val="0"/>
          <w:numId w:val="1008"/>
        </w:numPr>
        <w:pStyle w:val="Compact"/>
      </w:pPr>
      <w:r>
        <w:t xml:space="preserve">☐</w:t>
      </w:r>
      <w:r>
        <w:t xml:space="preserve"> </w:t>
      </w:r>
      <w:r>
        <w:rPr>
          <w:rStyle w:val="VerbatimChar"/>
        </w:rPr>
        <w:t xml:space="preserve">LS-DER-073-v1.3</w:t>
      </w:r>
      <w:r>
        <w:t xml:space="preserve">, not an older successor, controls the energy argument.</w:t>
      </w:r>
    </w:p>
    <w:p>
      <w:pPr>
        <w:numPr>
          <w:ilvl w:val="0"/>
          <w:numId w:val="1008"/>
        </w:numPr>
        <w:pStyle w:val="Compact"/>
      </w:pPr>
      <w:r>
        <w:t xml:space="preserve">☐ No broad mathematical dump or unrelated project file is included.</w:t>
      </w:r>
    </w:p>
    <w:p>
      <w:pPr>
        <w:numPr>
          <w:ilvl w:val="0"/>
          <w:numId w:val="1008"/>
        </w:numPr>
        <w:pStyle w:val="Compact"/>
      </w:pPr>
      <w:r>
        <w:t xml:space="preserve">☐ No private Drive link is required to understand or reproduce the package.</w:t>
      </w:r>
    </w:p>
    <w:p>
      <w:pPr>
        <w:numPr>
          <w:ilvl w:val="0"/>
          <w:numId w:val="1008"/>
        </w:numPr>
        <w:pStyle w:val="Compact"/>
      </w:pPr>
      <w:r>
        <w:t xml:space="preserve">☐ Every bundled file appears in the manifest.</w:t>
      </w:r>
    </w:p>
    <w:p>
      <w:pPr>
        <w:numPr>
          <w:ilvl w:val="0"/>
          <w:numId w:val="1008"/>
        </w:numPr>
        <w:pStyle w:val="Compact"/>
      </w:pPr>
      <w:r>
        <w:t xml:space="preserve">☐ Every final payload hash matches</w:t>
      </w:r>
      <w:r>
        <w:t xml:space="preserve"> </w:t>
      </w:r>
      <w:r>
        <w:rPr>
          <w:rStyle w:val="VerbatimChar"/>
        </w:rPr>
        <w:t xml:space="preserve">10_SHA256SUMS.txt</w:t>
      </w:r>
      <w:r>
        <w:t xml:space="preserve">.</w:t>
      </w:r>
    </w:p>
    <w:p>
      <w:pPr>
        <w:numPr>
          <w:ilvl w:val="0"/>
          <w:numId w:val="1008"/>
        </w:numPr>
        <w:pStyle w:val="Compact"/>
      </w:pPr>
      <w:r>
        <w:t xml:space="preserve">☐ The ZIP was extracted and tested in a clean directory.</w:t>
      </w:r>
    </w:p>
    <w:p>
      <w:pPr>
        <w:numPr>
          <w:ilvl w:val="0"/>
          <w:numId w:val="1008"/>
        </w:numPr>
        <w:pStyle w:val="Compact"/>
      </w:pPr>
      <w:r>
        <w:t xml:space="preserve">☐ Every PDF page was visually inspected.</w:t>
      </w:r>
    </w:p>
    <w:p>
      <w:pPr>
        <w:numPr>
          <w:ilvl w:val="0"/>
          <w:numId w:val="1008"/>
        </w:numPr>
        <w:pStyle w:val="Compact"/>
      </w:pPr>
      <w:r>
        <w:t xml:space="preserve">☐ The combined PDF and individual PDFs contain the same operative mathematics.</w:t>
      </w:r>
    </w:p>
    <w:p>
      <w:pPr>
        <w:numPr>
          <w:ilvl w:val="0"/>
          <w:numId w:val="1008"/>
        </w:numPr>
        <w:pStyle w:val="Compact"/>
      </w:pPr>
      <w:r>
        <w:t xml:space="preserve">☐ The reviewer response form opens and is editable.</w:t>
      </w:r>
    </w:p>
    <w:p>
      <w:pPr>
        <w:numPr>
          <w:ilvl w:val="0"/>
          <w:numId w:val="1008"/>
        </w:numPr>
        <w:pStyle w:val="Compact"/>
      </w:pPr>
      <w:r>
        <w:t xml:space="preserve">☐ The download method was tested without signing into Dylan Roy’s Drive.</w:t>
      </w:r>
    </w:p>
    <w:bookmarkEnd w:id="45"/>
    <w:bookmarkStart w:id="46" w:name="material-intentionally-excluded"/>
    <w:p>
      <w:pPr>
        <w:pStyle w:val="Heading2"/>
        <w:keepNext/>
      </w:pPr>
      <w:r>
        <w:t xml:space="preserve">8. Material intentionally excluded</w:t>
      </w:r>
    </w:p>
    <w:p>
      <w:pPr>
        <w:pStyle w:val="FirstParagraph"/>
      </w:pPr>
      <w:r>
        <w:t xml:space="preserve">The following are not part of the operative review package: the broad current-understanding dump; retracted or overbroad theorem claims; other dimensions or side lengths; arbitrary-field and infinite-volume generalizations; the unresolved two-dimensional chain; exploratory calculations; personal notes; prompts and conversations; redundant internal audit requests; superseded proof attempts; and unrelated research programs.</w:t>
      </w:r>
    </w:p>
    <w:p>
      <w:pPr>
        <w:pStyle w:val="BodyText"/>
      </w:pPr>
      <w:r>
        <w:t xml:space="preserve">Those exclusions are deliberate. They prevent a reviewer from spending time on material that does not determine the present theorem.</w:t>
      </w:r>
    </w:p>
    <w:bookmarkEnd w:id="46"/>
    <w:bookmarkStart w:id="47" w:name="contact-and-citation-request"/>
    <w:p>
      <w:pPr>
        <w:pStyle w:val="Heading2"/>
        <w:keepNext/>
      </w:pPr>
      <w:r>
        <w:t xml:space="preserve">9. Contact and citation request</w:t>
      </w:r>
    </w:p>
    <w:p>
      <w:pPr>
        <w:pStyle w:val="FirstParagraph"/>
      </w:pPr>
      <w:r>
        <w:t xml:space="preserve">Questions or corrections should identify the filename, page, theorem or lemma, and equation whenever possible. If the reviewer finds a fatal defect, the most useful report states the earliest failing step and which downstream conclusions it affects. The reviewer may remain anonymous and may decline permission to quote the review.</w:t>
      </w:r>
    </w:p>
    <w:bookmarkEnd w:id="47"/>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Arial" w:cs="Arial" w:eastAsia="Arial" w:hAnsi="Arial"/>
      <w:color w:val="000000"/>
      <w:sz w:val="22"/>
    </w:rPr>
  </w:style>
  <w:style w:styleId="BodyText" w:type="paragraph">
    <w:name w:val="Body Text"/>
    <w:basedOn w:val="Normal"/>
    <w:link w:val="BodyTextChar"/>
    <w:pPr>
      <w:spacing w:after="160" w:before="0" w:line="276" w:lineRule="auto"/>
    </w:pPr>
    <w:qFormat/>
    <w:rPr>
      <w:rFonts w:ascii="Arial" w:cs="Arial" w:eastAsia="Arial" w:hAnsi="Arial"/>
      <w:color w:val="000000"/>
      <w:sz w:val="22"/>
    </w:rPr>
  </w:style>
  <w:style w:customStyle="1" w:styleId="FirstParagraph" w:type="paragraph">
    <w:name w:val="First Paragraph"/>
    <w:basedOn w:val="BodyText"/>
    <w:next w:val="BodyText"/>
    <w:qFormat/>
    <w:pPr>
      <w:spacing w:after="160" w:before="0" w:line="276" w:lineRule="auto"/>
    </w:pPr>
    <w:rPr>
      <w:rFonts w:ascii="Arial" w:cs="Arial" w:eastAsia="Arial" w:hAnsi="Arial"/>
      <w:color w:val="000000"/>
      <w:sz w:val="22"/>
    </w:rPr>
  </w:style>
  <w:style w:customStyle="1" w:styleId="Compact" w:type="paragraph">
    <w:name w:val="Compact"/>
    <w:basedOn w:val="BodyText"/>
    <w:qFormat/>
    <w:pPr>
      <w:spacing w:after="160" w:before="0" w:line="276" w:lineRule="auto"/>
    </w:pPr>
    <w:rPr>
      <w:rFonts w:ascii="Arial" w:cs="Arial" w:eastAsia="Arial" w:hAnsi="Arial"/>
      <w:color w:val="000000"/>
      <w:sz w:val="22"/>
    </w:rPr>
  </w:style>
  <w:style w:styleId="Title" w:type="paragraph">
    <w:name w:val="Title"/>
    <w:basedOn w:val="Normal"/>
    <w:next w:val="BodyText"/>
    <w:qFormat/>
    <w:pPr>
      <w:keepNext/>
      <w:keepLines/>
      <w:spacing w:after="60" w:before="0"/>
      <w:jc w:val="center"/>
    </w:pPr>
    <w:rPr>
      <w:rFonts w:ascii="Arial" w:asciiTheme="majorHAnsi" w:cs="Arial" w:cstheme="majorBidi" w:eastAsia="Arial" w:eastAsiaTheme="majorEastAsia" w:hAnsi="Arial" w:hAnsiTheme="majorHAnsi"/>
      <w:b w:val="0"/>
      <w:bCs/>
      <w:color w:val="000000"/>
      <w:sz w:val="52"/>
      <w:szCs w:val="36"/>
    </w:rPr>
  </w:style>
  <w:style w:styleId="Subtitle" w:type="paragraph">
    <w:name w:val="Subtitle"/>
    <w:basedOn w:val="Title"/>
    <w:next w:val="BodyText"/>
    <w:qFormat/>
    <w:pPr>
      <w:keepNext/>
      <w:keepLines/>
      <w:spacing w:after="100" w:before="0"/>
      <w:jc w:val="center"/>
    </w:pPr>
    <w:rPr>
      <w:rFonts w:ascii="Arial" w:cs="Arial" w:eastAsia="Arial" w:hAnsi="Arial"/>
      <w:b w:val="0"/>
      <w:color w:val="5F6368"/>
      <w:sz w:val="28"/>
      <w:szCs w:val="30"/>
    </w:rPr>
  </w:style>
  <w:style w:customStyle="1" w:styleId="Author" w:type="paragraph">
    <w:name w:val="Author"/>
    <w:next w:val="BodyText"/>
    <w:qFormat/>
    <w:pPr>
      <w:keepNext/>
      <w:keepLines/>
      <w:spacing w:after="60" w:before="0"/>
      <w:jc w:val="center"/>
    </w:pPr>
    <w:rPr>
      <w:rFonts w:ascii="Arial" w:cs="Arial" w:eastAsia="Arial" w:hAnsi="Arial"/>
      <w:b w:val="0"/>
      <w:color w:val="5F6368"/>
      <w:sz w:val="22"/>
    </w:rPr>
  </w:style>
  <w:style w:styleId="Date" w:type="paragraph">
    <w:name w:val="Date"/>
    <w:next w:val="BodyText"/>
    <w:qFormat/>
    <w:pPr>
      <w:keepNext/>
      <w:keepLines/>
      <w:spacing w:after="60" w:before="0"/>
      <w:jc w:val="center"/>
    </w:pPr>
    <w:rPr>
      <w:rFonts w:ascii="Arial" w:cs="Arial" w:eastAsia="Arial" w:hAnsi="Arial"/>
      <w:b w:val="0"/>
      <w:color w:val="5F636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276" w:lineRule="auto"/>
      <w:ind w:firstLine="0" w:left="480" w:right="480"/>
    </w:pPr>
    <w:rPr>
      <w:rFonts w:ascii="Arial" w:cs="Arial" w:eastAsia="Arial" w:hAnsi="Arial"/>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80"/>
    </w:pPr>
    <w:rPr>
      <w:rFonts w:ascii="Arial" w:cs="Arial" w:eastAsia="Arial" w:hAnsi="Arial"/>
      <w:b w:val="0"/>
      <w:color w:val="5F6368"/>
      <w:sz w:val="19"/>
    </w:rPr>
  </w:style>
  <w:style w:customStyle="1" w:styleId="ImageCaption" w:type="paragraph">
    <w:name w:val="Image Caption"/>
    <w:basedOn w:val="Caption"/>
    <w:pPr>
      <w:spacing w:after="120" w:before="80"/>
    </w:pPr>
    <w:rPr>
      <w:rFonts w:ascii="Arial" w:cs="Arial" w:eastAsia="Arial" w:hAnsi="Arial"/>
      <w:b w:val="0"/>
      <w:color w:val="5F6368"/>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color w:val="20212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Side-24 pre-peer-review package</dc:title>
  <dc:creator>Dylan Roy</dc:creator>
  <dc:language>en-US</dc:language>
  <cp:keywords/>
  <dcterms:created xsi:type="dcterms:W3CDTF">2026-07-31T18:54:10Z</dcterms:created>
  <dcterms:modified xsi:type="dcterms:W3CDTF">2026-07-31T18:54:10Z</dcterms:modified>
  <dc:subject>Confidential pre-submission technical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Frozen snapshot: 31 July 2026</vt:lpwstr>
  </property>
</Properties>
</file>