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spacing w:before="0" w:after="60"/>
      </w:pPr>
      <w:r>
        <w:rPr>
          <w:rFonts w:ascii="Arial" w:hAnsi="Arial"/>
          <w:b w:val="0"/>
          <w:color w:val="000000"/>
          <w:sz w:val="52"/>
          <w:u w:val="none"/>
        </w:rPr>
        <w:t xml:space="preserve">Disposition</w:t>
      </w:r>
      <w:r>
        <w:rPr>
          <w:rFonts w:ascii="Arial" w:hAnsi="Arial"/>
          <w:b w:val="0"/>
          <w:color w:val="000000"/>
          <w:sz w:val="52"/>
          <w:u w:val="none"/>
        </w:rPr>
        <w:t xml:space="preserve"> </w:t>
      </w:r>
      <w:r>
        <w:rPr>
          <w:rFonts w:ascii="Arial" w:hAnsi="Arial"/>
          <w:b w:val="0"/>
          <w:color w:val="000000"/>
          <w:sz w:val="52"/>
          <w:u w:val="none"/>
        </w:rPr>
        <w:t xml:space="preserve">of</w:t>
      </w:r>
      <w:r>
        <w:rPr>
          <w:rFonts w:ascii="Arial" w:hAnsi="Arial"/>
          <w:b w:val="0"/>
          <w:color w:val="000000"/>
          <w:sz w:val="52"/>
          <w:u w:val="none"/>
        </w:rPr>
        <w:t xml:space="preserve"> </w:t>
      </w:r>
      <w:r>
        <w:rPr>
          <w:rFonts w:ascii="Arial" w:hAnsi="Arial"/>
          <w:b w:val="0"/>
          <w:color w:val="000000"/>
          <w:sz w:val="52"/>
          <w:u w:val="none"/>
        </w:rPr>
        <w:t xml:space="preserve">preliminary</w:t>
      </w:r>
      <w:r>
        <w:rPr>
          <w:rFonts w:ascii="Arial" w:hAnsi="Arial"/>
          <w:b w:val="0"/>
          <w:color w:val="000000"/>
          <w:sz w:val="52"/>
          <w:u w:val="none"/>
        </w:rPr>
        <w:t xml:space="preserve"> </w:t>
      </w:r>
      <w:r>
        <w:rPr>
          <w:rFonts w:ascii="Arial" w:hAnsi="Arial"/>
          <w:b w:val="0"/>
          <w:color w:val="000000"/>
          <w:sz w:val="52"/>
          <w:u w:val="none"/>
        </w:rPr>
        <w:t xml:space="preserve">AI</w:t>
      </w:r>
      <w:r>
        <w:rPr>
          <w:rFonts w:ascii="Arial" w:hAnsi="Arial"/>
          <w:b w:val="0"/>
          <w:color w:val="000000"/>
          <w:sz w:val="52"/>
          <w:u w:val="none"/>
        </w:rPr>
        <w:t xml:space="preserve"> </w:t>
      </w:r>
      <w:r>
        <w:rPr>
          <w:rFonts w:ascii="Arial" w:hAnsi="Arial"/>
          <w:b w:val="0"/>
          <w:color w:val="000000"/>
          <w:sz w:val="52"/>
          <w:u w:val="none"/>
        </w:rPr>
        <w:t xml:space="preserve">reviews</w:t>
      </w:r>
      <w:r>
        <w:rPr>
          <w:rFonts w:ascii="Arial" w:hAnsi="Arial"/>
          <w:b w:val="0"/>
          <w:color w:val="000000"/>
          <w:sz w:val="52"/>
          <w:u w:val="none"/>
        </w:rPr>
        <w:t xml:space="preserve"> </w:t>
      </w:r>
      <w:r>
        <w:rPr>
          <w:rFonts w:ascii="Arial" w:hAnsi="Arial"/>
          <w:b w:val="0"/>
          <w:color w:val="000000"/>
          <w:sz w:val="52"/>
          <w:u w:val="none"/>
        </w:rPr>
        <w:t xml:space="preserve">and</w:t>
      </w:r>
      <w:r>
        <w:rPr>
          <w:rFonts w:ascii="Arial" w:hAnsi="Arial"/>
          <w:b w:val="0"/>
          <w:color w:val="000000"/>
          <w:sz w:val="52"/>
          <w:u w:val="none"/>
        </w:rPr>
        <w:t xml:space="preserve"> </w:t>
      </w:r>
      <w:r>
        <w:rPr>
          <w:rFonts w:ascii="Arial" w:hAnsi="Arial"/>
          <w:b w:val="0"/>
          <w:color w:val="000000"/>
          <w:sz w:val="52"/>
          <w:u w:val="none"/>
        </w:rPr>
        <w:t xml:space="preserve">revision</w:t>
      </w:r>
      <w:r>
        <w:rPr>
          <w:rFonts w:ascii="Arial" w:hAnsi="Arial"/>
          <w:b w:val="0"/>
          <w:color w:val="000000"/>
          <w:sz w:val="52"/>
          <w:u w:val="none"/>
        </w:rPr>
        <w:t xml:space="preserve"> </w:t>
      </w:r>
      <w:r>
        <w:rPr>
          <w:rFonts w:ascii="Arial" w:hAnsi="Arial"/>
          <w:b w:val="0"/>
          <w:color w:val="000000"/>
          <w:sz w:val="52"/>
          <w:u w:val="none"/>
        </w:rPr>
        <w:t xml:space="preserve">record</w:t>
      </w:r>
    </w:p>
    <w:p>
      <w:pPr>
        <w:pStyle w:val="Author"/>
      </w:pPr>
      <w:r>
        <w:t xml:space="preserve">Dylan</w:t>
      </w:r>
      <w:r>
        <w:t xml:space="preserve"> </w:t>
      </w:r>
      <w:r>
        <w:t xml:space="preserve">Roy</w:t>
      </w:r>
    </w:p>
    <w:p>
      <w:pPr>
        <w:pStyle w:val="Date"/>
      </w:pPr>
      <w:r>
        <w:t xml:space="preserve">Side-24</w:t>
      </w:r>
      <w:r>
        <w:t xml:space="preserve"> </w:t>
      </w:r>
      <w:r>
        <w:t xml:space="preserve">pre-peer-review</w:t>
      </w:r>
      <w:r>
        <w:t xml:space="preserve"> </w:t>
      </w:r>
      <w:r>
        <w:t xml:space="preserve">revision:</w:t>
      </w:r>
      <w:r>
        <w:t xml:space="preserve"> </w:t>
      </w:r>
      <w:r>
        <w:t xml:space="preserve">31</w:t>
      </w:r>
      <w:r>
        <w:t xml:space="preserve"> </w:t>
      </w:r>
      <w:r>
        <w:t xml:space="preserve">July</w:t>
      </w:r>
      <w:r>
        <w:t xml:space="preserve"> </w:t>
      </w:r>
      <w:r>
        <w:t xml:space="preserve">2026</w:t>
      </w:r>
    </w:p>
    <w:bookmarkStart w:id="20" w:name="purpose"/>
    <w:p>
      <w:pPr>
        <w:pStyle w:val="Heading1"/>
        <w:keepNext/>
      </w:pPr>
      <w:r>
        <w:t xml:space="preserve">1. Purpose</w:t>
      </w:r>
    </w:p>
    <w:p>
      <w:pPr>
        <w:pStyle w:val="FirstParagraph"/>
      </w:pPr>
      <w:r>
        <w:t xml:space="preserve">Four preliminary AI-generated reports or contributions were supplied before this packet was sent for independent human review. They were treated as adversarial issue lists, not as expert opinions or evidence that the candidate theorem is correct. This document records which criticisms were accepted, which were only partly correct, which were rejected, and what changed in response.</w:t>
      </w:r>
    </w:p>
    <w:p>
      <w:pPr>
        <w:pStyle w:val="BodyText"/>
      </w:pPr>
      <w:r>
        <w:t xml:space="preserve">The central outcome is deliberately conservative:</w:t>
      </w:r>
    </w:p>
    <w:p>
      <w:pPr>
        <w:pStyle w:val="BlockText"/>
      </w:pPr>
      <w:r>
        <w:t xml:space="preserve">No counterexample to the local cubic-fold calculation or the resulting</w:t>
      </w:r>
      <w:r>
        <w:t xml:space="preserve"> </w:t>
      </w:r>
      <m:oMath>
        <m:sSup>
          <m:e>
            <m:r>
              <m:rPr>
                <m:sty m:val="p"/>
              </m:rPr>
              <m:t>ℓ</m:t>
            </m:r>
          </m:e>
          <m:sup>
            <m:r>
              <m:rPr>
                <m:sty m:val="p"/>
              </m:rPr>
              <m:t>−</m:t>
            </m:r>
            <m:r>
              <m:t>1</m:t>
            </m:r>
            <m:r>
              <m:rPr>
                <m:sty m:val="p"/>
              </m:rPr>
              <m:t>/</m:t>
            </m:r>
            <m:r>
              <m:t>3</m:t>
            </m:r>
          </m:sup>
        </m:sSup>
      </m:oMath>
      <w:r>
        <w:t xml:space="preserve"> </w:t>
      </w:r>
      <w:r>
        <w:t xml:space="preserve">all-typed contact law was identified. The packet nevertheless did overstate the closure of the global elder-selection and dynamical steps. The revised manuscript is therefore a proof-oriented theorem candidate, not a claimed completed theorem.</w:t>
      </w:r>
    </w:p>
    <w:bookmarkEnd w:id="20"/>
    <w:bookmarkStart w:id="21" w:name="changes-made-in-the-revised-packet"/>
    <w:p>
      <w:pPr>
        <w:pStyle w:val="Heading1"/>
        <w:keepNext/>
      </w:pPr>
      <w:r>
        <w:t xml:space="preserve">2. Changes made in the revised packet</w:t>
      </w:r>
    </w:p>
    <w:p>
      <w:pPr>
        <w:pStyle w:val="FirstParagraph"/>
      </w:pPr>
      <w:r>
        <w:t xml:space="preserve">The following changes are incorporated in the controlling review manuscript and appendix.</w:t>
      </w:r>
    </w:p>
    <w:p>
      <w:pPr>
        <w:numPr>
          <w:ilvl w:val="0"/>
          <w:numId w:val="1001"/>
        </w:numPr>
        <w:pStyle w:val="Compact"/>
      </w:pPr>
      <w:r>
        <w:rPr>
          <w:bCs/>
          <w:b/>
        </w:rPr>
        <w:t xml:space="preserve">Status corrected.</w:t>
      </w:r>
      <w:r>
        <w:t xml:space="preserve"> </w:t>
      </w:r>
      <w:r>
        <w:t xml:space="preserve">“</w:t>
      </w:r>
      <w:r>
        <w:t xml:space="preserve">Closed proof chain,</w:t>
      </w:r>
      <w:r>
        <w:t xml:space="preserve">”</w:t>
      </w:r>
      <w:r>
        <w:t xml:space="preserve"> </w:t>
      </w:r>
      <w:r>
        <w:t xml:space="preserve">“</w:t>
      </w:r>
      <w:r>
        <w:t xml:space="preserve">we prove,</w:t>
      </w:r>
      <w:r>
        <w:t xml:space="preserve">”</w:t>
      </w:r>
      <w:r>
        <w:t xml:space="preserve"> </w:t>
      </w:r>
      <w:r>
        <w:t xml:space="preserve">and</w:t>
      </w:r>
      <w:r>
        <w:t xml:space="preserve"> </w:t>
      </w:r>
      <w:r>
        <w:t xml:space="preserve">“</w:t>
      </w:r>
      <w:r>
        <w:t xml:space="preserve">this completes the proof</w:t>
      </w:r>
      <w:r>
        <w:t xml:space="preserve">”</w:t>
      </w:r>
      <w:r>
        <w:t xml:space="preserve"> </w:t>
      </w:r>
      <w:r>
        <w:t xml:space="preserve">language was removed. Candidate Theorem 2.1 now has an explicit verification-status paragraph.</w:t>
      </w:r>
    </w:p>
    <w:p>
      <w:pPr>
        <w:numPr>
          <w:ilvl w:val="0"/>
          <w:numId w:val="1001"/>
        </w:numPr>
        <w:pStyle w:val="Compact"/>
      </w:pPr>
      <w:r>
        <w:rPr>
          <w:bCs/>
          <w:b/>
        </w:rPr>
        <w:t xml:space="preserve">Analytic sample paths clarified.</w:t>
      </w:r>
      <w:r>
        <w:t xml:space="preserve"> </w:t>
      </w:r>
      <w:r>
        <w:t xml:space="preserve">The complex Fourier series is controlled by the nonnegative random sums</w:t>
      </w:r>
      <w:r>
        <w:t xml:space="preserve"> </w:t>
      </w:r>
      <m:oMath>
        <m:sSub>
          <m:e>
            <m:r>
              <m:t>S</m:t>
            </m:r>
          </m:e>
          <m:sub>
            <m:r>
              <m:t>R</m:t>
            </m:r>
          </m:sub>
        </m:sSub>
      </m:oMath>
      <w:r>
        <w:t xml:space="preserve">. Tonelli, a countable intersection over integral strip widths, and the Weierstrass M-test give the asserted entire periodic extension.</w:t>
      </w:r>
    </w:p>
    <w:p>
      <w:pPr>
        <w:numPr>
          <w:ilvl w:val="0"/>
          <w:numId w:val="1001"/>
        </w:numPr>
        <w:pStyle w:val="Compact"/>
      </w:pPr>
      <w:r>
        <w:rPr>
          <w:bCs/>
          <w:b/>
        </w:rPr>
        <w:t xml:space="preserve">Candidate Borel elder construction inserted.</w:t>
      </w:r>
      <w:r>
        <w:t xml:space="preserve"> </w:t>
      </w:r>
      <w:r>
        <w:t xml:space="preserve">Lemma 1.2a constructs superlevel connectivity through a countable basis and characterizes the elder event by countably many connectivity tests immediately above and below the saddle level. It is submitted for human checking.</w:t>
      </w:r>
    </w:p>
    <w:p>
      <w:pPr>
        <w:numPr>
          <w:ilvl w:val="0"/>
          <w:numId w:val="1001"/>
        </w:numPr>
        <w:pStyle w:val="Compact"/>
      </w:pPr>
      <w:r>
        <w:rPr>
          <w:bCs/>
          <w:b/>
        </w:rPr>
        <w:t xml:space="preserve">Absolute-continuity proof revised.</w:t>
      </w:r>
      <w:r>
        <w:t xml:space="preserve"> </w:t>
      </w:r>
      <w:r>
        <w:t xml:space="preserve">Proposition 1.2 now argues for absolute continuity of the selected measure by domination by the all-typed two-point Kac–Rice measure on separated configuration sets. The Borel mark remains available for the marked formula.</w:t>
      </w:r>
    </w:p>
    <w:p>
      <w:pPr>
        <w:numPr>
          <w:ilvl w:val="0"/>
          <w:numId w:val="1001"/>
        </w:numPr>
        <w:pStyle w:val="Compact"/>
      </w:pPr>
      <w:r>
        <w:rPr>
          <w:bCs/>
          <w:b/>
        </w:rPr>
        <w:t xml:space="preserve">Pointwise density convention fixed.</w:t>
      </w:r>
      <w:r>
        <w:t xml:space="preserve"> </w:t>
      </w:r>
      <w:r>
        <w:t xml:space="preserve">The manuscript specifies the near-plus-far Kac–Rice representative of the almost-everywhere Radon–Nikodym derivative and repeats that this is a per-volume first-moment intensity, not a probability density for a sampled bar.</w:t>
      </w:r>
    </w:p>
    <w:p>
      <w:pPr>
        <w:numPr>
          <w:ilvl w:val="0"/>
          <w:numId w:val="1001"/>
        </w:numPr>
        <w:pStyle w:val="Compact"/>
      </w:pPr>
      <w:r>
        <w:rPr>
          <w:bCs/>
          <w:b/>
        </w:rPr>
        <w:t xml:space="preserve">Corrected-pin determinant exposed.</w:t>
      </w:r>
      <w:r>
        <w:t xml:space="preserve"> </w:t>
      </w:r>
      <w:r>
        <w:t xml:space="preserve">The raw-to-corrected derivative matrix is displayed in block-triangular form. The tangential correction is an off-diagonal shear; the exact determinant is</w:t>
      </w:r>
      <w:r>
        <w:t xml:space="preserve"> </w:t>
      </w:r>
      <m:oMath>
        <m:sSup>
          <m:e>
            <m:r>
              <m:t>r</m:t>
            </m:r>
          </m:e>
          <m:sup>
            <m:r>
              <m:rPr>
                <m:sty m:val="p"/>
              </m:rPr>
              <m:t>−</m:t>
            </m:r>
            <m:r>
              <m:t>3</m:t>
            </m:r>
          </m:sup>
        </m:sSup>
        <m:sSup>
          <m:e>
            <m:r>
              <m:t>r</m:t>
            </m:r>
          </m:e>
          <m:sup>
            <m:r>
              <m:rPr>
                <m:sty m:val="p"/>
              </m:rPr>
              <m:t>−</m:t>
            </m:r>
            <m:r>
              <m:t>3</m:t>
            </m:r>
          </m:sup>
        </m:sSup>
        <m:r>
          <m:rPr>
            <m:sty m:val="p"/>
          </m:rPr>
          <m:t>=</m:t>
        </m:r>
        <m:sSup>
          <m:e>
            <m:r>
              <m:t>r</m:t>
            </m:r>
          </m:e>
          <m:sup>
            <m:r>
              <m:rPr>
                <m:sty m:val="p"/>
              </m:rPr>
              <m:t>−</m:t>
            </m:r>
            <m:r>
              <m:t>6</m:t>
            </m:r>
          </m:sup>
        </m:sSup>
      </m:oMath>
      <w:r>
        <w:t xml:space="preserve">.</w:t>
      </w:r>
    </w:p>
    <w:p>
      <w:pPr>
        <w:numPr>
          <w:ilvl w:val="0"/>
          <w:numId w:val="1001"/>
        </w:numPr>
        <w:pStyle w:val="Compact"/>
      </w:pPr>
      <w:r>
        <w:rPr>
          <w:bCs/>
          <w:b/>
        </w:rPr>
        <w:t xml:space="preserve">Palm law and normalizer defined.</w:t>
      </w:r>
      <w:r>
        <w:t xml:space="preserve"> </w:t>
      </w:r>
      <w:r>
        <w:t xml:space="preserve">The unselected determinant-weighted Palm law,</w:t>
      </w:r>
      <w:r>
        <w:t xml:space="preserve"> </w:t>
      </w:r>
      <m:oMath>
        <m:sSub>
          <m:e>
            <m:r>
              <m:t>Z</m:t>
            </m:r>
          </m:e>
          <m:sub>
            <m:r>
              <m:t>r</m:t>
            </m:r>
          </m:sub>
        </m:sSub>
      </m:oMath>
      <w:r>
        <w:t xml:space="preserve">, and</w:t>
      </w:r>
      <w:r>
        <w:t xml:space="preserve"> </w:t>
      </w:r>
      <m:oMath>
        <m:sSub>
          <m:e>
            <m:r>
              <m:t>p</m:t>
            </m:r>
          </m:e>
          <m:sub>
            <m:r>
              <m:t>r</m:t>
            </m:r>
          </m:sub>
        </m:sSub>
      </m:oMath>
      <w:r>
        <w:t xml:space="preserve"> </w:t>
      </w:r>
      <w:r>
        <w:t xml:space="preserve">are defined in one place. The limiting Gaussian cone argument gives local positivity of</w:t>
      </w:r>
      <w:r>
        <w:t xml:space="preserve"> </w:t>
      </w:r>
      <m:oMath>
        <m:sSub>
          <m:e>
            <m:r>
              <m:t>Z</m:t>
            </m:r>
          </m:e>
          <m:sub>
            <m:r>
              <m:t>r</m:t>
            </m:r>
          </m:sub>
        </m:sSub>
        <m:r>
          <m:rPr>
            <m:sty m:val="p"/>
          </m:rPr>
          <m:t>/</m:t>
        </m:r>
        <m:sSup>
          <m:e>
            <m:r>
              <m:t>r</m:t>
            </m:r>
          </m:e>
          <m:sup>
            <m:r>
              <m:t>2</m:t>
            </m:r>
          </m:sup>
        </m:sSup>
      </m:oMath>
      <w:r>
        <w:t xml:space="preserve">.</w:t>
      </w:r>
    </w:p>
    <w:p>
      <w:pPr>
        <w:numPr>
          <w:ilvl w:val="0"/>
          <w:numId w:val="1001"/>
        </w:numPr>
        <w:pStyle w:val="Compact"/>
      </w:pPr>
      <w:r>
        <w:rPr>
          <w:bCs/>
          <w:b/>
        </w:rPr>
        <w:t xml:space="preserve">Exact near-density formula inserted.</w:t>
      </w:r>
      <w:r>
        <w:t xml:space="preserve"> </w:t>
      </w:r>
      <w:r>
        <w:t xml:space="preserve">Lemma 3.3 contains the test-function identity, the pointwise lifetime representative, and the rescaled form. The pair polar factor and gap Jacobian combine to</w:t>
      </w:r>
      <w:r>
        <w:t xml:space="preserve"> </w:t>
      </w:r>
      <m:oMath>
        <m:sSup>
          <m:e>
            <m:r>
              <m:t>r</m:t>
            </m:r>
          </m:e>
          <m:sup>
            <m:r>
              <m:t>2</m:t>
            </m:r>
          </m:sup>
        </m:sSup>
        <m:d>
          <m:dPr>
            <m:begChr m:val="("/>
            <m:endChr m:val=")"/>
            <m:sepChr m:val=""/>
            <m:grow/>
          </m:dPr>
          <m:e>
            <m:sSup>
              <m:e>
                <m:r>
                  <m:t>r</m:t>
                </m:r>
              </m:e>
              <m:sup>
                <m:r>
                  <m:t>3</m:t>
                </m:r>
              </m:sup>
            </m:sSup>
            <m:r>
              <m:rPr>
                <m:sty m:val="p"/>
              </m:rPr>
              <m:t>/</m:t>
            </m:r>
            <m:r>
              <m:t>6</m:t>
            </m:r>
          </m:e>
        </m:d>
        <m:r>
          <m:rPr>
            <m:sty m:val="p"/>
          </m:rPr>
          <m:t>=</m:t>
        </m:r>
        <m:sSup>
          <m:e>
            <m:r>
              <m:t>r</m:t>
            </m:r>
          </m:e>
          <m:sup>
            <m:r>
              <m:t>5</m:t>
            </m:r>
          </m:sup>
        </m:sSup>
        <m:r>
          <m:rPr>
            <m:sty m:val="p"/>
          </m:rPr>
          <m:t>/</m:t>
        </m:r>
        <m:r>
          <m:t>6</m:t>
        </m:r>
      </m:oMath>
      <w:r>
        <w:t xml:space="preserve">.</w:t>
      </w:r>
    </w:p>
    <w:p>
      <w:pPr>
        <w:numPr>
          <w:ilvl w:val="0"/>
          <w:numId w:val="1001"/>
        </w:numPr>
        <w:pStyle w:val="Compact"/>
      </w:pPr>
      <w:r>
        <w:rPr>
          <w:bCs/>
          <w:b/>
        </w:rPr>
        <w:t xml:space="preserve">Uniform domination inserted.</w:t>
      </w:r>
      <w:r>
        <w:t xml:space="preserve"> </w:t>
      </w:r>
      <w:r>
        <w:t xml:space="preserve">Lemma 3.5a isolates the Gaussian-regression majorant and explicitly checks integrability of</w:t>
      </w:r>
      <w:r>
        <w:t xml:space="preserve"> </w:t>
      </w:r>
      <m:oMath>
        <m:sSup>
          <m:e>
            <m:r>
              <m:t>κ</m:t>
            </m:r>
          </m:e>
          <m:sup>
            <m:r>
              <m:rPr>
                <m:sty m:val="p"/>
              </m:rPr>
              <m:t>−</m:t>
            </m:r>
            <m:r>
              <m:t>2</m:t>
            </m:r>
            <m:r>
              <m:rPr>
                <m:sty m:val="p"/>
              </m:rPr>
              <m:t>/</m:t>
            </m:r>
            <m:r>
              <m:t>3</m:t>
            </m:r>
          </m:sup>
        </m:sSup>
      </m:oMath>
      <w:r>
        <w:t xml:space="preserve"> </w:t>
      </w:r>
      <w:r>
        <w:t xml:space="preserve">at zero.</w:t>
      </w:r>
    </w:p>
    <w:p>
      <w:pPr>
        <w:numPr>
          <w:ilvl w:val="0"/>
          <w:numId w:val="1001"/>
        </w:numPr>
        <w:pStyle w:val="Compact"/>
      </w:pPr>
      <w:r>
        <w:rPr>
          <w:bCs/>
          <w:b/>
        </w:rPr>
        <w:t xml:space="preserve">Genuine far pairs separated from remote witnesses.</w:t>
      </w:r>
      <w:r>
        <w:t xml:space="preserve"> </w:t>
      </w:r>
      <w:r>
        <w:t xml:space="preserve">Lemma 3.5b states and argues that actual elder pairs with separation at least</w:t>
      </w:r>
      <w:r>
        <w:t xml:space="preserve"> </w:t>
      </w:r>
      <m:oMath>
        <m:r>
          <m:t>ρ</m:t>
        </m:r>
      </m:oMath>
      <w:r>
        <w:t xml:space="preserve"> </w:t>
      </w:r>
      <w:r>
        <w:t xml:space="preserve">have a lifetime density bounded uniformly near zero, so they are</w:t>
      </w:r>
      <w:r>
        <w:t xml:space="preserve"> </w:t>
      </w:r>
      <m:oMath>
        <m:r>
          <m:t>o</m:t>
        </m:r>
        <m:d>
          <m:dPr>
            <m:begChr m:val="("/>
            <m:endChr m:val=")"/>
            <m:sepChr m:val=""/>
            <m:grow/>
          </m:dPr>
          <m:e>
            <m:sSup>
              <m:e>
                <m:r>
                  <m:rPr>
                    <m:sty m:val="p"/>
                  </m:rPr>
                  <m:t>ℓ</m:t>
                </m:r>
              </m:e>
              <m:sup>
                <m:r>
                  <m:rPr>
                    <m:sty m:val="p"/>
                  </m:rPr>
                  <m:t>−</m:t>
                </m:r>
                <m:r>
                  <m:t>1</m:t>
                </m:r>
                <m:r>
                  <m:rPr>
                    <m:sty m:val="p"/>
                  </m:rPr>
                  <m:t>/</m:t>
                </m:r>
                <m:r>
                  <m:t>3</m:t>
                </m:r>
              </m:sup>
            </m:sSup>
          </m:e>
        </m:d>
      </m:oMath>
      <w:r>
        <w:t xml:space="preserve">. This new argument is submitted for review.</w:t>
      </w:r>
    </w:p>
    <w:p>
      <w:pPr>
        <w:numPr>
          <w:ilvl w:val="0"/>
          <w:numId w:val="1001"/>
        </w:numPr>
        <w:pStyle w:val="Compact"/>
      </w:pPr>
      <w:r>
        <w:rPr>
          <w:bCs/>
          <w:b/>
        </w:rPr>
        <w:t xml:space="preserve">Selection step demoted to an open proposition.</w:t>
      </w:r>
      <w:r>
        <w:t xml:space="preserve"> </w:t>
      </w:r>
      <w:r>
        <w:t xml:space="preserve">Proposition 3.4 states exactly what is still needed. Lemmas 3.4a–3.4c now supply the component-based event inclusion, determinant-weighted dynamics transfer, and fixed-distance witness estimate. The collar and singular-near triple-contact bounds remain open.</w:t>
      </w:r>
    </w:p>
    <w:p>
      <w:pPr>
        <w:numPr>
          <w:ilvl w:val="0"/>
          <w:numId w:val="1001"/>
        </w:numPr>
        <w:pStyle w:val="Compact"/>
      </w:pPr>
      <w:r>
        <w:rPr>
          <w:bCs/>
          <w:b/>
        </w:rPr>
        <w:t xml:space="preserve">Terminology and conventions corrected.</w:t>
      </w:r>
      <w:r>
        <w:t xml:space="preserve"> </w:t>
      </w:r>
      <w:r>
        <w:t xml:space="preserve">The three-dimensional flat comparison coefficient is called</w:t>
      </w:r>
      <w:r>
        <w:t xml:space="preserve"> </w:t>
      </w:r>
      <w:r>
        <w:t xml:space="preserve">“</w:t>
      </w:r>
      <w:r>
        <w:t xml:space="preserve">Euclidean (nonperiodized),</w:t>
      </w:r>
      <w:r>
        <w:t xml:space="preserve">”</w:t>
      </w:r>
      <w:r>
        <w:t xml:space="preserve"> </w:t>
      </w:r>
      <w:r>
        <w:t xml:space="preserve">not</w:t>
      </w:r>
      <w:r>
        <w:t xml:space="preserve"> </w:t>
      </w:r>
      <w:r>
        <w:t xml:space="preserve">“</w:t>
      </w:r>
      <w:r>
        <w:t xml:space="preserve">planar.</w:t>
      </w:r>
      <w:r>
        <w:t xml:space="preserve">”</w:t>
      </w:r>
      <w:r>
        <w:t xml:space="preserve"> </w:t>
      </w:r>
      <w:r>
        <w:t xml:space="preserve">The</w:t>
      </w:r>
      <w:r>
        <w:t xml:space="preserve"> </w:t>
      </w:r>
      <m:oMath>
        <m:r>
          <m:t>2</m:t>
        </m:r>
        <m:r>
          <m:rPr>
            <m:sty m:val="p"/>
          </m:rPr>
          <m:t>×</m:t>
        </m:r>
        <m:r>
          <m:t>2</m:t>
        </m:r>
      </m:oMath>
      <w:r>
        <w:t xml:space="preserve"> </w:t>
      </w:r>
      <w:r>
        <w:t xml:space="preserve">GOE variance convention is explicit.</w:t>
      </w:r>
    </w:p>
    <w:p>
      <w:pPr>
        <w:numPr>
          <w:ilvl w:val="0"/>
          <w:numId w:val="1001"/>
        </w:numPr>
        <w:pStyle w:val="Compact"/>
      </w:pPr>
      <w:r>
        <w:rPr>
          <w:bCs/>
          <w:b/>
        </w:rPr>
        <w:t xml:space="preserve">Fourier equality corrected.</w:t>
      </w:r>
      <w:r>
        <w:t xml:space="preserve"> </w:t>
      </w:r>
      <w:r>
        <w:t xml:space="preserve">The review appendix now includes</w:t>
      </w:r>
      <w:r>
        <w:t xml:space="preserve"> </w:t>
      </w:r>
      <m:oMath>
        <m:sSup>
          <m:e>
            <m:d>
              <m:dPr>
                <m:begChr m:val="("/>
                <m:endChr m:val=")"/>
                <m:sepChr m:val=""/>
                <m:grow/>
              </m:dPr>
              <m:e>
                <m:r>
                  <m:t>2</m:t>
                </m:r>
                <m:r>
                  <m:t>π</m:t>
                </m:r>
              </m:e>
            </m:d>
          </m:e>
          <m:sup>
            <m:r>
              <m:t>3</m:t>
            </m:r>
            <m:r>
              <m:rPr>
                <m:sty m:val="p"/>
              </m:rPr>
              <m:t>/</m:t>
            </m:r>
            <m:r>
              <m:t>2</m:t>
            </m:r>
          </m:sup>
        </m:sSup>
        <m:r>
          <m:rPr>
            <m:sty m:val="p"/>
          </m:rPr>
          <m:t>/</m:t>
        </m:r>
        <m:d>
          <m:dPr>
            <m:begChr m:val="("/>
            <m:endChr m:val=")"/>
            <m:sepChr m:val=""/>
            <m:grow/>
          </m:dPr>
          <m:e>
            <m:sSup>
              <m:e>
                <m:r>
                  <m:t>24</m:t>
                </m:r>
              </m:e>
              <m:sup>
                <m:r>
                  <m:t>3</m:t>
                </m:r>
              </m:sup>
            </m:sSup>
            <m:sSub>
              <m:e>
                <m:r>
                  <m:t>Z</m:t>
                </m:r>
              </m:e>
              <m:sub>
                <m:r>
                  <m:t>24</m:t>
                </m:r>
              </m:sub>
            </m:sSub>
          </m:e>
        </m:d>
      </m:oMath>
      <w:r>
        <w:t xml:space="preserve"> </w:t>
      </w:r>
      <w:r>
        <w:t xml:space="preserve">in both the periodized Fourier series and the variance identity.</w:t>
      </w:r>
    </w:p>
    <w:p>
      <w:pPr>
        <w:numPr>
          <w:ilvl w:val="0"/>
          <w:numId w:val="1001"/>
        </w:numPr>
        <w:pStyle w:val="Compact"/>
      </w:pPr>
      <w:r>
        <w:rPr>
          <w:bCs/>
          <w:b/>
        </w:rPr>
        <w:t xml:space="preserve">Appendix provenance corrected.</w:t>
      </w:r>
      <w:r>
        <w:t xml:space="preserve"> </w:t>
      </w:r>
      <w:r>
        <w:t xml:space="preserve">Because this appendix contains review edits, it is no longer described as byte-exact. Baseline source hashes remain visible.</w:t>
      </w:r>
    </w:p>
    <w:p>
      <w:pPr>
        <w:numPr>
          <w:ilvl w:val="0"/>
          <w:numId w:val="1001"/>
        </w:numPr>
        <w:pStyle w:val="Compact"/>
      </w:pPr>
      <w:r>
        <w:rPr>
          <w:bCs/>
          <w:b/>
        </w:rPr>
        <w:t xml:space="preserve">Computational transcript repaired.</w:t>
      </w:r>
      <w:r>
        <w:t xml:space="preserve"> </w:t>
      </w:r>
      <w:r>
        <w:t xml:space="preserve">The coefficient-map script prints the relative Hessian bound and the</w:t>
      </w:r>
      <w:r>
        <w:t xml:space="preserve"> </w:t>
      </w:r>
      <m:oMath>
        <m:r>
          <m:t>5</m:t>
        </m:r>
        <m:r>
          <m:rPr>
            <m:sty m:val="p"/>
          </m:rPr>
          <m:t>×</m:t>
        </m:r>
        <m:sSup>
          <m:e>
            <m:r>
              <m:t>10</m:t>
            </m:r>
          </m:e>
          <m:sup>
            <m:r>
              <m:rPr>
                <m:sty m:val="p"/>
              </m:rPr>
              <m:t>−</m:t>
            </m:r>
            <m:r>
              <m:t>185</m:t>
            </m:r>
          </m:sup>
        </m:sSup>
      </m:oMath>
      <w:r>
        <w:t xml:space="preserve"> </w:t>
      </w:r>
      <w:r>
        <w:t xml:space="preserve">remainder actually used. The two nonstandard success markers are normalized, optimized Python execution is rejected, and clean-environment logs are bundled.</w:t>
      </w:r>
    </w:p>
    <w:p>
      <w:pPr>
        <w:numPr>
          <w:ilvl w:val="0"/>
          <w:numId w:val="1001"/>
        </w:numPr>
        <w:pStyle w:val="Compact"/>
      </w:pPr>
      <w:r>
        <w:rPr>
          <w:bCs/>
          <w:b/>
        </w:rPr>
        <w:t xml:space="preserve">Component-based failure exhaustion proved.</w:t>
      </w:r>
      <w:r>
        <w:t xml:space="preserve"> </w:t>
      </w:r>
      <w:r>
        <w:t xml:space="preserve">Lemma 3.4a replaces the informal branch-based case split by a deterministic merge-tree argument. It includes adjacency failure explicitly, distinguishes earlier death, same-component attachment, and a younger other component, and partitions the canonical witness by fixed collar/near/far regions.</w:t>
      </w:r>
    </w:p>
    <w:p>
      <w:pPr>
        <w:numPr>
          <w:ilvl w:val="0"/>
          <w:numId w:val="1001"/>
        </w:numPr>
        <w:pStyle w:val="Compact"/>
      </w:pPr>
      <w:r>
        <w:rPr>
          <w:bCs/>
          <w:b/>
        </w:rPr>
        <w:t xml:space="preserve">Euclidean cone moment derived in prose.</w:t>
      </w:r>
      <w:r>
        <w:t xml:space="preserve"> </w:t>
      </w:r>
      <w:r>
        <w:t xml:space="preserve">Section 3.7 now evaluates</w:t>
      </w:r>
      <w:r>
        <w:t xml:space="preserve"> </w:t>
      </w:r>
      <m:oMath>
        <m:sSub>
          <m:e>
            <m:r>
              <m:t>D</m:t>
            </m:r>
          </m:e>
          <m:sub>
            <m:r>
              <m:t>2</m:t>
            </m:r>
          </m:sub>
        </m:sSub>
        <m:r>
          <m:rPr>
            <m:sty m:val="p"/>
          </m:rPr>
          <m:t>=</m:t>
        </m:r>
        <m:r>
          <m:t>29</m:t>
        </m:r>
        <m:r>
          <m:rPr>
            <m:sty m:val="p"/>
          </m:rPr>
          <m:t>/</m:t>
        </m:r>
        <m:r>
          <m:t>6</m:t>
        </m:r>
        <m:r>
          <m:rPr>
            <m:sty m:val="p"/>
          </m:rPr>
          <m:t>−</m:t>
        </m:r>
        <m:rad>
          <m:radPr>
            <m:degHide m:val="on"/>
          </m:radPr>
          <m:deg/>
          <m:e>
            <m:r>
              <m:t>6</m:t>
            </m:r>
          </m:e>
        </m:rad>
      </m:oMath>
      <w:r>
        <w:t xml:space="preserve"> </w:t>
      </w:r>
      <w:r>
        <w:t xml:space="preserve">by the independent trace/Rayleigh decomposition of the GOE-plus-scalar law. The final constant no longer depends on a script-only assertion.</w:t>
      </w:r>
    </w:p>
    <w:p>
      <w:pPr>
        <w:numPr>
          <w:ilvl w:val="0"/>
          <w:numId w:val="1001"/>
        </w:numPr>
        <w:pStyle w:val="Compact"/>
      </w:pPr>
      <w:r>
        <w:rPr>
          <w:bCs/>
          <w:b/>
        </w:rPr>
        <w:t xml:space="preserve">Deterministic dynamics consolidated.</w:t>
      </w:r>
      <w:r>
        <w:t xml:space="preserve"> </w:t>
      </w:r>
      <w:r>
        <w:t xml:space="preserve">Appendix Module J now reproduces the inward tapered-tube flux, monotonicity, and convergence proof in the current energy-adapted module. No superseded file is needed to audit the deterministic capture/escape theorem.</w:t>
      </w:r>
    </w:p>
    <w:p>
      <w:pPr>
        <w:numPr>
          <w:ilvl w:val="0"/>
          <w:numId w:val="1001"/>
        </w:numPr>
        <w:pStyle w:val="Compact"/>
      </w:pPr>
      <w:r>
        <w:rPr>
          <w:bCs/>
          <w:b/>
        </w:rPr>
        <w:t xml:space="preserve">Module E hypotheses restored.</w:t>
      </w:r>
      <w:r>
        <w:t xml:space="preserve"> </w:t>
      </w:r>
      <w:r>
        <w:t xml:space="preserve">The sixth-jet and local</w:t>
      </w:r>
      <w:r>
        <w:t xml:space="preserve"> </w:t>
      </w:r>
      <m:oMath>
        <m:sSup>
          <m:e>
            <m:r>
              <m:t>C</m:t>
            </m:r>
          </m:e>
          <m:sup>
            <m:r>
              <m:t>8</m:t>
            </m:r>
          </m:sup>
        </m:sSup>
      </m:oMath>
      <w:r>
        <w:t xml:space="preserve"> </w:t>
      </w:r>
      <w:r>
        <w:t xml:space="preserve">hypotheses omitted from the earlier extraction are now present. The separate</w:t>
      </w:r>
      <w:r>
        <w:t xml:space="preserve"> </w:t>
      </w:r>
      <m:oMath>
        <m:sSup>
          <m:e>
            <m:r>
              <m:t>10</m:t>
            </m:r>
          </m:e>
          <m:sup>
            <m:r>
              <m:t>40</m:t>
            </m:r>
          </m:sup>
        </m:sSup>
      </m:oMath>
      <w:r>
        <w:t xml:space="preserve"> </w:t>
      </w:r>
      <w:r>
        <w:t xml:space="preserve">blown-up-chart derivative envelope remains explicitly unproved rather than being treated as script-certified.</w:t>
      </w:r>
    </w:p>
    <w:p>
      <w:pPr>
        <w:numPr>
          <w:ilvl w:val="0"/>
          <w:numId w:val="1001"/>
        </w:numPr>
        <w:pStyle w:val="Compact"/>
      </w:pPr>
      <w:r>
        <w:rPr>
          <w:bCs/>
          <w:b/>
        </w:rPr>
        <w:t xml:space="preserve">False sharp</w:t>
      </w:r>
      <w:r>
        <w:rPr>
          <w:bCs/>
          <w:b/>
        </w:rPr>
        <w:t xml:space="preserve"> </w:t>
      </w:r>
      <m:oMath>
        <m:sSup>
          <m:e>
            <m:r>
              <m:t>C</m:t>
            </m:r>
          </m:e>
          <m:sup>
            <m:r>
              <m:t>8</m:t>
            </m:r>
          </m:sup>
        </m:sSup>
      </m:oMath>
      <w:r>
        <w:rPr>
          <w:bCs/>
          <w:b/>
        </w:rPr>
        <w:t xml:space="preserve"> </w:t>
      </w:r>
      <w:r>
        <w:rPr>
          <w:bCs/>
          <w:b/>
        </w:rPr>
        <w:t xml:space="preserve">number corrected.</w:t>
      </w:r>
      <w:r>
        <w:t xml:space="preserve"> </w:t>
      </w:r>
      <w:r>
        <w:t xml:space="preserve">The inherited claim</w:t>
      </w:r>
      <w:r>
        <w:t xml:space="preserve"> </w:t>
      </w:r>
      <m:oMath>
        <m:r>
          <m:t>3.1</m:t>
        </m:r>
        <m:r>
          <m:rPr>
            <m:sty m:val="p"/>
          </m:rPr>
          <m:t>×</m:t>
        </m:r>
        <m:sSup>
          <m:e>
            <m:r>
              <m:t>10</m:t>
            </m:r>
          </m:e>
          <m:sup>
            <m:r>
              <m:rPr>
                <m:sty m:val="p"/>
              </m:rPr>
              <m:t>−</m:t>
            </m:r>
            <m:r>
              <m:t>109</m:t>
            </m:r>
          </m:sup>
        </m:sSup>
      </m:oMath>
      <w:r>
        <w:t xml:space="preserve"> </w:t>
      </w:r>
      <w:r>
        <w:t xml:space="preserve">is contradicted by the single term</w:t>
      </w:r>
      <w:r>
        <w:t xml:space="preserve"> </w:t>
      </w:r>
      <m:oMath>
        <m:sSub>
          <m:e>
            <m:r>
              <m:rPr>
                <m:sty m:val="p"/>
              </m:rPr>
              <m:t>He</m:t>
            </m:r>
          </m:e>
          <m:sub>
            <m:r>
              <m:t>8</m:t>
            </m:r>
          </m:sub>
        </m:sSub>
        <m:d>
          <m:dPr>
            <m:begChr m:val="("/>
            <m:endChr m:val=")"/>
            <m:sepChr m:val=""/>
            <m:grow/>
          </m:dPr>
          <m:e>
            <m:r>
              <m:t>23</m:t>
            </m:r>
          </m:e>
        </m:d>
        <m:sSup>
          <m:e>
            <m:r>
              <m:t>e</m:t>
            </m:r>
          </m:e>
          <m:sup>
            <m:r>
              <m:rPr>
                <m:sty m:val="p"/>
              </m:rPr>
              <m:t>−</m:t>
            </m:r>
            <m:r>
              <m:t>264.5</m:t>
            </m:r>
          </m:sup>
        </m:sSup>
        <m:r>
          <m:rPr>
            <m:sty m:val="p"/>
          </m:rPr>
          <m:t>=</m:t>
        </m:r>
        <m:r>
          <m:t>9.9921</m:t>
        </m:r>
        <m:r>
          <m:rPr>
            <m:sty m:val="p"/>
          </m:rPr>
          <m:t>…</m:t>
        </m:r>
        <m:r>
          <m:rPr>
            <m:sty m:val="p"/>
          </m:rPr>
          <m:t>×</m:t>
        </m:r>
        <m:sSup>
          <m:e>
            <m:r>
              <m:t>10</m:t>
            </m:r>
          </m:e>
          <m:sup>
            <m:r>
              <m:rPr>
                <m:sty m:val="p"/>
              </m:rPr>
              <m:t>−</m:t>
            </m:r>
            <m:r>
              <m:t>105</m:t>
            </m:r>
          </m:sup>
        </m:sSup>
      </m:oMath>
      <w:r>
        <w:t xml:space="preserve">. A corrected shell bound</w:t>
      </w:r>
      <w:r>
        <w:t xml:space="preserve"> </w:t>
      </w:r>
      <m:oMath>
        <m:r>
          <m:rPr>
            <m:sty m:val="p"/>
          </m:rPr>
          <m:t>∥</m:t>
        </m:r>
        <m:sSub>
          <m:e>
            <m:r>
              <m:t>K</m:t>
            </m:r>
          </m:e>
          <m:sub>
            <m:r>
              <m:t>24</m:t>
            </m:r>
          </m:sub>
        </m:sSub>
        <m:r>
          <m:rPr>
            <m:sty m:val="p"/>
          </m:rPr>
          <m:t>−</m:t>
        </m:r>
        <m:sSub>
          <m:e>
            <m:r>
              <m:t>K</m:t>
            </m:r>
          </m:e>
          <m:sub>
            <m:r>
              <m:t>0</m:t>
            </m:r>
          </m:sub>
        </m:sSub>
        <m:sSub>
          <m:e>
            <m:r>
              <m:rPr>
                <m:sty m:val="p"/>
              </m:rPr>
              <m:t>∥</m:t>
            </m:r>
          </m:e>
          <m:sub>
            <m:sSup>
              <m:e>
                <m:r>
                  <m:t>C</m:t>
                </m:r>
              </m:e>
              <m:sup>
                <m:r>
                  <m:t>8</m:t>
                </m:r>
              </m:sup>
            </m:sSup>
            <m:d>
              <m:dPr>
                <m:begChr m:val="("/>
                <m:endChr m:val=")"/>
                <m:sepChr m:val=""/>
                <m:grow/>
              </m:dPr>
              <m:e>
                <m:r>
                  <m:t>B</m:t>
                </m:r>
                <m:d>
                  <m:dPr>
                    <m:begChr m:val="("/>
                    <m:endChr m:val=")"/>
                    <m:sepChr m:val=""/>
                    <m:grow/>
                  </m:dPr>
                  <m:e>
                    <m:r>
                      <m:t>0</m:t>
                    </m:r>
                    <m:r>
                      <m:rPr>
                        <m:sty m:val="p"/>
                      </m:rPr>
                      <m:t>,</m:t>
                    </m:r>
                    <m:r>
                      <m:t>1</m:t>
                    </m:r>
                  </m:e>
                </m:d>
              </m:e>
            </m:d>
          </m:sub>
        </m:sSub>
        <m:r>
          <m:rPr>
            <m:sty m:val="p"/>
          </m:rPr>
          <m:t>&lt;</m:t>
        </m:r>
        <m:sSup>
          <m:e>
            <m:r>
              <m:t>10</m:t>
            </m:r>
          </m:e>
          <m:sup>
            <m:r>
              <m:rPr>
                <m:sty m:val="p"/>
              </m:rPr>
              <m:t>−</m:t>
            </m:r>
            <m:r>
              <m:t>103</m:t>
            </m:r>
          </m:sup>
        </m:sSup>
      </m:oMath>
      <w:r>
        <w:t xml:space="preserve"> </w:t>
      </w:r>
      <w:r>
        <w:t xml:space="preserve">still proves the required</w:t>
      </w:r>
      <w:r>
        <w:t xml:space="preserve"> </w:t>
      </w:r>
      <m:oMath>
        <m:sSup>
          <m:e>
            <m:r>
              <m:t>10</m:t>
            </m:r>
          </m:e>
          <m:sup>
            <m:r>
              <m:rPr>
                <m:sty m:val="p"/>
              </m:rPr>
              <m:t>−</m:t>
            </m:r>
            <m:r>
              <m:t>100</m:t>
            </m:r>
          </m:sup>
        </m:sSup>
      </m:oMath>
      <w:r>
        <w:t xml:space="preserve"> </w:t>
      </w:r>
      <w:r>
        <w:t xml:space="preserve">hypothesis. The transfer ledger and expected output now record this correction.</w:t>
      </w:r>
    </w:p>
    <w:p>
      <w:pPr>
        <w:numPr>
          <w:ilvl w:val="0"/>
          <w:numId w:val="1001"/>
        </w:numPr>
        <w:pStyle w:val="Compact"/>
      </w:pPr>
      <w:r>
        <w:rPr>
          <w:bCs/>
          <w:b/>
        </w:rPr>
        <w:t xml:space="preserve">Probabilistic dynamics transfer written out.</w:t>
      </w:r>
      <w:r>
        <w:t xml:space="preserve"> </w:t>
      </w:r>
      <w:r>
        <w:t xml:space="preserve">Manuscript Lemma 3.4b combines the exact endpoint</w:t>
      </w:r>
      <w:r>
        <w:t xml:space="preserve"> </w:t>
      </w:r>
      <m:oMath>
        <m:sSup>
          <m:e>
            <m:r>
              <m:t>r</m:t>
            </m:r>
          </m:e>
          <m:sup>
            <m:r>
              <m:t>2</m:t>
            </m:r>
          </m:sup>
        </m:sSup>
      </m:oMath>
      <w:r>
        <w:t xml:space="preserve"> </w:t>
      </w:r>
      <w:r>
        <w:t xml:space="preserve">weight, a transverse-eigenvalue coarea estimate, conditional Gaussian tails, Borell–TIS, and the Palm normalizer to bound the matrix-theorem exceptional set by</w:t>
      </w:r>
      <w:r>
        <w:t xml:space="preserve"> </w:t>
      </w:r>
      <m:oMath>
        <m:r>
          <m:t>O</m:t>
        </m:r>
        <m:d>
          <m:dPr>
            <m:begChr m:val="("/>
            <m:endChr m:val=")"/>
            <m:sepChr m:val=""/>
            <m:grow/>
          </m:dPr>
          <m:e>
            <m:sSup>
              <m:e>
                <m:r>
                  <m:t>r</m:t>
                </m:r>
              </m:e>
              <m:sup>
                <m:r>
                  <m:t>3</m:t>
                </m:r>
              </m:sup>
            </m:sSup>
          </m:e>
        </m:d>
      </m:oMath>
      <w:r>
        <w:t xml:space="preserve">. It also states precisely what the inward and outward branches imply for the component cases in Lemma 3.4a.</w:t>
      </w:r>
    </w:p>
    <w:p>
      <w:pPr>
        <w:numPr>
          <w:ilvl w:val="0"/>
          <w:numId w:val="1001"/>
        </w:numPr>
        <w:pStyle w:val="Compact"/>
      </w:pPr>
      <w:r>
        <w:rPr>
          <w:bCs/>
          <w:b/>
        </w:rPr>
        <w:t xml:space="preserve">Fixed-distance witness bound promoted to a lemma.</w:t>
      </w:r>
      <w:r>
        <w:t xml:space="preserve"> </w:t>
      </w:r>
      <w:r>
        <w:t xml:space="preserve">Manuscript Lemma 3.4c uses full Fourier support, compact separated nondegeneracy, the exact endpoint soft factor, and the</w:t>
      </w:r>
      <w:r>
        <w:t xml:space="preserve"> </w:t>
      </w:r>
      <m:oMath>
        <m:r>
          <m:t>κ</m:t>
        </m:r>
        <m:sSup>
          <m:e>
            <m:r>
              <m:t>r</m:t>
            </m:r>
          </m:e>
          <m:sup>
            <m:r>
              <m:t>3</m:t>
            </m:r>
          </m:sup>
        </m:sSup>
        <m:r>
          <m:rPr>
            <m:sty m:val="p"/>
          </m:rPr>
          <m:t>/</m:t>
        </m:r>
        <m:r>
          <m:t>6</m:t>
        </m:r>
      </m:oMath>
      <w:r>
        <w:t xml:space="preserve"> </w:t>
      </w:r>
      <w:r>
        <w:t xml:space="preserve">value window to obtain the required</w:t>
      </w:r>
      <w:r>
        <w:t xml:space="preserve"> </w:t>
      </w:r>
      <m:oMath>
        <m:r>
          <m:t>O</m:t>
        </m:r>
        <m:d>
          <m:dPr>
            <m:begChr m:val="("/>
            <m:endChr m:val=")"/>
            <m:sepChr m:val=""/>
            <m:grow/>
          </m:dPr>
          <m:e>
            <m:sSup>
              <m:e>
                <m:r>
                  <m:t>r</m:t>
                </m:r>
              </m:e>
              <m:sup>
                <m:r>
                  <m:t>3</m:t>
                </m:r>
              </m:sup>
            </m:sSup>
          </m:e>
        </m:d>
      </m:oMath>
      <w:r>
        <w:t xml:space="preserve"> </w:t>
      </w:r>
      <w:r>
        <w:t xml:space="preserve">Palm bound.</w:t>
      </w:r>
    </w:p>
    <w:p>
      <w:pPr>
        <w:numPr>
          <w:ilvl w:val="0"/>
          <w:numId w:val="1001"/>
        </w:numPr>
        <w:pStyle w:val="Compact"/>
      </w:pPr>
      <w:r>
        <w:rPr>
          <w:bCs/>
          <w:b/>
        </w:rPr>
        <w:t xml:space="preserve">First-image polynomial derived in prose.</w:t>
      </w:r>
      <w:r>
        <w:t xml:space="preserve"> </w:t>
      </w:r>
      <w:r>
        <w:t xml:space="preserve">Manuscript equations (3.31a)–(3.31f) define</w:t>
      </w:r>
      <w:r>
        <w:t xml:space="preserve"> </w:t>
      </w:r>
      <m:oMath>
        <m:r>
          <m:t>a</m:t>
        </m:r>
        <m:r>
          <m:rPr>
            <m:sty m:val="p"/>
          </m:rPr>
          <m:t>,</m:t>
        </m:r>
        <m:sSub>
          <m:e>
            <m:r>
              <m:t>m</m:t>
            </m:r>
          </m:e>
          <m:sub>
            <m:r>
              <m:t>4</m:t>
            </m:r>
          </m:sub>
        </m:sSub>
        <m:r>
          <m:rPr>
            <m:sty m:val="p"/>
          </m:rPr>
          <m:t>,</m:t>
        </m:r>
        <m:r>
          <m:t>χ</m:t>
        </m:r>
        <m:r>
          <m:rPr>
            <m:sty m:val="p"/>
          </m:rPr>
          <m:t>,</m:t>
        </m:r>
        <m:r>
          <m:t>Ω</m:t>
        </m:r>
      </m:oMath>
      <w:r>
        <w:t xml:space="preserve">, compute the six-image moment variations, and apply the exact logarithmic differential to obtain</w:t>
      </w:r>
      <w:r>
        <w:t xml:space="preserve"> </w:t>
      </w:r>
      <m:oMath>
        <m:sSub>
          <m:e>
            <m:r>
              <m:t>P</m:t>
            </m:r>
          </m:e>
          <m:sub>
            <m:r>
              <m:t>3</m:t>
            </m:r>
          </m:sub>
        </m:sSub>
        <m:d>
          <m:dPr>
            <m:begChr m:val="("/>
            <m:endChr m:val=")"/>
            <m:sepChr m:val=""/>
            <m:grow/>
          </m:dPr>
          <m:e>
            <m:r>
              <m:t>L</m:t>
            </m:r>
          </m:e>
        </m:d>
      </m:oMath>
      <w:r>
        <w:t xml:space="preserve">. The periodization script is now an independent expansion check rather than the sole displayed derivation.</w:t>
      </w:r>
    </w:p>
    <w:p>
      <w:pPr>
        <w:numPr>
          <w:ilvl w:val="0"/>
          <w:numId w:val="1001"/>
        </w:numPr>
        <w:pStyle w:val="Compact"/>
      </w:pPr>
      <w:r>
        <w:rPr>
          <w:bCs/>
          <w:b/>
        </w:rPr>
        <w:t xml:space="preserve">Module K notation closed.</w:t>
      </w:r>
      <w:r>
        <w:t xml:space="preserve"> </w:t>
      </w:r>
      <w:r>
        <w:t xml:space="preserve">The isotropic spectral moments</w:t>
      </w:r>
      <w:r>
        <w:t xml:space="preserve"> </w:t>
      </w:r>
      <m:oMath>
        <m:r>
          <m:t>a</m:t>
        </m:r>
        <m:r>
          <m:rPr>
            <m:sty m:val="p"/>
          </m:rPr>
          <m:t>,</m:t>
        </m:r>
        <m:sSub>
          <m:e>
            <m:r>
              <m:t>m</m:t>
            </m:r>
          </m:e>
          <m:sub>
            <m:r>
              <m:t>4</m:t>
            </m:r>
          </m:sub>
        </m:sSub>
        <m:r>
          <m:rPr>
            <m:sty m:val="p"/>
          </m:rPr>
          <m:t>,</m:t>
        </m:r>
        <m:r>
          <m:t>χ</m:t>
        </m:r>
        <m:r>
          <m:rPr>
            <m:sty m:val="p"/>
          </m:rPr>
          <m:t>,</m:t>
        </m:r>
        <m:r>
          <m:t>β</m:t>
        </m:r>
        <m:r>
          <m:rPr>
            <m:sty m:val="p"/>
          </m:rPr>
          <m:t>,</m:t>
        </m:r>
        <m:r>
          <m:t>Ω</m:t>
        </m:r>
      </m:oMath>
      <w:r>
        <w:t xml:space="preserve"> </w:t>
      </w:r>
      <w:r>
        <w:t xml:space="preserve">and the normalized matrix</w:t>
      </w:r>
      <w:r>
        <w:t xml:space="preserve"> </w:t>
      </w:r>
      <m:oMath>
        <m:sSub>
          <m:e>
            <m:r>
              <m:t>M</m:t>
            </m:r>
          </m:e>
          <m:sub>
            <m:r>
              <m:t>n</m:t>
            </m:r>
          </m:sub>
        </m:sSub>
        <m:r>
          <m:rPr>
            <m:sty m:val="p"/>
          </m:rPr>
          <m:t>=</m:t>
        </m:r>
        <m:sSub>
          <m:e>
            <m:r>
              <m:t>G</m:t>
            </m:r>
          </m:e>
          <m:sub>
            <m:r>
              <m:t>n</m:t>
            </m:r>
          </m:sub>
        </m:sSub>
        <m:r>
          <m:rPr>
            <m:sty m:val="p"/>
          </m:rPr>
          <m:t>+</m:t>
        </m:r>
        <m:rad>
          <m:radPr>
            <m:degHide m:val="on"/>
          </m:radPr>
          <m:deg/>
          <m:e>
            <m:r>
              <m:t>2</m:t>
            </m:r>
            <m:r>
              <m:rPr>
                <m:sty m:val="p"/>
              </m:rPr>
              <m:t>/</m:t>
            </m:r>
            <m:r>
              <m:t>3</m:t>
            </m:r>
          </m:e>
        </m:rad>
        <m:r>
          <m:t>Z</m:t>
        </m:r>
        <m:sSub>
          <m:e>
            <m:r>
              <m:t>I</m:t>
            </m:r>
          </m:e>
          <m:sub>
            <m:r>
              <m:t>n</m:t>
            </m:r>
          </m:sub>
        </m:sSub>
      </m:oMath>
      <w:r>
        <w:t xml:space="preserve"> </w:t>
      </w:r>
      <w:r>
        <w:t xml:space="preserve">are now defined before the generic recombination, including the GOE variance convention.</w:t>
      </w:r>
    </w:p>
    <w:bookmarkEnd w:id="21"/>
    <w:bookmarkStart w:id="27" w:name="Xdce483b62ac75637f56bde99a230a330391c160"/>
    <w:p>
      <w:pPr>
        <w:pStyle w:val="Heading1"/>
        <w:keepNext/>
      </w:pPr>
      <w:r>
        <w:t xml:space="preserve">3. Issues accepted as genuine and still open</w:t>
      </w:r>
    </w:p>
    <w:p>
      <w:pPr>
        <w:pStyle w:val="FirstParagraph"/>
      </w:pPr>
      <w:r>
        <w:t xml:space="preserve">These are the load-bearing obligations on which a human reviewer should concentrate.</w:t>
      </w:r>
    </w:p>
    <w:bookmarkStart w:id="22" w:name="Xcd28d0765dcf5c7f6a2a93b3a6abef8100f10c7"/>
    <w:p>
      <w:pPr>
        <w:pStyle w:val="Heading2"/>
        <w:keepNext/>
      </w:pPr>
      <w:r>
        <w:t xml:space="preserve">3.1 Remaining elder-selection probability bounds</w:t>
      </w:r>
    </w:p>
    <w:p>
      <w:pPr>
        <w:pStyle w:val="FirstParagraph"/>
      </w:pPr>
      <w:r>
        <w:t xml:space="preserve">The desired estimate is</w:t>
      </w:r>
    </w:p>
    <w:p>
      <w:pPr>
        <w:pStyle w:val="BodyText"/>
      </w:pPr>
      <m:oMathPara>
        <m:oMathParaPr>
          <m:jc m:val="center"/>
        </m:oMathParaPr>
        <m:oMath>
          <m:r>
            <m:t>1</m:t>
          </m:r>
          <m:r>
            <m:rPr>
              <m:sty m:val="p"/>
            </m:rPr>
            <m:t>−</m:t>
          </m:r>
          <m:sSub>
            <m:e>
              <m:r>
                <m:t>p</m:t>
              </m:r>
            </m:e>
            <m:sub>
              <m:r>
                <m:t>r</m:t>
              </m:r>
            </m:sub>
          </m:sSub>
          <m:d>
            <m:dPr>
              <m:begChr m:val="("/>
              <m:endChr m:val=")"/>
              <m:sepChr m:val=""/>
              <m:grow/>
            </m:dPr>
            <m:e>
              <m:r>
                <m:t>t</m:t>
              </m:r>
              <m:r>
                <m:rPr>
                  <m:sty m:val="p"/>
                </m:rPr>
                <m:t>,</m:t>
              </m:r>
              <m:r>
                <m:t>b</m:t>
              </m:r>
              <m:r>
                <m:rPr>
                  <m:sty m:val="p"/>
                </m:rPr>
                <m:t>,</m:t>
              </m:r>
              <m:r>
                <m:t>κ</m:t>
              </m:r>
            </m:e>
          </m:d>
          <m:r>
            <m:rPr>
              <m:sty m:val="p"/>
            </m:rPr>
            <m:t>=</m:t>
          </m:r>
          <m:r>
            <m:t>O</m:t>
          </m:r>
          <m:d>
            <m:dPr>
              <m:begChr m:val="("/>
              <m:endChr m:val=")"/>
              <m:sepChr m:val=""/>
              <m:grow/>
            </m:dPr>
            <m:e>
              <m:sSup>
                <m:e>
                  <m:r>
                    <m:t>r</m:t>
                  </m:r>
                </m:e>
                <m:sup>
                  <m:r>
                    <m:t>3</m:t>
                  </m:r>
                </m:sup>
              </m:sSup>
            </m:e>
          </m:d>
          <m:r>
            <m:rPr>
              <m:sty m:val="p"/>
            </m:rPr>
            <m:t>.</m:t>
          </m:r>
        </m:oMath>
      </m:oMathPara>
    </w:p>
    <w:p>
      <w:pPr>
        <w:pStyle w:val="FirstParagraph"/>
      </w:pPr>
      <w:r>
        <w:t xml:space="preserve">Lemma 3.4a proves the deterministic component-based exhaustion. Lemma 3.4b bounds adjacency failure, a live same-component attachment, and the younger-other-component case outside an</w:t>
      </w:r>
      <w:r>
        <w:t xml:space="preserve"> </w:t>
      </w:r>
      <m:oMath>
        <m:r>
          <m:t>O</m:t>
        </m:r>
        <m:d>
          <m:dPr>
            <m:begChr m:val="("/>
            <m:endChr m:val=")"/>
            <m:sepChr m:val=""/>
            <m:grow/>
          </m:dPr>
          <m:e>
            <m:sSup>
              <m:e>
                <m:r>
                  <m:t>r</m:t>
                </m:r>
              </m:e>
              <m:sup>
                <m:r>
                  <m:t>3</m:t>
                </m:r>
              </m:sup>
            </m:sSup>
          </m:e>
        </m:d>
      </m:oMath>
      <w:r>
        <w:t xml:space="preserve"> </w:t>
      </w:r>
      <w:r>
        <w:t xml:space="preserve">Palm event. Lemma 3.4c controls fixed-distance witnesses. The unresolved quantitative work is now confined to the collar and singular-near earlier-death witnesses. The topological classification and the other Palm reductions are no longer being left as an informal case split, but all newly written lemmas still require human checking.</w:t>
      </w:r>
    </w:p>
    <w:bookmarkEnd w:id="22"/>
    <w:bookmarkStart w:id="23" w:name="triple-contact-bounds"/>
    <w:p>
      <w:pPr>
        <w:pStyle w:val="Heading2"/>
        <w:keepNext/>
      </w:pPr>
      <w:r>
        <w:t xml:space="preserve">3.2 Triple-contact bounds</w:t>
      </w:r>
    </w:p>
    <w:p>
      <w:pPr>
        <w:pStyle w:val="FirstParagraph"/>
      </w:pPr>
      <w:r>
        <w:t xml:space="preserve">The symbolic ledger exposes the limiting collision factor, but a proof still has to connect the symbolic chart to every geometric regime, preserve the vanishing order under the side-24 perturbation, control all angular singularities, and carry out the regional integrals uniformly.</w:t>
      </w:r>
    </w:p>
    <w:bookmarkEnd w:id="23"/>
    <w:bookmarkStart w:id="24" w:name="X4cab863299671f68edf3e26a1b421769bae1bd0"/>
    <w:p>
      <w:pPr>
        <w:pStyle w:val="Heading2"/>
        <w:keepNext/>
      </w:pPr>
      <w:r>
        <w:t xml:space="preserve">3.3 Probabilistic transfer of deterministic capture and escape: supplied for review</w:t>
      </w:r>
    </w:p>
    <w:p>
      <w:pPr>
        <w:pStyle w:val="FirstParagraph"/>
      </w:pPr>
      <w:r>
        <w:t xml:space="preserve">The energy-adapted scaling removes a hidden dependence on an upper eigenvalue bound, the rational margins check out, and Module J contains the inward and outward deterministic proofs in one current text. Manuscript Lemma 3.4b now derives, in the present notation, the normalized conditioned</w:t>
      </w:r>
      <w:r>
        <w:t xml:space="preserve"> </w:t>
      </w:r>
      <m:oMath>
        <m:sSup>
          <m:e>
            <m:r>
              <m:t>C</m:t>
            </m:r>
          </m:e>
          <m:sup>
            <m:r>
              <m:t>1</m:t>
            </m:r>
          </m:sup>
        </m:sSup>
      </m:oMath>
      <w:r>
        <w:t xml:space="preserve">-approximation reduction and the determinant-weighted Palm probabilities of the shallow-eigenvalue, large finite-jet, and fifth-derivative exceptional events. This is a new proof block submitted for independent checking, not an externally validated closure verdict.</w:t>
      </w:r>
    </w:p>
    <w:bookmarkEnd w:id="24"/>
    <w:bookmarkStart w:id="25" w:name="quantitative-structural-transfer"/>
    <w:p>
      <w:pPr>
        <w:pStyle w:val="Heading2"/>
        <w:keepNext/>
      </w:pPr>
      <w:r>
        <w:t xml:space="preserve">3.4 Quantitative structural transfer</w:t>
      </w:r>
    </w:p>
    <w:p>
      <w:pPr>
        <w:pStyle w:val="FirstParagraph"/>
      </w:pPr>
      <w:r>
        <w:t xml:space="preserve">Appendix Module E now includes the previously omitted sixth-jet and local</w:t>
      </w:r>
      <w:r>
        <w:t xml:space="preserve"> </w:t>
      </w:r>
      <m:oMath>
        <m:sSup>
          <m:e>
            <m:r>
              <m:t>C</m:t>
            </m:r>
          </m:e>
          <m:sup>
            <m:r>
              <m:t>8</m:t>
            </m:r>
          </m:sup>
        </m:sSup>
      </m:oMath>
      <w:r>
        <w:t xml:space="preserve"> </w:t>
      </w:r>
      <w:r>
        <w:t xml:space="preserve">hypotheses, corrects the false inherited sharp</w:t>
      </w:r>
      <w:r>
        <w:t xml:space="preserve"> </w:t>
      </w:r>
      <m:oMath>
        <m:sSup>
          <m:e>
            <m:r>
              <m:t>C</m:t>
            </m:r>
          </m:e>
          <m:sup>
            <m:r>
              <m:t>8</m:t>
            </m:r>
          </m:sup>
        </m:sSup>
      </m:oMath>
      <w:r>
        <w:t xml:space="preserve"> </w:t>
      </w:r>
      <w:r>
        <w:t xml:space="preserve">number, and proves contact-face positivity directly from full Fourier support and compactness. It still invokes a</w:t>
      </w:r>
      <w:r>
        <w:t xml:space="preserve"> </w:t>
      </w:r>
      <m:oMath>
        <m:sSup>
          <m:e>
            <m:r>
              <m:t>10</m:t>
            </m:r>
          </m:e>
          <m:sup>
            <m:r>
              <m:t>40</m:t>
            </m:r>
          </m:sup>
        </m:sSup>
      </m:oMath>
      <w:r>
        <w:t xml:space="preserve"> </w:t>
      </w:r>
      <w:r>
        <w:t xml:space="preserve">derivative envelope for normalized blown-up chart coefficients without deriving it; the packaged stability script explicitly labels that number as assumed. Contact-face positivity does not replace the missing joint finite-</w:t>
      </w:r>
      <m:oMath>
        <m:r>
          <m:t>r</m:t>
        </m:r>
      </m:oMath>
      <w:r>
        <w:t xml:space="preserve"> </w:t>
      </w:r>
      <w:r>
        <w:t xml:space="preserve">blow-up argument. That argument, or a proved normalized-coefficient envelope on every boundary face, is required before the side-24 selection transfer can be called complete.</w:t>
      </w:r>
    </w:p>
    <w:bookmarkEnd w:id="25"/>
    <w:bookmarkStart w:id="26" w:name="X5833169cda9ee411ad8a91fcd016fdc328fc267"/>
    <w:p>
      <w:pPr>
        <w:pStyle w:val="Heading2"/>
        <w:keepNext/>
      </w:pPr>
      <w:r>
        <w:t xml:space="preserve">3.5 Literature and independent coefficient checking</w:t>
      </w:r>
    </w:p>
    <w:p>
      <w:pPr>
        <w:pStyle w:val="FirstParagraph"/>
      </w:pPr>
      <w:r>
        <w:t xml:space="preserve">The manuscript now reproduces both the GOE/cone scalar and the nearest-image first-variation polynomial analytically. Their conventions and derivative identities still require independent checking. Novelty also requires a systematic MathSciNet, zbMATH, and citation-network search; a targeted web search is not conclusive.</w:t>
      </w:r>
    </w:p>
    <w:bookmarkEnd w:id="26"/>
    <w:bookmarkEnd w:id="27"/>
    <w:bookmarkStart w:id="28" w:name="criticisms-accepted-only-in-part"/>
    <w:p>
      <w:pPr>
        <w:pStyle w:val="Heading1"/>
        <w:keepNext/>
      </w:pPr>
      <w:r>
        <w:t xml:space="preserve">4. Criticisms accepted only in part</w:t>
      </w:r>
    </w:p>
    <w:tbl>
      <w:tblPr>
        <w:tblStyle w:val="Table"/>
        <w:tblW w:type="pct" w:w="5000"/>
        <w:tblLayout w:type="autofit"/>
        <w:tblLook w:firstRow="1" w:lastRow="0" w:firstColumn="0" w:lastColumn="0" w:noHBand="0" w:noVBand="0" w:val="0020"/>
        <w:jc w:val="start"/>
      </w:tblPr>
      <w:tblGrid>
        <w:gridCol w:w="2640"/>
        <w:gridCol w:w="2640"/>
        <w:gridCol w:w="2640"/>
      </w:tblGrid>
      <w:tr>
        <w:trPr>
          <w:tblHeader w:val="true"/>
          <w:cantSplit/>
        </w:trPr>
        <w:tc>
          <w:tcPr>
            <w:tcMar>
              <w:top w:w="80" w:type="dxa"/>
              <w:left w:w="80" w:type="dxa"/>
              <w:bottom w:w="80" w:type="dxa"/>
              <w:right w:w="80" w:type="dxa"/>
            </w:tcMar>
          </w:tcPr>
          <w:p>
            <w:pPr>
              <w:pStyle w:val="Compact"/>
              <w:spacing w:after="40"/>
              <w:jc w:val="left"/>
            </w:pPr>
            <w:r>
              <w:rPr>
                <w:rFonts w:ascii="Arial" w:hAnsi="Arial"/>
                <w:b/>
                <w:sz w:val="17"/>
              </w:rPr>
              <w:t xml:space="preserve">Preliminary criticism</w:t>
            </w:r>
          </w:p>
        </w:tc>
        <w:tc>
          <w:tcPr>
            <w:tcMar>
              <w:top w:w="80" w:type="dxa"/>
              <w:left w:w="80" w:type="dxa"/>
              <w:bottom w:w="80" w:type="dxa"/>
              <w:right w:w="80" w:type="dxa"/>
            </w:tcMar>
          </w:tcPr>
          <w:p>
            <w:pPr>
              <w:pStyle w:val="Compact"/>
              <w:spacing w:after="40"/>
              <w:jc w:val="left"/>
            </w:pPr>
            <w:r>
              <w:rPr>
                <w:rFonts w:ascii="Arial" w:hAnsi="Arial"/>
                <w:b/>
                <w:sz w:val="17"/>
              </w:rPr>
              <w:t xml:space="preserve">Disposition</w:t>
            </w:r>
          </w:p>
        </w:tc>
        <w:tc>
          <w:tcPr>
            <w:tcMar>
              <w:top w:w="80" w:type="dxa"/>
              <w:left w:w="80" w:type="dxa"/>
              <w:bottom w:w="80" w:type="dxa"/>
              <w:right w:w="80" w:type="dxa"/>
            </w:tcMar>
          </w:tcPr>
          <w:p>
            <w:pPr>
              <w:pStyle w:val="Compact"/>
              <w:spacing w:after="40"/>
              <w:jc w:val="left"/>
            </w:pPr>
            <w:r>
              <w:rPr>
                <w:rFonts w:ascii="Arial" w:hAnsi="Arial"/>
                <w:b/>
                <w:sz w:val="17"/>
              </w:rPr>
              <w:t xml:space="preserve">Reason and revision</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Genericity proof lacks all detail</w:t>
            </w:r>
          </w:p>
        </w:tc>
        <w:tc>
          <w:tcPr>
            <w:tcMar>
              <w:top w:w="80" w:type="dxa"/>
              <w:left w:w="80" w:type="dxa"/>
              <w:bottom w:w="80" w:type="dxa"/>
              <w:right w:w="80" w:type="dxa"/>
            </w:tcMar>
          </w:tcPr>
          <w:p>
            <w:pPr>
              <w:pStyle w:val="Compact"/>
              <w:spacing w:after="40"/>
              <w:jc w:val="left"/>
            </w:pPr>
            <w:r>
              <w:rPr>
                <w:rFonts w:ascii="Arial" w:hAnsi="Arial"/>
                <w:sz w:val="17"/>
              </w:rPr>
              <w:t xml:space="preserve">Partly accepted</w:t>
            </w:r>
          </w:p>
        </w:tc>
        <w:tc>
          <w:tcPr>
            <w:tcMar>
              <w:top w:w="80" w:type="dxa"/>
              <w:left w:w="80" w:type="dxa"/>
              <w:bottom w:w="80" w:type="dxa"/>
              <w:right w:w="80" w:type="dxa"/>
            </w:tcMar>
          </w:tcPr>
          <w:p>
            <w:pPr>
              <w:pStyle w:val="Compact"/>
              <w:spacing w:after="40"/>
              <w:jc w:val="left"/>
            </w:pPr>
            <w:r>
              <w:rPr>
                <w:rFonts w:ascii="Arial" w:hAnsi="Arial"/>
                <w:sz w:val="17"/>
              </w:rPr>
              <w:t xml:space="preserve">Uniform eigenfloors and derivative-distribution independence were already present. The strip convergence argument was made fully countable and explicit.</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Marked Kac–Rice is unjustified</w:t>
            </w:r>
          </w:p>
        </w:tc>
        <w:tc>
          <w:tcPr>
            <w:tcMar>
              <w:top w:w="80" w:type="dxa"/>
              <w:left w:w="80" w:type="dxa"/>
              <w:bottom w:w="80" w:type="dxa"/>
              <w:right w:w="80" w:type="dxa"/>
            </w:tcMar>
          </w:tcPr>
          <w:p>
            <w:pPr>
              <w:pStyle w:val="Compact"/>
              <w:spacing w:after="40"/>
              <w:jc w:val="left"/>
            </w:pPr>
            <w:r>
              <w:rPr>
                <w:rFonts w:ascii="Arial" w:hAnsi="Arial"/>
                <w:sz w:val="17"/>
              </w:rPr>
              <w:t xml:space="preserve">Accepted as a presentation gap</w:t>
            </w:r>
          </w:p>
        </w:tc>
        <w:tc>
          <w:tcPr>
            <w:tcMar>
              <w:top w:w="80" w:type="dxa"/>
              <w:left w:w="80" w:type="dxa"/>
              <w:bottom w:w="80" w:type="dxa"/>
              <w:right w:w="80" w:type="dxa"/>
            </w:tcMar>
          </w:tcPr>
          <w:p>
            <w:pPr>
              <w:pStyle w:val="Compact"/>
              <w:spacing w:after="40"/>
              <w:jc w:val="left"/>
            </w:pPr>
            <w:r>
              <w:rPr>
                <w:rFonts w:ascii="Arial" w:hAnsi="Arial"/>
                <w:sz w:val="17"/>
              </w:rPr>
              <w:t xml:space="preserve">A Borel mark was inserted. Proposition 1.2 also has an unmarked domination proof, so its absolute-continuity conclusion does not depend on a sophisticated marked theorem.</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Palm normalizer may degenerate</w:t>
            </w:r>
          </w:p>
        </w:tc>
        <w:tc>
          <w:tcPr>
            <w:tcMar>
              <w:top w:w="80" w:type="dxa"/>
              <w:left w:w="80" w:type="dxa"/>
              <w:bottom w:w="80" w:type="dxa"/>
              <w:right w:w="80" w:type="dxa"/>
            </w:tcMar>
          </w:tcPr>
          <w:p>
            <w:pPr>
              <w:pStyle w:val="Compact"/>
              <w:spacing w:after="40"/>
              <w:jc w:val="left"/>
            </w:pPr>
            <w:r>
              <w:rPr>
                <w:rFonts w:ascii="Arial" w:hAnsi="Arial"/>
                <w:sz w:val="17"/>
              </w:rPr>
              <w:t xml:space="preserve">Partly accepted</w:t>
            </w:r>
          </w:p>
        </w:tc>
        <w:tc>
          <w:tcPr>
            <w:tcMar>
              <w:top w:w="80" w:type="dxa"/>
              <w:left w:w="80" w:type="dxa"/>
              <w:bottom w:w="80" w:type="dxa"/>
              <w:right w:w="80" w:type="dxa"/>
            </w:tcMar>
          </w:tcPr>
          <w:p>
            <w:pPr>
              <w:pStyle w:val="Compact"/>
              <w:spacing w:after="40"/>
              <w:jc w:val="left"/>
            </w:pPr>
            <w:r>
              <w:rPr>
                <w:rFonts w:ascii="Arial" w:hAnsi="Arial"/>
                <w:sz w:val="17"/>
              </w:rPr>
              <w:t xml:space="preserve">The revised text defines</w:t>
            </w:r>
            <w:r>
              <w:rPr>
                <w:rFonts w:ascii="Arial" w:hAnsi="Arial"/>
                <w:sz w:val="17"/>
              </w:rPr>
              <w:t xml:space="preserve"> </w:t>
            </w:r>
            <m:oMath>
              <m:sSub>
                <m:e>
                  <m:r>
                    <m:t>Z</m:t>
                  </m:r>
                </m:e>
                <m:sub>
                  <m:r>
                    <m:t>r</m:t>
                  </m:r>
                </m:sub>
              </m:sSub>
            </m:oMath>
            <w:r>
              <w:rPr>
                <w:rFonts w:ascii="Arial" w:hAnsi="Arial"/>
                <w:sz w:val="17"/>
              </w:rPr>
              <w:t xml:space="preserve">, gives the contact cone positivity argument, and states the local uniform two-sided bound. Independent checking is still invited.</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The near pushforward is only verbal</w:t>
            </w:r>
          </w:p>
        </w:tc>
        <w:tc>
          <w:tcPr>
            <w:tcMar>
              <w:top w:w="80" w:type="dxa"/>
              <w:left w:w="80" w:type="dxa"/>
              <w:bottom w:w="80" w:type="dxa"/>
              <w:right w:w="80" w:type="dxa"/>
            </w:tcMar>
          </w:tcPr>
          <w:p>
            <w:pPr>
              <w:pStyle w:val="Compact"/>
              <w:spacing w:after="40"/>
              <w:jc w:val="left"/>
            </w:pPr>
            <w:r>
              <w:rPr>
                <w:rFonts w:ascii="Arial" w:hAnsi="Arial"/>
                <w:sz w:val="17"/>
              </w:rPr>
              <w:t xml:space="preserve">Accepted</w:t>
            </w:r>
          </w:p>
        </w:tc>
        <w:tc>
          <w:tcPr>
            <w:tcMar>
              <w:top w:w="80" w:type="dxa"/>
              <w:left w:w="80" w:type="dxa"/>
              <w:bottom w:w="80" w:type="dxa"/>
              <w:right w:w="80" w:type="dxa"/>
            </w:tcMar>
          </w:tcPr>
          <w:p>
            <w:pPr>
              <w:pStyle w:val="Compact"/>
              <w:spacing w:after="40"/>
              <w:jc w:val="left"/>
            </w:pPr>
            <w:r>
              <w:rPr>
                <w:rFonts w:ascii="Arial" w:hAnsi="Arial"/>
                <w:sz w:val="17"/>
              </w:rPr>
              <w:t xml:space="preserve">The complete test-function and density formulas are now Lemma 3.3.</w:t>
            </w:r>
          </w:p>
        </w:tc>
      </w:tr>
      <w:tr>
        <w:trPr>
          <w:cantSplit/>
        </w:trPr>
        <w:tc>
          <w:tcPr>
            <w:tcMar>
              <w:top w:w="80" w:type="dxa"/>
              <w:left w:w="80" w:type="dxa"/>
              <w:bottom w:w="80" w:type="dxa"/>
              <w:right w:w="80" w:type="dxa"/>
            </w:tcMar>
          </w:tcPr>
          <w:p>
            <w:pPr>
              <w:pStyle w:val="Compact"/>
              <w:spacing w:after="40"/>
              <w:jc w:val="left"/>
            </w:pPr>
            <m:oMath>
              <m:r>
                <m:t>κ</m:t>
              </m:r>
              <m:r>
                <m:rPr>
                  <m:sty m:val="p"/>
                </m:rPr>
                <m:t>↓</m:t>
              </m:r>
              <m:r>
                <m:t>0</m:t>
              </m:r>
            </m:oMath>
            <w:r>
              <w:rPr>
                <w:rFonts w:ascii="Arial" w:hAnsi="Arial"/>
                <w:sz w:val="17"/>
              </w:rPr>
              <w:t xml:space="preserve"> </w:t>
            </w:r>
            <w:r>
              <w:rPr>
                <w:rFonts w:ascii="Arial" w:hAnsi="Arial"/>
                <w:sz w:val="17"/>
              </w:rPr>
              <w:t xml:space="preserve">domination is asserted</w:t>
            </w:r>
          </w:p>
        </w:tc>
        <w:tc>
          <w:tcPr>
            <w:tcMar>
              <w:top w:w="80" w:type="dxa"/>
              <w:left w:w="80" w:type="dxa"/>
              <w:bottom w:w="80" w:type="dxa"/>
              <w:right w:w="80" w:type="dxa"/>
            </w:tcMar>
          </w:tcPr>
          <w:p>
            <w:pPr>
              <w:pStyle w:val="Compact"/>
              <w:spacing w:after="40"/>
              <w:jc w:val="left"/>
            </w:pPr>
            <w:r>
              <w:rPr>
                <w:rFonts w:ascii="Arial" w:hAnsi="Arial"/>
                <w:sz w:val="17"/>
              </w:rPr>
              <w:t xml:space="preserve">Accepted</w:t>
            </w:r>
          </w:p>
        </w:tc>
        <w:tc>
          <w:tcPr>
            <w:tcMar>
              <w:top w:w="80" w:type="dxa"/>
              <w:left w:w="80" w:type="dxa"/>
              <w:bottom w:w="80" w:type="dxa"/>
              <w:right w:w="80" w:type="dxa"/>
            </w:tcMar>
          </w:tcPr>
          <w:p>
            <w:pPr>
              <w:pStyle w:val="Compact"/>
              <w:spacing w:after="40"/>
              <w:jc w:val="left"/>
            </w:pPr>
            <w:r>
              <w:rPr>
                <w:rFonts w:ascii="Arial" w:hAnsi="Arial"/>
                <w:sz w:val="17"/>
              </w:rPr>
              <w:t xml:space="preserve">Lemma 3.5a now separates the all-mark bound from the integrable</w:t>
            </w:r>
            <w:r>
              <w:rPr>
                <w:rFonts w:ascii="Arial" w:hAnsi="Arial"/>
                <w:sz w:val="17"/>
              </w:rPr>
              <w:t xml:space="preserve"> </w:t>
            </w:r>
            <m:oMath>
              <m:sSup>
                <m:e>
                  <m:r>
                    <m:t>κ</m:t>
                  </m:r>
                </m:e>
                <m:sup>
                  <m:r>
                    <m:rPr>
                      <m:sty m:val="p"/>
                    </m:rPr>
                    <m:t>−</m:t>
                  </m:r>
                  <m:r>
                    <m:t>2</m:t>
                  </m:r>
                  <m:r>
                    <m:rPr>
                      <m:sty m:val="p"/>
                    </m:rPr>
                    <m:t>/</m:t>
                  </m:r>
                  <m:r>
                    <m:t>3</m:t>
                  </m:r>
                </m:sup>
              </m:sSup>
            </m:oMath>
            <w:r>
              <w:rPr>
                <w:rFonts w:ascii="Arial" w:hAnsi="Arial"/>
                <w:sz w:val="17"/>
              </w:rPr>
              <w:t xml:space="preserve"> </w:t>
            </w:r>
            <w:r>
              <w:rPr>
                <w:rFonts w:ascii="Arial" w:hAnsi="Arial"/>
                <w:sz w:val="17"/>
              </w:rPr>
              <w:t xml:space="preserve">weight.</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Genuine distant elder pairs are not bounded</w:t>
            </w:r>
          </w:p>
        </w:tc>
        <w:tc>
          <w:tcPr>
            <w:tcMar>
              <w:top w:w="80" w:type="dxa"/>
              <w:left w:w="80" w:type="dxa"/>
              <w:bottom w:w="80" w:type="dxa"/>
              <w:right w:w="80" w:type="dxa"/>
            </w:tcMar>
          </w:tcPr>
          <w:p>
            <w:pPr>
              <w:pStyle w:val="Compact"/>
              <w:spacing w:after="40"/>
              <w:jc w:val="left"/>
            </w:pPr>
            <w:r>
              <w:rPr>
                <w:rFonts w:ascii="Arial" w:hAnsi="Arial"/>
                <w:sz w:val="17"/>
              </w:rPr>
              <w:t xml:space="preserve">Accepted</w:t>
            </w:r>
          </w:p>
        </w:tc>
        <w:tc>
          <w:tcPr>
            <w:tcMar>
              <w:top w:w="80" w:type="dxa"/>
              <w:left w:w="80" w:type="dxa"/>
              <w:bottom w:w="80" w:type="dxa"/>
              <w:right w:w="80" w:type="dxa"/>
            </w:tcMar>
          </w:tcPr>
          <w:p>
            <w:pPr>
              <w:pStyle w:val="Compact"/>
              <w:spacing w:after="40"/>
              <w:jc w:val="left"/>
            </w:pPr>
            <w:r>
              <w:rPr>
                <w:rFonts w:ascii="Arial" w:hAnsi="Arial"/>
                <w:sz w:val="17"/>
              </w:rPr>
              <w:t xml:space="preserve">Lemma 3.5b is now a separate off-diagonal result. It is distinct from a remote third-point witness conditioned on a near pair.</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GOE normalization is ambiguous</w:t>
            </w:r>
          </w:p>
        </w:tc>
        <w:tc>
          <w:tcPr>
            <w:tcMar>
              <w:top w:w="80" w:type="dxa"/>
              <w:left w:w="80" w:type="dxa"/>
              <w:bottom w:w="80" w:type="dxa"/>
              <w:right w:w="80" w:type="dxa"/>
            </w:tcMar>
          </w:tcPr>
          <w:p>
            <w:pPr>
              <w:pStyle w:val="Compact"/>
              <w:spacing w:after="40"/>
              <w:jc w:val="left"/>
            </w:pPr>
            <w:r>
              <w:rPr>
                <w:rFonts w:ascii="Arial" w:hAnsi="Arial"/>
                <w:sz w:val="17"/>
              </w:rPr>
              <w:t xml:space="preserve">Accepted</w:t>
            </w:r>
          </w:p>
        </w:tc>
        <w:tc>
          <w:tcPr>
            <w:tcMar>
              <w:top w:w="80" w:type="dxa"/>
              <w:left w:w="80" w:type="dxa"/>
              <w:bottom w:w="80" w:type="dxa"/>
              <w:right w:w="80" w:type="dxa"/>
            </w:tcMar>
          </w:tcPr>
          <w:p>
            <w:pPr>
              <w:pStyle w:val="Compact"/>
              <w:spacing w:after="40"/>
              <w:jc w:val="left"/>
            </w:pPr>
            <w:r>
              <w:rPr>
                <w:rFonts w:ascii="Arial" w:hAnsi="Arial"/>
                <w:sz w:val="17"/>
              </w:rPr>
              <w:t xml:space="preserve">The diagonal and off-diagonal variances are stated explicitly.</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Side-24 transcript is inconsistent</w:t>
            </w:r>
          </w:p>
        </w:tc>
        <w:tc>
          <w:tcPr>
            <w:tcMar>
              <w:top w:w="80" w:type="dxa"/>
              <w:left w:w="80" w:type="dxa"/>
              <w:bottom w:w="80" w:type="dxa"/>
              <w:right w:w="80" w:type="dxa"/>
            </w:tcMar>
          </w:tcPr>
          <w:p>
            <w:pPr>
              <w:pStyle w:val="Compact"/>
              <w:spacing w:after="40"/>
              <w:jc w:val="left"/>
            </w:pPr>
            <w:r>
              <w:rPr>
                <w:rFonts w:ascii="Arial" w:hAnsi="Arial"/>
                <w:sz w:val="17"/>
              </w:rPr>
              <w:t xml:space="preserve">Accepted</w:t>
            </w:r>
          </w:p>
        </w:tc>
        <w:tc>
          <w:tcPr>
            <w:tcMar>
              <w:top w:w="80" w:type="dxa"/>
              <w:left w:w="80" w:type="dxa"/>
              <w:bottom w:w="80" w:type="dxa"/>
              <w:right w:w="80" w:type="dxa"/>
            </w:tcMar>
          </w:tcPr>
          <w:p>
            <w:pPr>
              <w:pStyle w:val="Compact"/>
              <w:spacing w:after="40"/>
              <w:jc w:val="left"/>
            </w:pPr>
            <w:r>
              <w:rPr>
                <w:rFonts w:ascii="Arial" w:hAnsi="Arial"/>
                <w:sz w:val="17"/>
              </w:rPr>
              <w:t xml:space="preserve">The source, expected output, runner, environment record, and execution logs are synchronized in this revision.</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The technical appendix is submission-ready</w:t>
            </w:r>
          </w:p>
        </w:tc>
        <w:tc>
          <w:tcPr>
            <w:tcMar>
              <w:top w:w="80" w:type="dxa"/>
              <w:left w:w="80" w:type="dxa"/>
              <w:bottom w:w="80" w:type="dxa"/>
              <w:right w:w="80" w:type="dxa"/>
            </w:tcMar>
          </w:tcPr>
          <w:p>
            <w:pPr>
              <w:pStyle w:val="Compact"/>
              <w:spacing w:after="40"/>
              <w:jc w:val="left"/>
            </w:pPr>
            <w:r>
              <w:rPr>
                <w:rFonts w:ascii="Arial" w:hAnsi="Arial"/>
                <w:sz w:val="17"/>
              </w:rPr>
              <w:t xml:space="preserve">Rejected</w:t>
            </w:r>
          </w:p>
        </w:tc>
        <w:tc>
          <w:tcPr>
            <w:tcMar>
              <w:top w:w="80" w:type="dxa"/>
              <w:left w:w="80" w:type="dxa"/>
              <w:bottom w:w="80" w:type="dxa"/>
              <w:right w:w="80" w:type="dxa"/>
            </w:tcMar>
          </w:tcPr>
          <w:p>
            <w:pPr>
              <w:pStyle w:val="Compact"/>
              <w:spacing w:after="40"/>
              <w:jc w:val="left"/>
            </w:pPr>
            <w:r>
              <w:rPr>
                <w:rFonts w:ascii="Arial" w:hAnsi="Arial"/>
                <w:sz w:val="17"/>
              </w:rPr>
              <w:t xml:space="preserve">It is now expressly labeled an audit appendix with local equation numbers and open modules.</w:t>
            </w:r>
          </w:p>
        </w:tc>
      </w:tr>
    </w:tbl>
    <w:bookmarkEnd w:id="28"/>
    <w:bookmarkStart w:id="37" w:name="criticisms-not-adopted"/>
    <w:p>
      <w:pPr>
        <w:pStyle w:val="Heading1"/>
        <w:keepNext/>
      </w:pPr>
      <w:r>
        <w:t xml:space="preserve">5. Criticisms not adopted</w:t>
      </w:r>
    </w:p>
    <w:p>
      <w:pPr>
        <w:pStyle w:val="FirstParagraph"/>
      </w:pPr>
      <w:r>
        <w:t xml:space="preserve">Several preliminary comments would have added false requirements or changed a correct formula.</w:t>
      </w:r>
    </w:p>
    <w:bookmarkStart w:id="29" w:name="Xa41bec7aca4fc154bc9eee70b486700e560e0da"/>
    <w:p>
      <w:pPr>
        <w:pStyle w:val="Heading2"/>
        <w:keepNext/>
      </w:pPr>
      <w:r>
        <w:t xml:space="preserve">5.1 No Kolmogorov three-series or Fernique theorem is needed</w:t>
      </w:r>
    </w:p>
    <w:p>
      <w:pPr>
        <w:pStyle w:val="FirstParagraph"/>
      </w:pPr>
      <w:r>
        <w:t xml:space="preserve">For each integral strip width</w:t>
      </w:r>
      <w:r>
        <w:t xml:space="preserve"> </w:t>
      </w:r>
      <m:oMath>
        <m:r>
          <m:t>R</m:t>
        </m:r>
      </m:oMath>
      <w:r>
        <w:t xml:space="preserve">, the relevant random majorant is nonnegative and has finite expectation. Tonelli gives finiteness almost surely. A countable intersection over</w:t>
      </w:r>
      <w:r>
        <w:t xml:space="preserve"> </w:t>
      </w:r>
      <m:oMath>
        <m:r>
          <m:t>R</m:t>
        </m:r>
        <m:r>
          <m:rPr>
            <m:sty m:val="p"/>
          </m:rPr>
          <m:t>∈</m:t>
        </m:r>
        <m:r>
          <m:rPr>
            <m:sty m:val="p"/>
            <m:scr m:val="double-struck"/>
          </m:rPr>
          <m:t>N</m:t>
        </m:r>
      </m:oMath>
      <w:r>
        <w:t xml:space="preserve"> </w:t>
      </w:r>
      <w:r>
        <w:t xml:space="preserve">and the M-test then give local uniform convergence on every compact strip. This closes the step without a three-series theorem.</w:t>
      </w:r>
    </w:p>
    <w:bookmarkEnd w:id="29"/>
    <w:bookmarkStart w:id="30" w:name="Xc07400928f279b8ffc3418e2528ae5a91dbe429"/>
    <w:p>
      <w:pPr>
        <w:pStyle w:val="Heading2"/>
        <w:keepNext/>
      </w:pPr>
      <w:r>
        <w:t xml:space="preserve">5.2 Absolute continuity does not require a uniform near-diagonal count</w:t>
      </w:r>
    </w:p>
    <w:p>
      <w:pPr>
        <w:pStyle w:val="FirstParagraph"/>
      </w:pPr>
      <w:r>
        <w:t xml:space="preserve">If each restricted selected measure</w:t>
      </w:r>
      <w:r>
        <w:t xml:space="preserve"> </w:t>
      </w:r>
      <m:oMath>
        <m:sSub>
          <m:e>
            <m:r>
              <m:t>μ</m:t>
            </m:r>
          </m:e>
          <m:sub>
            <m:r>
              <m:t>n</m:t>
            </m:r>
          </m:sub>
        </m:sSub>
      </m:oMath>
      <w:r>
        <w:t xml:space="preserve"> </w:t>
      </w:r>
      <w:r>
        <w:t xml:space="preserve">is absolutely continuous and</w:t>
      </w:r>
      <w:r>
        <w:t xml:space="preserve"> </w:t>
      </w:r>
      <m:oMath>
        <m:sSub>
          <m:e>
            <m:r>
              <m:t>μ</m:t>
            </m:r>
          </m:e>
          <m:sub>
            <m:r>
              <m:t>n</m:t>
            </m:r>
          </m:sub>
        </m:sSub>
        <m:r>
          <m:rPr>
            <m:sty m:val="p"/>
          </m:rPr>
          <m:t>↑</m:t>
        </m:r>
        <m:r>
          <m:t>μ</m:t>
        </m:r>
      </m:oMath>
      <w:r>
        <w:t xml:space="preserve">, then every Lebesgue-null set has</w:t>
      </w:r>
      <w:r>
        <w:t xml:space="preserve"> </w:t>
      </w:r>
      <m:oMath>
        <m:r>
          <m:t>μ</m:t>
        </m:r>
        <m:d>
          <m:dPr>
            <m:begChr m:val="("/>
            <m:endChr m:val=")"/>
            <m:sepChr m:val=""/>
            <m:grow/>
          </m:dPr>
          <m:e>
            <m:r>
              <m:t>A</m:t>
            </m:r>
          </m:e>
        </m:d>
        <m:r>
          <m:rPr>
            <m:sty m:val="p"/>
          </m:rPr>
          <m:t>=</m:t>
        </m:r>
        <m:sSub>
          <m:e>
            <m:r>
              <m:rPr>
                <m:sty m:val="p"/>
              </m:rPr>
              <m:t>lim</m:t>
            </m:r>
          </m:e>
          <m:sub>
            <m:r>
              <m:t>n</m:t>
            </m:r>
          </m:sub>
        </m:sSub>
        <m:sSub>
          <m:e>
            <m:r>
              <m:t>μ</m:t>
            </m:r>
          </m:e>
          <m:sub>
            <m:r>
              <m:t>n</m:t>
            </m:r>
          </m:sub>
        </m:sSub>
        <m:d>
          <m:dPr>
            <m:begChr m:val="("/>
            <m:endChr m:val=")"/>
            <m:sepChr m:val=""/>
            <m:grow/>
          </m:dPr>
          <m:e>
            <m:r>
              <m:t>A</m:t>
            </m:r>
          </m:e>
        </m:d>
        <m:r>
          <m:rPr>
            <m:sty m:val="p"/>
          </m:rPr>
          <m:t>=</m:t>
        </m:r>
        <m:r>
          <m:t>0</m:t>
        </m:r>
      </m:oMath>
      <w:r>
        <w:t xml:space="preserve">. A uniform bound as the spatial cutoff tends to zero is not required for Proposition 1.2. A separate far-pair argument is needed for the asymptotic and has been inserted for review for that reason.</w:t>
      </w:r>
    </w:p>
    <w:bookmarkEnd w:id="30"/>
    <w:bookmarkStart w:id="31" w:name="X83390ff43e26e54c8224b8dd7780c88635795b9"/>
    <w:p>
      <w:pPr>
        <w:pStyle w:val="Heading2"/>
        <w:keepNext/>
      </w:pPr>
      <w:r>
        <w:t xml:space="preserve">5.3 The global maximum creates no finite bar requiring a density estimate</w:t>
      </w:r>
    </w:p>
    <w:p>
      <w:pPr>
        <w:pStyle w:val="FirstParagraph"/>
      </w:pPr>
      <w:r>
        <w:t xml:space="preserve">The global maximum corresponds to the essential</w:t>
      </w:r>
      <w:r>
        <w:t xml:space="preserve"> </w:t>
      </w:r>
      <m:oMath>
        <m:sSub>
          <m:e>
            <m:r>
              <m:t>H</m:t>
            </m:r>
          </m:e>
          <m:sub>
            <m:r>
              <m:t>0</m:t>
            </m:r>
          </m:sub>
        </m:sSub>
      </m:oMath>
      <w:r>
        <w:t xml:space="preserve"> </w:t>
      </w:r>
      <w:r>
        <w:t xml:space="preserve">class and is excluded in the definition of the finite lifetime measure. No separate</w:t>
      </w:r>
      <w:r>
        <w:t xml:space="preserve"> </w:t>
      </w:r>
      <m:oMath>
        <m:r>
          <m:t>O</m:t>
        </m:r>
        <m:d>
          <m:dPr>
            <m:begChr m:val="("/>
            <m:endChr m:val=")"/>
            <m:sepChr m:val=""/>
            <m:grow/>
          </m:dPr>
          <m:e>
            <m:d>
              <m:dPr>
                <m:begChr m:val="|"/>
                <m:endChr m:val="|"/>
                <m:sepChr m:val=""/>
                <m:grow/>
              </m:dPr>
              <m:e>
                <m:r>
                  <m:t>A</m:t>
                </m:r>
              </m:e>
            </m:d>
          </m:e>
        </m:d>
      </m:oMath>
      <w:r>
        <w:t xml:space="preserve"> </w:t>
      </w:r>
      <w:r>
        <w:t xml:space="preserve">estimate for a</w:t>
      </w:r>
      <w:r>
        <w:t xml:space="preserve"> </w:t>
      </w:r>
      <w:r>
        <w:t xml:space="preserve">“</w:t>
      </w:r>
      <w:r>
        <w:t xml:space="preserve">global-maximum bar</w:t>
      </w:r>
      <w:r>
        <w:t xml:space="preserve">”</w:t>
      </w:r>
      <w:r>
        <w:t xml:space="preserve"> </w:t>
      </w:r>
      <w:r>
        <w:t xml:space="preserve">is needed.</w:t>
      </w:r>
    </w:p>
    <w:bookmarkEnd w:id="31"/>
    <w:bookmarkStart w:id="32" w:name="X9574483afddd2aafc12cbd01f4d434637cd4f53"/>
    <w:p>
      <w:pPr>
        <w:pStyle w:val="Heading2"/>
        <w:keepNext/>
      </w:pPr>
      <w:r>
        <w:t xml:space="preserve">5.4 The far-pair argument does not use the short logarithm chart</w:t>
      </w:r>
    </w:p>
    <w:p>
      <w:pPr>
        <w:pStyle w:val="FirstParagraph"/>
      </w:pPr>
      <w:r>
        <w:t xml:space="preserve">The midpoint/directed-sphere chart is used only for</w:t>
      </w:r>
      <w:r>
        <w:t xml:space="preserve"> </w:t>
      </w:r>
      <m:oMath>
        <m:r>
          <m:t>d</m:t>
        </m:r>
        <m:d>
          <m:dPr>
            <m:begChr m:val="("/>
            <m:endChr m:val=")"/>
            <m:sepChr m:val=""/>
            <m:grow/>
          </m:dPr>
          <m:e>
            <m:r>
              <m:t>M</m:t>
            </m:r>
            <m:r>
              <m:rPr>
                <m:sty m:val="p"/>
              </m:rPr>
              <m:t>,</m:t>
            </m:r>
            <m:r>
              <m:t>S</m:t>
            </m:r>
          </m:e>
        </m:d>
        <m:r>
          <m:rPr>
            <m:sty m:val="p"/>
          </m:rPr>
          <m:t>&lt;</m:t>
        </m:r>
        <m:r>
          <m:t>ρ</m:t>
        </m:r>
        <m:r>
          <m:rPr>
            <m:sty m:val="p"/>
          </m:rPr>
          <m:t>&lt;</m:t>
        </m:r>
        <m:r>
          <m:t>12</m:t>
        </m:r>
      </m:oMath>
      <w:r>
        <w:t xml:space="preserve">. Lemma 3.5b works directly on the compact set</w:t>
      </w:r>
      <w:r>
        <w:t xml:space="preserve"> </w:t>
      </w:r>
      <m:oMath>
        <m:r>
          <m:rPr>
            <m:sty m:val="p"/>
          </m:rPr>
          <m:t>{</m:t>
        </m:r>
        <m:r>
          <m:t>d</m:t>
        </m:r>
        <m:d>
          <m:dPr>
            <m:begChr m:val="("/>
            <m:endChr m:val=")"/>
            <m:sepChr m:val=""/>
            <m:grow/>
          </m:dPr>
          <m:e>
            <m:r>
              <m:t>x</m:t>
            </m:r>
            <m:r>
              <m:rPr>
                <m:sty m:val="p"/>
              </m:rPr>
              <m:t>,</m:t>
            </m:r>
            <m:r>
              <m:t>y</m:t>
            </m:r>
          </m:e>
        </m:d>
        <m:r>
          <m:rPr>
            <m:sty m:val="p"/>
          </m:rPr>
          <m:t>≥</m:t>
        </m:r>
        <m:r>
          <m:t>ρ</m:t>
        </m:r>
        <m:r>
          <m:rPr>
            <m:sty m:val="p"/>
          </m:rPr>
          <m:t>}</m:t>
        </m:r>
      </m:oMath>
      <w:r>
        <w:t xml:space="preserve">, so cut-locus ambiguity does not enter.</w:t>
      </w:r>
    </w:p>
    <w:bookmarkEnd w:id="32"/>
    <w:bookmarkStart w:id="33" w:name="the-near-formula-must-contain-r56"/>
    <w:p>
      <w:pPr>
        <w:pStyle w:val="Heading2"/>
        <w:keepNext/>
      </w:pPr>
      <w:r>
        <w:t xml:space="preserve">5.5 The near formula must contain</w:t>
      </w:r>
      <w:r>
        <w:t xml:space="preserve"> </w:t>
      </w:r>
      <m:oMath>
        <m:sSup>
          <m:e>
            <m:r>
              <m:t>r</m:t>
            </m:r>
          </m:e>
          <m:sup>
            <m:r>
              <m:t>5</m:t>
            </m:r>
          </m:sup>
        </m:sSup>
        <m:r>
          <m:rPr>
            <m:sty m:val="p"/>
          </m:rPr>
          <m:t>/</m:t>
        </m:r>
        <m:r>
          <m:t>6</m:t>
        </m:r>
      </m:oMath>
    </w:p>
    <w:p>
      <w:pPr>
        <w:pStyle w:val="FirstParagraph"/>
      </w:pPr>
      <w:r>
        <w:t xml:space="preserve">One preliminary formula omitted the value-gap Jacobian. The retained identity has</w:t>
      </w:r>
      <w:r>
        <w:t xml:space="preserve"> </w:t>
      </w:r>
      <m:oMath>
        <m:sSup>
          <m:e>
            <m:r>
              <m:t>r</m:t>
            </m:r>
          </m:e>
          <m:sup>
            <m:r>
              <m:t>2</m:t>
            </m:r>
          </m:sup>
        </m:sSup>
      </m:oMath>
      <w:r>
        <w:t xml:space="preserve"> </w:t>
      </w:r>
      <w:r>
        <w:t xml:space="preserve">from displacement polar coordinates and</w:t>
      </w:r>
      <w:r>
        <w:t xml:space="preserve"> </w:t>
      </w:r>
      <m:oMath>
        <m:sSup>
          <m:e>
            <m:r>
              <m:t>r</m:t>
            </m:r>
          </m:e>
          <m:sup>
            <m:r>
              <m:t>3</m:t>
            </m:r>
          </m:sup>
        </m:sSup>
        <m:r>
          <m:rPr>
            <m:sty m:val="p"/>
          </m:rPr>
          <m:t>/</m:t>
        </m:r>
        <m:r>
          <m:t>6</m:t>
        </m:r>
      </m:oMath>
      <w:r>
        <w:t xml:space="preserve"> </w:t>
      </w:r>
      <w:r>
        <w:t xml:space="preserve">from</w:t>
      </w:r>
      <w:r>
        <w:t xml:space="preserve"> </w:t>
      </w:r>
      <m:oMath>
        <m:r>
          <m:t>h</m:t>
        </m:r>
        <m:r>
          <m:rPr>
            <m:sty m:val="p"/>
          </m:rPr>
          <m:t>=</m:t>
        </m:r>
        <m:r>
          <m:t>b</m:t>
        </m:r>
        <m:r>
          <m:rPr>
            <m:sty m:val="p"/>
          </m:rPr>
          <m:t>−</m:t>
        </m:r>
        <m:r>
          <m:t>κ</m:t>
        </m:r>
        <m:sSup>
          <m:e>
            <m:r>
              <m:t>r</m:t>
            </m:r>
          </m:e>
          <m:sup>
            <m:r>
              <m:t>3</m:t>
            </m:r>
          </m:sup>
        </m:sSup>
        <m:r>
          <m:rPr>
            <m:sty m:val="p"/>
          </m:rPr>
          <m:t>/</m:t>
        </m:r>
        <m:r>
          <m:t>6</m:t>
        </m:r>
      </m:oMath>
      <w:r>
        <w:t xml:space="preserve">, hence</w:t>
      </w:r>
      <w:r>
        <w:t xml:space="preserve"> </w:t>
      </w:r>
      <m:oMath>
        <m:sSup>
          <m:e>
            <m:r>
              <m:t>r</m:t>
            </m:r>
          </m:e>
          <m:sup>
            <m:r>
              <m:t>5</m:t>
            </m:r>
          </m:sup>
        </m:sSup>
        <m:r>
          <m:rPr>
            <m:sty m:val="p"/>
          </m:rPr>
          <m:t>/</m:t>
        </m:r>
        <m:r>
          <m:t>6</m:t>
        </m:r>
      </m:oMath>
      <w:r>
        <w:t xml:space="preserve"> </w:t>
      </w:r>
      <w:r>
        <w:t xml:space="preserve">before the Kac–Rice factor.</w:t>
      </w:r>
    </w:p>
    <w:bookmarkEnd w:id="33"/>
    <w:bookmarkStart w:id="34" w:name="X2220257dbb70d4bebed6bc80e946c2a6ca3499e"/>
    <w:p>
      <w:pPr>
        <w:pStyle w:val="Heading2"/>
        <w:keepNext/>
      </w:pPr>
      <w:r>
        <w:t xml:space="preserve">5.6 The negative-definite cone need not have probability tending to one</w:t>
      </w:r>
    </w:p>
    <w:p>
      <w:pPr>
        <w:pStyle w:val="FirstParagraph"/>
      </w:pPr>
      <w:r>
        <w:t xml:space="preserve">For positivity and normalization, the limiting cone event needs positive Gaussian probability and a boundary of Gaussian measure zero. Probability tending to one is neither expected nor required.</w:t>
      </w:r>
    </w:p>
    <w:bookmarkEnd w:id="34"/>
    <w:bookmarkStart w:id="35" w:name="X5a85db04f643a5d9fa72d9d2dad9c6a3d85b0b2"/>
    <w:p>
      <w:pPr>
        <w:pStyle w:val="Heading2"/>
        <w:keepNext/>
      </w:pPr>
      <w:r>
        <w:t xml:space="preserve">5.7 Birth-height collapse does not require independence of</w:t>
      </w:r>
      <w:r>
        <w:t xml:space="preserve"> </w:t>
      </w:r>
      <m:oMath>
        <m:sSub>
          <m:e>
            <m:r>
              <m:t>q</m:t>
            </m:r>
          </m:e>
          <m:sub>
            <m:r>
              <m:t>t</m:t>
            </m:r>
          </m:sub>
        </m:sSub>
      </m:oMath>
      <w:r>
        <w:t xml:space="preserve"> </w:t>
      </w:r>
      <w:r>
        <w:t xml:space="preserve">and</w:t>
      </w:r>
      <w:r>
        <w:t xml:space="preserve"> </w:t>
      </w:r>
      <m:oMath>
        <m:r>
          <m:t>f</m:t>
        </m:r>
      </m:oMath>
    </w:p>
    <w:p>
      <w:pPr>
        <w:pStyle w:val="FirstParagraph"/>
      </w:pPr>
      <w:r>
        <w:t xml:space="preserve">Equation (3.20) is the law of total expectation under disintegration, justified by Tonelli for the nonnegative integrand. Correlation between the transverse Hessian and the field value is integrated out.</w:t>
      </w:r>
    </w:p>
    <w:bookmarkEnd w:id="35"/>
    <w:bookmarkStart w:id="36" w:name="script-success-is-not-mathematical-proof"/>
    <w:p>
      <w:pPr>
        <w:pStyle w:val="Heading2"/>
        <w:keepNext/>
      </w:pPr>
      <w:r>
        <w:t xml:space="preserve">5.8 Script success is not mathematical proof</w:t>
      </w:r>
    </w:p>
    <w:p>
      <w:pPr>
        <w:pStyle w:val="FirstParagraph"/>
      </w:pPr>
      <w:r>
        <w:t xml:space="preserve">Every pass marker certifies only the assertions encoded in that program under the recorded environment. It cannot establish the applicability of Kac–Rice, topological exhaustiveness, conditional-flow estimates, or correctness of the encoded geometric model.</w:t>
      </w:r>
    </w:p>
    <w:bookmarkEnd w:id="36"/>
    <w:bookmarkEnd w:id="37"/>
    <w:bookmarkStart w:id="41" w:name="Xc93a11b4285bf0d25bf28bd405ce3218d0748b3"/>
    <w:p>
      <w:pPr>
        <w:pStyle w:val="Heading1"/>
        <w:keepNext/>
      </w:pPr>
      <w:r>
        <w:t xml:space="preserve">6. Literature claims in the preliminary reports</w:t>
      </w:r>
    </w:p>
    <w:p>
      <w:pPr>
        <w:pStyle w:val="FirstParagraph"/>
      </w:pPr>
      <w:r>
        <w:t xml:space="preserve">The first report attached the same eleven references to many unrelated paragraphs. Those citations should not be treated as claim-level verification.</w:t>
      </w:r>
    </w:p>
    <w:p>
      <w:pPr>
        <w:numPr>
          <w:ilvl w:val="0"/>
          <w:numId w:val="1002"/>
        </w:numPr>
        <w:pStyle w:val="Compact"/>
      </w:pPr>
      <w:r>
        <w:t xml:space="preserve">Chazal and Divol’s paper concerns densities of expected persistence diagrams for broad point-cloud filtrations such as Čech and Rips constructions. It is useful background, but its abstract does not directly establish the elder-paired smooth Gaussian Morse-field density used here:</w:t>
      </w:r>
      <w:r>
        <w:t xml:space="preserve"> </w:t>
      </w:r>
      <w:hyperlink r:id="rId38">
        <w:r>
          <w:rPr>
            <w:rStyle w:val="Hyperlink"/>
          </w:rPr>
          <w:t xml:space="preserve">https://arxiv.org/abs/1802.10457</w:t>
        </w:r>
      </w:hyperlink>
      <w:r>
        <w:t xml:space="preserve">.</w:t>
      </w:r>
    </w:p>
    <w:p>
      <w:pPr>
        <w:numPr>
          <w:ilvl w:val="0"/>
          <w:numId w:val="1002"/>
        </w:numPr>
        <w:pStyle w:val="Compact"/>
      </w:pPr>
      <w:r>
        <w:t xml:space="preserve">The Bargmann–Fock percolation paper concerns the planar excursion-set threshold. It supplies context for the field, not the present short-lifetime selected persistence asymptotic:</w:t>
      </w:r>
      <w:r>
        <w:t xml:space="preserve"> </w:t>
      </w:r>
      <w:hyperlink r:id="rId39">
        <w:r>
          <w:rPr>
            <w:rStyle w:val="Hyperlink"/>
          </w:rPr>
          <w:t xml:space="preserve">https://arxiv.org/abs/1711.05012</w:t>
        </w:r>
      </w:hyperlink>
      <w:r>
        <w:t xml:space="preserve">.</w:t>
      </w:r>
    </w:p>
    <w:p>
      <w:pPr>
        <w:numPr>
          <w:ilvl w:val="0"/>
          <w:numId w:val="1002"/>
        </w:numPr>
        <w:pStyle w:val="Compact"/>
      </w:pPr>
      <w:r>
        <w:t xml:space="preserve">Gass and Stecconi prove finiteness of moments for numbers of critical points under suitable hypotheses. That is relevant to Kac–Rice integrability, not a proof of this persistence law:</w:t>
      </w:r>
      <w:r>
        <w:t xml:space="preserve"> </w:t>
      </w:r>
      <w:hyperlink r:id="rId40">
        <w:r>
          <w:rPr>
            <w:rStyle w:val="Hyperlink"/>
          </w:rPr>
          <w:t xml:space="preserve">https://arxiv.org/abs/2305.17586</w:t>
        </w:r>
      </w:hyperlink>
      <w:r>
        <w:t xml:space="preserve">.</w:t>
      </w:r>
    </w:p>
    <w:p>
      <w:pPr>
        <w:pStyle w:val="FirstParagraph"/>
      </w:pPr>
      <w:r>
        <w:t xml:space="preserve">No report supplied a source proving the same fixed-side, three-dimensional, elder-selected near-diagonal asymptotic. That is evidence that the question may be novel, not proof of novelty.</w:t>
      </w:r>
    </w:p>
    <w:bookmarkEnd w:id="41"/>
    <w:bookmarkStart w:id="42" w:name="claim-by-claim-review-crosswalk"/>
    <w:p>
      <w:pPr>
        <w:pStyle w:val="Heading1"/>
        <w:keepNext/>
      </w:pPr>
      <w:r>
        <w:t xml:space="preserve">7. Claim-by-claim review crosswalk</w:t>
      </w:r>
    </w:p>
    <w:tbl>
      <w:tblPr>
        <w:tblStyle w:val="Table"/>
        <w:tblW w:type="pct" w:w="5000"/>
        <w:tblLayout w:type="autofit"/>
        <w:tblLook w:firstRow="1" w:lastRow="0" w:firstColumn="0" w:lastColumn="0" w:noHBand="0" w:noVBand="0" w:val="0020"/>
        <w:jc w:val="start"/>
      </w:tblPr>
      <w:tblGrid>
        <w:gridCol w:w="2640"/>
        <w:gridCol w:w="2640"/>
        <w:gridCol w:w="2640"/>
      </w:tblGrid>
      <w:tr>
        <w:trPr>
          <w:tblHeader w:val="true"/>
          <w:cantSplit/>
        </w:trPr>
        <w:tc>
          <w:tcPr>
            <w:tcMar>
              <w:top w:w="80" w:type="dxa"/>
              <w:left w:w="80" w:type="dxa"/>
              <w:bottom w:w="80" w:type="dxa"/>
              <w:right w:w="80" w:type="dxa"/>
            </w:tcMar>
          </w:tcPr>
          <w:p>
            <w:pPr>
              <w:pStyle w:val="Compact"/>
              <w:spacing w:after="40"/>
              <w:jc w:val="left"/>
            </w:pPr>
            <w:r>
              <w:rPr>
                <w:rFonts w:ascii="Arial" w:hAnsi="Arial"/>
                <w:b/>
                <w:sz w:val="17"/>
              </w:rPr>
              <w:t xml:space="preserve">Interface raised by the preliminary reports</w:t>
            </w:r>
          </w:p>
        </w:tc>
        <w:tc>
          <w:tcPr>
            <w:tcMar>
              <w:top w:w="80" w:type="dxa"/>
              <w:left w:w="80" w:type="dxa"/>
              <w:bottom w:w="80" w:type="dxa"/>
              <w:right w:w="80" w:type="dxa"/>
            </w:tcMar>
          </w:tcPr>
          <w:p>
            <w:pPr>
              <w:pStyle w:val="Compact"/>
              <w:spacing w:after="40"/>
              <w:jc w:val="left"/>
            </w:pPr>
            <w:r>
              <w:rPr>
                <w:rFonts w:ascii="Arial" w:hAnsi="Arial"/>
                <w:b/>
                <w:sz w:val="17"/>
              </w:rPr>
              <w:t xml:space="preserve">Revised location</w:t>
            </w:r>
          </w:p>
        </w:tc>
        <w:tc>
          <w:tcPr>
            <w:tcMar>
              <w:top w:w="80" w:type="dxa"/>
              <w:left w:w="80" w:type="dxa"/>
              <w:bottom w:w="80" w:type="dxa"/>
              <w:right w:w="80" w:type="dxa"/>
            </w:tcMar>
          </w:tcPr>
          <w:p>
            <w:pPr>
              <w:pStyle w:val="Compact"/>
              <w:spacing w:after="40"/>
              <w:jc w:val="left"/>
            </w:pPr>
            <w:r>
              <w:rPr>
                <w:rFonts w:ascii="Arial" w:hAnsi="Arial"/>
                <w:b/>
                <w:sz w:val="17"/>
              </w:rPr>
              <w:t xml:space="preserve">Current status</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Entire analytic sample path</w:t>
            </w:r>
          </w:p>
        </w:tc>
        <w:tc>
          <w:tcPr>
            <w:tcMar>
              <w:top w:w="80" w:type="dxa"/>
              <w:left w:w="80" w:type="dxa"/>
              <w:bottom w:w="80" w:type="dxa"/>
              <w:right w:w="80" w:type="dxa"/>
            </w:tcMar>
          </w:tcPr>
          <w:p>
            <w:pPr>
              <w:pStyle w:val="Compact"/>
              <w:spacing w:after="40"/>
              <w:jc w:val="left"/>
            </w:pPr>
            <w:r>
              <w:rPr>
                <w:rFonts w:ascii="Arial" w:hAnsi="Arial"/>
                <w:sz w:val="17"/>
              </w:rPr>
              <w:t xml:space="preserve">Manuscript Proposition 1.1</w:t>
            </w:r>
          </w:p>
        </w:tc>
        <w:tc>
          <w:tcPr>
            <w:tcMar>
              <w:top w:w="80" w:type="dxa"/>
              <w:left w:w="80" w:type="dxa"/>
              <w:bottom w:w="80" w:type="dxa"/>
              <w:right w:w="80" w:type="dxa"/>
            </w:tcMar>
          </w:tcPr>
          <w:p>
            <w:pPr>
              <w:pStyle w:val="Compact"/>
              <w:spacing w:after="40"/>
              <w:jc w:val="left"/>
            </w:pPr>
            <w:r>
              <w:rPr>
                <w:rFonts w:ascii="Arial" w:hAnsi="Arial"/>
                <w:sz w:val="17"/>
              </w:rPr>
              <w:t xml:space="preserve">Clarified; submitted for review</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Morse and distinct critical values</w:t>
            </w:r>
          </w:p>
        </w:tc>
        <w:tc>
          <w:tcPr>
            <w:tcMar>
              <w:top w:w="80" w:type="dxa"/>
              <w:left w:w="80" w:type="dxa"/>
              <w:bottom w:w="80" w:type="dxa"/>
              <w:right w:w="80" w:type="dxa"/>
            </w:tcMar>
          </w:tcPr>
          <w:p>
            <w:pPr>
              <w:pStyle w:val="Compact"/>
              <w:spacing w:after="40"/>
              <w:jc w:val="left"/>
            </w:pPr>
            <w:r>
              <w:rPr>
                <w:rFonts w:ascii="Arial" w:hAnsi="Arial"/>
                <w:sz w:val="17"/>
              </w:rPr>
              <w:t xml:space="preserve">Manuscript Proposition 1.1</w:t>
            </w:r>
          </w:p>
        </w:tc>
        <w:tc>
          <w:tcPr>
            <w:tcMar>
              <w:top w:w="80" w:type="dxa"/>
              <w:left w:w="80" w:type="dxa"/>
              <w:bottom w:w="80" w:type="dxa"/>
              <w:right w:w="80" w:type="dxa"/>
            </w:tcMar>
          </w:tcPr>
          <w:p>
            <w:pPr>
              <w:pStyle w:val="Compact"/>
              <w:spacing w:after="40"/>
              <w:jc w:val="left"/>
            </w:pPr>
            <w:r>
              <w:rPr>
                <w:rFonts w:ascii="Arial" w:hAnsi="Arial"/>
                <w:sz w:val="17"/>
              </w:rPr>
              <w:t xml:space="preserve">Argument present; specialist citation check requested</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Borel elder mark</w:t>
            </w:r>
          </w:p>
        </w:tc>
        <w:tc>
          <w:tcPr>
            <w:tcMar>
              <w:top w:w="80" w:type="dxa"/>
              <w:left w:w="80" w:type="dxa"/>
              <w:bottom w:w="80" w:type="dxa"/>
              <w:right w:w="80" w:type="dxa"/>
            </w:tcMar>
          </w:tcPr>
          <w:p>
            <w:pPr>
              <w:pStyle w:val="Compact"/>
              <w:spacing w:after="40"/>
              <w:jc w:val="left"/>
            </w:pPr>
            <w:r>
              <w:rPr>
                <w:rFonts w:ascii="Arial" w:hAnsi="Arial"/>
                <w:sz w:val="17"/>
              </w:rPr>
              <w:t xml:space="preserve">Manuscript Lemma 1.2a</w:t>
            </w:r>
          </w:p>
        </w:tc>
        <w:tc>
          <w:tcPr>
            <w:tcMar>
              <w:top w:w="80" w:type="dxa"/>
              <w:left w:w="80" w:type="dxa"/>
              <w:bottom w:w="80" w:type="dxa"/>
              <w:right w:w="80" w:type="dxa"/>
            </w:tcMar>
          </w:tcPr>
          <w:p>
            <w:pPr>
              <w:pStyle w:val="Compact"/>
              <w:spacing w:after="40"/>
              <w:jc w:val="left"/>
            </w:pPr>
            <w:r>
              <w:rPr>
                <w:rFonts w:ascii="Arial" w:hAnsi="Arial"/>
                <w:sz w:val="17"/>
              </w:rPr>
              <w:t xml:space="preserve">Newly inserted</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Absolute continuity</w:t>
            </w:r>
          </w:p>
        </w:tc>
        <w:tc>
          <w:tcPr>
            <w:tcMar>
              <w:top w:w="80" w:type="dxa"/>
              <w:left w:w="80" w:type="dxa"/>
              <w:bottom w:w="80" w:type="dxa"/>
              <w:right w:w="80" w:type="dxa"/>
            </w:tcMar>
          </w:tcPr>
          <w:p>
            <w:pPr>
              <w:pStyle w:val="Compact"/>
              <w:spacing w:after="40"/>
              <w:jc w:val="left"/>
            </w:pPr>
            <w:r>
              <w:rPr>
                <w:rFonts w:ascii="Arial" w:hAnsi="Arial"/>
                <w:sz w:val="17"/>
              </w:rPr>
              <w:t xml:space="preserve">Manuscript Proposition 1.2</w:t>
            </w:r>
          </w:p>
        </w:tc>
        <w:tc>
          <w:tcPr>
            <w:tcMar>
              <w:top w:w="80" w:type="dxa"/>
              <w:left w:w="80" w:type="dxa"/>
              <w:bottom w:w="80" w:type="dxa"/>
              <w:right w:w="80" w:type="dxa"/>
            </w:tcMar>
          </w:tcPr>
          <w:p>
            <w:pPr>
              <w:pStyle w:val="Compact"/>
              <w:spacing w:after="40"/>
              <w:jc w:val="left"/>
            </w:pPr>
            <w:r>
              <w:rPr>
                <w:rFonts w:ascii="Arial" w:hAnsi="Arial"/>
                <w:sz w:val="17"/>
              </w:rPr>
              <w:t xml:space="preserve">Repaired by all-typed domination</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Pointwise density representative</w:t>
            </w:r>
          </w:p>
        </w:tc>
        <w:tc>
          <w:tcPr>
            <w:tcMar>
              <w:top w:w="80" w:type="dxa"/>
              <w:left w:w="80" w:type="dxa"/>
              <w:bottom w:w="80" w:type="dxa"/>
              <w:right w:w="80" w:type="dxa"/>
            </w:tcMar>
          </w:tcPr>
          <w:p>
            <w:pPr>
              <w:pStyle w:val="Compact"/>
              <w:spacing w:after="40"/>
              <w:jc w:val="left"/>
            </w:pPr>
            <w:r>
              <w:rPr>
                <w:rFonts w:ascii="Arial" w:hAnsi="Arial"/>
                <w:sz w:val="17"/>
              </w:rPr>
              <w:t xml:space="preserve">After Proposition 1.2</w:t>
            </w:r>
          </w:p>
        </w:tc>
        <w:tc>
          <w:tcPr>
            <w:tcMar>
              <w:top w:w="80" w:type="dxa"/>
              <w:left w:w="80" w:type="dxa"/>
              <w:bottom w:w="80" w:type="dxa"/>
              <w:right w:w="80" w:type="dxa"/>
            </w:tcMar>
          </w:tcPr>
          <w:p>
            <w:pPr>
              <w:pStyle w:val="Compact"/>
              <w:spacing w:after="40"/>
              <w:jc w:val="left"/>
            </w:pPr>
            <w:r>
              <w:rPr>
                <w:rFonts w:ascii="Arial" w:hAnsi="Arial"/>
                <w:sz w:val="17"/>
              </w:rPr>
              <w:t xml:space="preserve">Explicitly fixed</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Ordered pair and no</w:t>
            </w:r>
            <w:r>
              <w:rPr>
                <w:rFonts w:ascii="Arial" w:hAnsi="Arial"/>
                <w:sz w:val="17"/>
              </w:rPr>
              <w:t xml:space="preserve"> </w:t>
            </w:r>
            <m:oMath>
              <m:r>
                <m:t>1</m:t>
              </m:r>
              <m:r>
                <m:rPr>
                  <m:sty m:val="p"/>
                </m:rPr>
                <m:t>/</m:t>
              </m:r>
              <m:r>
                <m:t>2</m:t>
              </m:r>
            </m:oMath>
          </w:p>
        </w:tc>
        <w:tc>
          <w:tcPr>
            <w:tcMar>
              <w:top w:w="80" w:type="dxa"/>
              <w:left w:w="80" w:type="dxa"/>
              <w:bottom w:w="80" w:type="dxa"/>
              <w:right w:w="80" w:type="dxa"/>
            </w:tcMar>
          </w:tcPr>
          <w:p>
            <w:pPr>
              <w:pStyle w:val="Compact"/>
              <w:spacing w:after="40"/>
              <w:jc w:val="left"/>
            </w:pPr>
            <w:r>
              <w:rPr>
                <w:rFonts w:ascii="Arial" w:hAnsi="Arial"/>
                <w:sz w:val="17"/>
              </w:rPr>
              <w:t xml:space="preserve">Manuscript Section 3.1; Appendix L</w:t>
            </w:r>
          </w:p>
        </w:tc>
        <w:tc>
          <w:tcPr>
            <w:tcMar>
              <w:top w:w="80" w:type="dxa"/>
              <w:left w:w="80" w:type="dxa"/>
              <w:bottom w:w="80" w:type="dxa"/>
              <w:right w:w="80" w:type="dxa"/>
            </w:tcMar>
          </w:tcPr>
          <w:p>
            <w:pPr>
              <w:pStyle w:val="Compact"/>
              <w:spacing w:after="40"/>
              <w:jc w:val="left"/>
            </w:pPr>
            <w:r>
              <w:rPr>
                <w:rFonts w:ascii="Arial" w:hAnsi="Arial"/>
                <w:sz w:val="17"/>
              </w:rPr>
              <w:t xml:space="preserve">Present</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Corrected-pin</w:t>
            </w:r>
            <w:r>
              <w:rPr>
                <w:rFonts w:ascii="Arial" w:hAnsi="Arial"/>
                <w:sz w:val="17"/>
              </w:rPr>
              <w:t xml:space="preserve"> </w:t>
            </w:r>
            <m:oMath>
              <m:sSup>
                <m:e>
                  <m:r>
                    <m:t>r</m:t>
                  </m:r>
                </m:e>
                <m:sup>
                  <m:r>
                    <m:rPr>
                      <m:sty m:val="p"/>
                    </m:rPr>
                    <m:t>−</m:t>
                  </m:r>
                  <m:r>
                    <m:t>6</m:t>
                  </m:r>
                </m:sup>
              </m:sSup>
            </m:oMath>
            <w:r>
              <w:rPr>
                <w:rFonts w:ascii="Arial" w:hAnsi="Arial"/>
                <w:sz w:val="17"/>
              </w:rPr>
              <w:t xml:space="preserve"> </w:t>
            </w:r>
            <w:r>
              <w:rPr>
                <w:rFonts w:ascii="Arial" w:hAnsi="Arial"/>
                <w:sz w:val="17"/>
              </w:rPr>
              <w:t xml:space="preserve">determinant</w:t>
            </w:r>
          </w:p>
        </w:tc>
        <w:tc>
          <w:tcPr>
            <w:tcMar>
              <w:top w:w="80" w:type="dxa"/>
              <w:left w:w="80" w:type="dxa"/>
              <w:bottom w:w="80" w:type="dxa"/>
              <w:right w:w="80" w:type="dxa"/>
            </w:tcMar>
          </w:tcPr>
          <w:p>
            <w:pPr>
              <w:pStyle w:val="Compact"/>
              <w:spacing w:after="40"/>
              <w:jc w:val="left"/>
            </w:pPr>
            <w:r>
              <w:rPr>
                <w:rFonts w:ascii="Arial" w:hAnsi="Arial"/>
                <w:sz w:val="17"/>
              </w:rPr>
              <w:t xml:space="preserve">Manuscript Section 3.2; Appendix A</w:t>
            </w:r>
          </w:p>
        </w:tc>
        <w:tc>
          <w:tcPr>
            <w:tcMar>
              <w:top w:w="80" w:type="dxa"/>
              <w:left w:w="80" w:type="dxa"/>
              <w:bottom w:w="80" w:type="dxa"/>
              <w:right w:w="80" w:type="dxa"/>
            </w:tcMar>
          </w:tcPr>
          <w:p>
            <w:pPr>
              <w:pStyle w:val="Compact"/>
              <w:spacing w:after="40"/>
              <w:jc w:val="left"/>
            </w:pPr>
            <w:r>
              <w:rPr>
                <w:rFonts w:ascii="Arial" w:hAnsi="Arial"/>
                <w:sz w:val="17"/>
              </w:rPr>
              <w:t xml:space="preserve">Block structure inserted</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Palm normalizer</w:t>
            </w:r>
            <w:r>
              <w:rPr>
                <w:rFonts w:ascii="Arial" w:hAnsi="Arial"/>
                <w:sz w:val="17"/>
              </w:rPr>
              <w:t xml:space="preserve"> </w:t>
            </w:r>
            <m:oMath>
              <m:sSub>
                <m:e>
                  <m:r>
                    <m:t>Z</m:t>
                  </m:r>
                </m:e>
                <m:sub>
                  <m:r>
                    <m:t>r</m:t>
                  </m:r>
                </m:sub>
              </m:sSub>
              <m:r>
                <m:rPr>
                  <m:sty m:val="p"/>
                </m:rPr>
                <m:t>≍</m:t>
              </m:r>
              <m:sSup>
                <m:e>
                  <m:r>
                    <m:t>r</m:t>
                  </m:r>
                </m:e>
                <m:sup>
                  <m:r>
                    <m:t>2</m:t>
                  </m:r>
                </m:sup>
              </m:sSup>
            </m:oMath>
          </w:p>
        </w:tc>
        <w:tc>
          <w:tcPr>
            <w:tcMar>
              <w:top w:w="80" w:type="dxa"/>
              <w:left w:w="80" w:type="dxa"/>
              <w:bottom w:w="80" w:type="dxa"/>
              <w:right w:w="80" w:type="dxa"/>
            </w:tcMar>
          </w:tcPr>
          <w:p>
            <w:pPr>
              <w:pStyle w:val="Compact"/>
              <w:spacing w:after="40"/>
              <w:jc w:val="left"/>
            </w:pPr>
            <w:r>
              <w:rPr>
                <w:rFonts w:ascii="Arial" w:hAnsi="Arial"/>
                <w:sz w:val="17"/>
              </w:rPr>
              <w:t xml:space="preserve">Manuscript Section 3.2</w:t>
            </w:r>
          </w:p>
        </w:tc>
        <w:tc>
          <w:tcPr>
            <w:tcMar>
              <w:top w:w="80" w:type="dxa"/>
              <w:left w:w="80" w:type="dxa"/>
              <w:bottom w:w="80" w:type="dxa"/>
              <w:right w:w="80" w:type="dxa"/>
            </w:tcMar>
          </w:tcPr>
          <w:p>
            <w:pPr>
              <w:pStyle w:val="Compact"/>
              <w:spacing w:after="40"/>
              <w:jc w:val="left"/>
            </w:pPr>
            <w:r>
              <w:rPr>
                <w:rFonts w:ascii="Arial" w:hAnsi="Arial"/>
                <w:sz w:val="17"/>
              </w:rPr>
              <w:t xml:space="preserve">Newly isolated</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Exact near pushforward</w:t>
            </w:r>
          </w:p>
        </w:tc>
        <w:tc>
          <w:tcPr>
            <w:tcMar>
              <w:top w:w="80" w:type="dxa"/>
              <w:left w:w="80" w:type="dxa"/>
              <w:bottom w:w="80" w:type="dxa"/>
              <w:right w:w="80" w:type="dxa"/>
            </w:tcMar>
          </w:tcPr>
          <w:p>
            <w:pPr>
              <w:pStyle w:val="Compact"/>
              <w:spacing w:after="40"/>
              <w:jc w:val="left"/>
            </w:pPr>
            <w:r>
              <w:rPr>
                <w:rFonts w:ascii="Arial" w:hAnsi="Arial"/>
                <w:sz w:val="17"/>
              </w:rPr>
              <w:t xml:space="preserve">Manuscript Lemma 3.3</w:t>
            </w:r>
          </w:p>
        </w:tc>
        <w:tc>
          <w:tcPr>
            <w:tcMar>
              <w:top w:w="80" w:type="dxa"/>
              <w:left w:w="80" w:type="dxa"/>
              <w:bottom w:w="80" w:type="dxa"/>
              <w:right w:w="80" w:type="dxa"/>
            </w:tcMar>
          </w:tcPr>
          <w:p>
            <w:pPr>
              <w:pStyle w:val="Compact"/>
              <w:spacing w:after="40"/>
              <w:jc w:val="left"/>
            </w:pPr>
            <w:r>
              <w:rPr>
                <w:rFonts w:ascii="Arial" w:hAnsi="Arial"/>
                <w:sz w:val="17"/>
              </w:rPr>
              <w:t xml:space="preserve">Newly inserted</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Uniform all-mark majorant</w:t>
            </w:r>
          </w:p>
        </w:tc>
        <w:tc>
          <w:tcPr>
            <w:tcMar>
              <w:top w:w="80" w:type="dxa"/>
              <w:left w:w="80" w:type="dxa"/>
              <w:bottom w:w="80" w:type="dxa"/>
              <w:right w:w="80" w:type="dxa"/>
            </w:tcMar>
          </w:tcPr>
          <w:p>
            <w:pPr>
              <w:pStyle w:val="Compact"/>
              <w:spacing w:after="40"/>
              <w:jc w:val="left"/>
            </w:pPr>
            <w:r>
              <w:rPr>
                <w:rFonts w:ascii="Arial" w:hAnsi="Arial"/>
                <w:sz w:val="17"/>
              </w:rPr>
              <w:t xml:space="preserve">Manuscript Lemma 3.5a</w:t>
            </w:r>
          </w:p>
        </w:tc>
        <w:tc>
          <w:tcPr>
            <w:tcMar>
              <w:top w:w="80" w:type="dxa"/>
              <w:left w:w="80" w:type="dxa"/>
              <w:bottom w:w="80" w:type="dxa"/>
              <w:right w:w="80" w:type="dxa"/>
            </w:tcMar>
          </w:tcPr>
          <w:p>
            <w:pPr>
              <w:pStyle w:val="Compact"/>
              <w:spacing w:after="40"/>
              <w:jc w:val="left"/>
            </w:pPr>
            <w:r>
              <w:rPr>
                <w:rFonts w:ascii="Arial" w:hAnsi="Arial"/>
                <w:sz w:val="17"/>
              </w:rPr>
              <w:t xml:space="preserve">Newly inserted</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Elder-failure topological exhaustion</w:t>
            </w:r>
          </w:p>
        </w:tc>
        <w:tc>
          <w:tcPr>
            <w:tcMar>
              <w:top w:w="80" w:type="dxa"/>
              <w:left w:w="80" w:type="dxa"/>
              <w:bottom w:w="80" w:type="dxa"/>
              <w:right w:w="80" w:type="dxa"/>
            </w:tcMar>
          </w:tcPr>
          <w:p>
            <w:pPr>
              <w:pStyle w:val="Compact"/>
              <w:spacing w:after="40"/>
              <w:jc w:val="left"/>
            </w:pPr>
            <w:r>
              <w:rPr>
                <w:rFonts w:ascii="Arial" w:hAnsi="Arial"/>
                <w:sz w:val="17"/>
              </w:rPr>
              <w:t xml:space="preserve">Manuscript Lemma 3.4a</w:t>
            </w:r>
          </w:p>
        </w:tc>
        <w:tc>
          <w:tcPr>
            <w:tcMar>
              <w:top w:w="80" w:type="dxa"/>
              <w:left w:w="80" w:type="dxa"/>
              <w:bottom w:w="80" w:type="dxa"/>
              <w:right w:w="80" w:type="dxa"/>
            </w:tcMar>
          </w:tcPr>
          <w:p>
            <w:pPr>
              <w:pStyle w:val="Compact"/>
              <w:spacing w:after="40"/>
              <w:jc w:val="left"/>
            </w:pPr>
            <w:r>
              <w:rPr>
                <w:rFonts w:ascii="Arial" w:hAnsi="Arial"/>
                <w:sz w:val="17"/>
              </w:rPr>
              <w:t xml:space="preserve">Proved in the manuscript; human check requested</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Elder-selection</w:t>
            </w:r>
            <w:r>
              <w:rPr>
                <w:rFonts w:ascii="Arial" w:hAnsi="Arial"/>
                <w:sz w:val="17"/>
              </w:rPr>
              <w:t xml:space="preserve"> </w:t>
            </w:r>
            <m:oMath>
              <m:r>
                <m:t>1</m:t>
              </m:r>
              <m:r>
                <m:rPr>
                  <m:sty m:val="p"/>
                </m:rPr>
                <m:t>−</m:t>
              </m:r>
              <m:sSub>
                <m:e>
                  <m:r>
                    <m:t>p</m:t>
                  </m:r>
                </m:e>
                <m:sub>
                  <m:r>
                    <m:t>r</m:t>
                  </m:r>
                </m:sub>
              </m:sSub>
              <m:r>
                <m:rPr>
                  <m:sty m:val="p"/>
                </m:rPr>
                <m:t>=</m:t>
              </m:r>
              <m:r>
                <m:t>O</m:t>
              </m:r>
              <m:d>
                <m:dPr>
                  <m:begChr m:val="("/>
                  <m:endChr m:val=")"/>
                  <m:sepChr m:val=""/>
                  <m:grow/>
                </m:dPr>
                <m:e>
                  <m:sSup>
                    <m:e>
                      <m:r>
                        <m:t>r</m:t>
                      </m:r>
                    </m:e>
                    <m:sup>
                      <m:r>
                        <m:t>3</m:t>
                      </m:r>
                    </m:sup>
                  </m:sSup>
                </m:e>
              </m:d>
            </m:oMath>
          </w:p>
        </w:tc>
        <w:tc>
          <w:tcPr>
            <w:tcMar>
              <w:top w:w="80" w:type="dxa"/>
              <w:left w:w="80" w:type="dxa"/>
              <w:bottom w:w="80" w:type="dxa"/>
              <w:right w:w="80" w:type="dxa"/>
            </w:tcMar>
          </w:tcPr>
          <w:p>
            <w:pPr>
              <w:pStyle w:val="Compact"/>
              <w:spacing w:after="40"/>
              <w:jc w:val="left"/>
            </w:pPr>
            <w:r>
              <w:rPr>
                <w:rFonts w:ascii="Arial" w:hAnsi="Arial"/>
                <w:sz w:val="17"/>
              </w:rPr>
              <w:t xml:space="preserve">Manuscript Proposition 3.4</w:t>
            </w:r>
          </w:p>
        </w:tc>
        <w:tc>
          <w:tcPr>
            <w:tcMar>
              <w:top w:w="80" w:type="dxa"/>
              <w:left w:w="80" w:type="dxa"/>
              <w:bottom w:w="80" w:type="dxa"/>
              <w:right w:w="80" w:type="dxa"/>
            </w:tcMar>
          </w:tcPr>
          <w:p>
            <w:pPr>
              <w:pStyle w:val="Compact"/>
              <w:spacing w:after="40"/>
              <w:jc w:val="left"/>
            </w:pPr>
            <w:r>
              <w:rPr>
                <w:rFonts w:ascii="Arial" w:hAnsi="Arial"/>
                <w:sz w:val="17"/>
              </w:rPr>
              <w:t xml:space="preserve">Open at the regional Palm bounds</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Genuine off-diagonal pairs</w:t>
            </w:r>
          </w:p>
        </w:tc>
        <w:tc>
          <w:tcPr>
            <w:tcMar>
              <w:top w:w="80" w:type="dxa"/>
              <w:left w:w="80" w:type="dxa"/>
              <w:bottom w:w="80" w:type="dxa"/>
              <w:right w:w="80" w:type="dxa"/>
            </w:tcMar>
          </w:tcPr>
          <w:p>
            <w:pPr>
              <w:pStyle w:val="Compact"/>
              <w:spacing w:after="40"/>
              <w:jc w:val="left"/>
            </w:pPr>
            <w:r>
              <w:rPr>
                <w:rFonts w:ascii="Arial" w:hAnsi="Arial"/>
                <w:sz w:val="17"/>
              </w:rPr>
              <w:t xml:space="preserve">Manuscript Lemma 3.5b</w:t>
            </w:r>
          </w:p>
        </w:tc>
        <w:tc>
          <w:tcPr>
            <w:tcMar>
              <w:top w:w="80" w:type="dxa"/>
              <w:left w:w="80" w:type="dxa"/>
              <w:bottom w:w="80" w:type="dxa"/>
              <w:right w:w="80" w:type="dxa"/>
            </w:tcMar>
          </w:tcPr>
          <w:p>
            <w:pPr>
              <w:pStyle w:val="Compact"/>
              <w:spacing w:after="40"/>
              <w:jc w:val="left"/>
            </w:pPr>
            <w:r>
              <w:rPr>
                <w:rFonts w:ascii="Arial" w:hAnsi="Arial"/>
                <w:sz w:val="17"/>
              </w:rPr>
              <w:t xml:space="preserve">Newly inserted</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Triple-contact envelope</w:t>
            </w:r>
          </w:p>
        </w:tc>
        <w:tc>
          <w:tcPr>
            <w:tcMar>
              <w:top w:w="80" w:type="dxa"/>
              <w:left w:w="80" w:type="dxa"/>
              <w:bottom w:w="80" w:type="dxa"/>
              <w:right w:w="80" w:type="dxa"/>
            </w:tcMar>
          </w:tcPr>
          <w:p>
            <w:pPr>
              <w:pStyle w:val="Compact"/>
              <w:spacing w:after="40"/>
              <w:jc w:val="left"/>
            </w:pPr>
            <w:r>
              <w:rPr>
                <w:rFonts w:ascii="Arial" w:hAnsi="Arial"/>
                <w:sz w:val="17"/>
              </w:rPr>
              <w:t xml:space="preserve">Appendix B, E, I; symbolic annex</w:t>
            </w:r>
          </w:p>
        </w:tc>
        <w:tc>
          <w:tcPr>
            <w:tcMar>
              <w:top w:w="80" w:type="dxa"/>
              <w:left w:w="80" w:type="dxa"/>
              <w:bottom w:w="80" w:type="dxa"/>
              <w:right w:w="80" w:type="dxa"/>
            </w:tcMar>
          </w:tcPr>
          <w:p>
            <w:pPr>
              <w:pStyle w:val="Compact"/>
              <w:spacing w:after="40"/>
              <w:jc w:val="left"/>
            </w:pPr>
            <w:r>
              <w:rPr>
                <w:rFonts w:ascii="Arial" w:hAnsi="Arial"/>
                <w:sz w:val="17"/>
              </w:rPr>
              <w:t xml:space="preserve">Incomplete</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Capture/escape</w:t>
            </w:r>
          </w:p>
        </w:tc>
        <w:tc>
          <w:tcPr>
            <w:tcMar>
              <w:top w:w="80" w:type="dxa"/>
              <w:left w:w="80" w:type="dxa"/>
              <w:bottom w:w="80" w:type="dxa"/>
              <w:right w:w="80" w:type="dxa"/>
            </w:tcMar>
          </w:tcPr>
          <w:p>
            <w:pPr>
              <w:pStyle w:val="Compact"/>
              <w:spacing w:after="40"/>
              <w:jc w:val="left"/>
            </w:pPr>
            <w:r>
              <w:rPr>
                <w:rFonts w:ascii="Arial" w:hAnsi="Arial"/>
                <w:sz w:val="17"/>
              </w:rPr>
              <w:t xml:space="preserve">Appendix J; Manuscript Lemma 3.4b</w:t>
            </w:r>
          </w:p>
        </w:tc>
        <w:tc>
          <w:tcPr>
            <w:tcMar>
              <w:top w:w="80" w:type="dxa"/>
              <w:left w:w="80" w:type="dxa"/>
              <w:bottom w:w="80" w:type="dxa"/>
              <w:right w:w="80" w:type="dxa"/>
            </w:tcMar>
          </w:tcPr>
          <w:p>
            <w:pPr>
              <w:pStyle w:val="Compact"/>
              <w:spacing w:after="40"/>
              <w:jc w:val="left"/>
            </w:pPr>
            <w:r>
              <w:rPr>
                <w:rFonts w:ascii="Arial" w:hAnsi="Arial"/>
                <w:sz w:val="17"/>
              </w:rPr>
              <w:t xml:space="preserve">Deterministic proof and probabilistic transfer present; independent checking requested</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GOE convention and coefficient</w:t>
            </w:r>
          </w:p>
        </w:tc>
        <w:tc>
          <w:tcPr>
            <w:tcMar>
              <w:top w:w="80" w:type="dxa"/>
              <w:left w:w="80" w:type="dxa"/>
              <w:bottom w:w="80" w:type="dxa"/>
              <w:right w:w="80" w:type="dxa"/>
            </w:tcMar>
          </w:tcPr>
          <w:p>
            <w:pPr>
              <w:pStyle w:val="Compact"/>
              <w:spacing w:after="40"/>
              <w:jc w:val="left"/>
            </w:pPr>
            <w:r>
              <w:rPr>
                <w:rFonts w:ascii="Arial" w:hAnsi="Arial"/>
                <w:sz w:val="17"/>
              </w:rPr>
              <w:t xml:space="preserve">Manuscript Sections 3.6–3.7</w:t>
            </w:r>
          </w:p>
        </w:tc>
        <w:tc>
          <w:tcPr>
            <w:tcMar>
              <w:top w:w="80" w:type="dxa"/>
              <w:left w:w="80" w:type="dxa"/>
              <w:bottom w:w="80" w:type="dxa"/>
              <w:right w:w="80" w:type="dxa"/>
            </w:tcMar>
          </w:tcPr>
          <w:p>
            <w:pPr>
              <w:pStyle w:val="Compact"/>
              <w:spacing w:after="40"/>
              <w:jc w:val="left"/>
            </w:pPr>
            <w:r>
              <w:rPr>
                <w:rFonts w:ascii="Arial" w:hAnsi="Arial"/>
                <w:sz w:val="17"/>
              </w:rPr>
              <w:t xml:space="preserve">Convention and full analytic calculation present</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Side-24 transfer and remainder</w:t>
            </w:r>
          </w:p>
        </w:tc>
        <w:tc>
          <w:tcPr>
            <w:tcMar>
              <w:top w:w="80" w:type="dxa"/>
              <w:left w:w="80" w:type="dxa"/>
              <w:bottom w:w="80" w:type="dxa"/>
              <w:right w:w="80" w:type="dxa"/>
            </w:tcMar>
          </w:tcPr>
          <w:p>
            <w:pPr>
              <w:pStyle w:val="Compact"/>
              <w:spacing w:after="40"/>
              <w:jc w:val="left"/>
            </w:pPr>
            <w:r>
              <w:rPr>
                <w:rFonts w:ascii="Arial" w:hAnsi="Arial"/>
                <w:sz w:val="17"/>
              </w:rPr>
              <w:t xml:space="preserve">Manuscript Section 3.8; Appendix D, E, G, H</w:t>
            </w:r>
          </w:p>
        </w:tc>
        <w:tc>
          <w:tcPr>
            <w:tcMar>
              <w:top w:w="80" w:type="dxa"/>
              <w:left w:w="80" w:type="dxa"/>
              <w:bottom w:w="80" w:type="dxa"/>
              <w:right w:w="80" w:type="dxa"/>
            </w:tcMar>
          </w:tcPr>
          <w:p>
            <w:pPr>
              <w:pStyle w:val="Compact"/>
              <w:spacing w:after="40"/>
              <w:jc w:val="left"/>
            </w:pPr>
            <w:r>
              <w:rPr>
                <w:rFonts w:ascii="Arial" w:hAnsi="Arial"/>
                <w:sz w:val="17"/>
              </w:rPr>
              <w:t xml:space="preserve">First variation derived and arithmetic corroborated; Module E finite-</w:t>
            </w:r>
            <m:oMath>
              <m:r>
                <m:t>r</m:t>
              </m:r>
            </m:oMath>
            <w:r>
              <w:rPr>
                <w:rFonts w:ascii="Arial" w:hAnsi="Arial"/>
                <w:sz w:val="17"/>
              </w:rPr>
              <w:t xml:space="preserve"> </w:t>
            </w:r>
            <w:r>
              <w:rPr>
                <w:rFonts w:ascii="Arial" w:hAnsi="Arial"/>
                <w:sz w:val="17"/>
              </w:rPr>
              <w:t xml:space="preserve">envelope open</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Fourier prefactor</w:t>
            </w:r>
          </w:p>
        </w:tc>
        <w:tc>
          <w:tcPr>
            <w:tcMar>
              <w:top w:w="80" w:type="dxa"/>
              <w:left w:w="80" w:type="dxa"/>
              <w:bottom w:w="80" w:type="dxa"/>
              <w:right w:w="80" w:type="dxa"/>
            </w:tcMar>
          </w:tcPr>
          <w:p>
            <w:pPr>
              <w:pStyle w:val="Compact"/>
              <w:spacing w:after="40"/>
              <w:jc w:val="left"/>
            </w:pPr>
            <w:r>
              <w:rPr>
                <w:rFonts w:ascii="Arial" w:hAnsi="Arial"/>
                <w:sz w:val="17"/>
              </w:rPr>
              <w:t xml:space="preserve">Appendix F</w:t>
            </w:r>
          </w:p>
        </w:tc>
        <w:tc>
          <w:tcPr>
            <w:tcMar>
              <w:top w:w="80" w:type="dxa"/>
              <w:left w:w="80" w:type="dxa"/>
              <w:bottom w:w="80" w:type="dxa"/>
              <w:right w:w="80" w:type="dxa"/>
            </w:tcMar>
          </w:tcPr>
          <w:p>
            <w:pPr>
              <w:pStyle w:val="Compact"/>
              <w:spacing w:after="40"/>
              <w:jc w:val="left"/>
            </w:pPr>
            <w:r>
              <w:rPr>
                <w:rFonts w:ascii="Arial" w:hAnsi="Arial"/>
                <w:sz w:val="17"/>
              </w:rPr>
              <w:t xml:space="preserve">Corrected</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Reproducible scripts</w:t>
            </w:r>
          </w:p>
        </w:tc>
        <w:tc>
          <w:tcPr>
            <w:tcMar>
              <w:top w:w="80" w:type="dxa"/>
              <w:left w:w="80" w:type="dxa"/>
              <w:bottom w:w="80" w:type="dxa"/>
              <w:right w:w="80" w:type="dxa"/>
            </w:tcMar>
          </w:tcPr>
          <w:p>
            <w:pPr>
              <w:pStyle w:val="Compact"/>
              <w:spacing w:after="40"/>
              <w:jc w:val="left"/>
            </w:pPr>
            <w:r>
              <w:rPr>
                <w:rFonts w:ascii="Arial" w:hAnsi="Arial"/>
                <w:sz w:val="17"/>
              </w:rPr>
              <w:t xml:space="preserve">Reproduction guide and execution evidence</w:t>
            </w:r>
          </w:p>
        </w:tc>
        <w:tc>
          <w:tcPr>
            <w:tcMar>
              <w:top w:w="80" w:type="dxa"/>
              <w:left w:w="80" w:type="dxa"/>
              <w:bottom w:w="80" w:type="dxa"/>
              <w:right w:w="80" w:type="dxa"/>
            </w:tcMar>
          </w:tcPr>
          <w:p>
            <w:pPr>
              <w:pStyle w:val="Compact"/>
              <w:spacing w:after="40"/>
              <w:jc w:val="left"/>
            </w:pPr>
            <w:r>
              <w:rPr>
                <w:rFonts w:ascii="Arial" w:hAnsi="Arial"/>
                <w:sz w:val="17"/>
              </w:rPr>
              <w:t xml:space="preserve">Clean run recorded; arithmetic only</w:t>
            </w:r>
          </w:p>
        </w:tc>
      </w:tr>
    </w:tbl>
    <w:bookmarkEnd w:id="42"/>
    <w:bookmarkStart w:id="43" w:name="X6a8e735c371dafc179bf96b13a9b1004e40c16d"/>
    <w:p>
      <w:pPr>
        <w:pStyle w:val="Heading1"/>
        <w:keepNext/>
      </w:pPr>
      <w:r>
        <w:t xml:space="preserve">8. Recommended interpretation by the professor</w:t>
      </w:r>
    </w:p>
    <w:p>
      <w:pPr>
        <w:pStyle w:val="FirstParagraph"/>
      </w:pPr>
      <w:r>
        <w:t xml:space="preserve">The strongest current result is the local analytic architecture: corrected colliding pins, two soft determinants, cubic height gap, exact lifetime pushforward, and the resulting all-typed</w:t>
      </w:r>
      <w:r>
        <w:t xml:space="preserve"> </w:t>
      </w:r>
      <m:oMath>
        <m:sSup>
          <m:e>
            <m:r>
              <m:rPr>
                <m:sty m:val="p"/>
              </m:rPr>
              <m:t>ℓ</m:t>
            </m:r>
          </m:e>
          <m:sup>
            <m:r>
              <m:rPr>
                <m:sty m:val="p"/>
              </m:rPr>
              <m:t>−</m:t>
            </m:r>
            <m:r>
              <m:t>1</m:t>
            </m:r>
            <m:r>
              <m:rPr>
                <m:sty m:val="p"/>
              </m:rPr>
              <m:t>/</m:t>
            </m:r>
            <m:r>
              <m:t>3</m:t>
            </m:r>
          </m:sup>
        </m:sSup>
      </m:oMath>
      <w:r>
        <w:t xml:space="preserve"> </w:t>
      </w:r>
      <w:r>
        <w:t xml:space="preserve">scale with an explicit candidate coefficient. The newly inserted measure-theoretic and off-diagonal arguments address several avoidable presentation gaps, subject to human verification.</w:t>
      </w:r>
    </w:p>
    <w:p>
      <w:pPr>
        <w:pStyle w:val="BodyText"/>
      </w:pPr>
      <w:r>
        <w:t xml:space="preserve">The project should not yet be endorsed as a proved persistence theorem. The decisive question is whether the new component/dynamics reduction is valid and whether Proposition 3.4 can be completed with uniform finite-</w:t>
      </w:r>
      <m:oMath>
        <m:r>
          <m:t>r</m:t>
        </m:r>
      </m:oMath>
      <w:r>
        <w:t xml:space="preserve"> </w:t>
      </w:r>
      <w:r>
        <w:t xml:space="preserve">collar and singular-near triple-contact bounds. A negative answer there would affect the selected persistence claim while leaving much of the all-typed critical-pair asymptotic intact.</w:t>
      </w:r>
    </w:p>
    <w:p>
      <w:pPr>
        <w:pStyle w:val="BodyText"/>
      </w:pPr>
      <w:r>
        <w:t xml:space="preserve">The most useful human report would therefore identify the earliest failure, if any, in this order:</w:t>
      </w:r>
    </w:p>
    <w:p>
      <w:pPr>
        <w:numPr>
          <w:ilvl w:val="0"/>
          <w:numId w:val="1003"/>
        </w:numPr>
        <w:pStyle w:val="Compact"/>
      </w:pPr>
      <w:r>
        <w:t xml:space="preserve">Borel elder mark and use of marked Kac–Rice;</w:t>
      </w:r>
    </w:p>
    <w:p>
      <w:pPr>
        <w:numPr>
          <w:ilvl w:val="0"/>
          <w:numId w:val="1003"/>
        </w:numPr>
        <w:pStyle w:val="Compact"/>
      </w:pPr>
      <w:r>
        <w:t xml:space="preserve">component-based selection exhaustion and the regional Palm union bound;</w:t>
      </w:r>
    </w:p>
    <w:p>
      <w:pPr>
        <w:numPr>
          <w:ilvl w:val="0"/>
          <w:numId w:val="1003"/>
        </w:numPr>
        <w:pStyle w:val="Compact"/>
      </w:pPr>
      <w:r>
        <w:t xml:space="preserve">triple-contact regional estimates;</w:t>
      </w:r>
    </w:p>
    <w:p>
      <w:pPr>
        <w:numPr>
          <w:ilvl w:val="0"/>
          <w:numId w:val="1003"/>
        </w:numPr>
        <w:pStyle w:val="Compact"/>
      </w:pPr>
      <w:r>
        <w:t xml:space="preserve">side-24 quantitative chart transfer;</w:t>
      </w:r>
    </w:p>
    <w:p>
      <w:pPr>
        <w:numPr>
          <w:ilvl w:val="0"/>
          <w:numId w:val="1003"/>
        </w:numPr>
        <w:pStyle w:val="Compact"/>
      </w:pPr>
      <w:r>
        <w:t xml:space="preserve">coefficient and literature checks.</w:t>
      </w:r>
    </w:p>
    <w:bookmarkEnd w:id="43"/>
    <w:bookmarkStart w:id="50" w:name="Xfb6103b09f781083b5ead8c36f263faf4bf8a56"/>
    <w:p>
      <w:pPr>
        <w:pStyle w:val="Heading1"/>
        <w:keepNext/>
      </w:pPr>
      <w:r>
        <w:t xml:space="preserve">9. Disposition of the DeepSeek proposed insertions</w:t>
      </w:r>
    </w:p>
    <w:p>
      <w:pPr>
        <w:pStyle w:val="FirstParagraph"/>
      </w:pPr>
      <w:r>
        <w:t xml:space="preserve">The later DeepSeek response supplied six blocks described as mathematical</w:t>
      </w:r>
      <w:r>
        <w:t xml:space="preserve"> </w:t>
      </w:r>
      <w:r>
        <w:t xml:space="preserve">solutions. Each was checked against the current manuscript, the exact Gaussian</w:t>
      </w:r>
      <w:r>
        <w:t xml:space="preserve"> </w:t>
      </w:r>
      <w:r>
        <w:t xml:space="preserve">conventions, and the packaged ledgers. They were not inserted verbatim.</w:t>
      </w:r>
    </w:p>
    <w:bookmarkStart w:id="44" w:name="X2032b654d59e6370cd3353a8129848774c50524"/>
    <w:p>
      <w:pPr>
        <w:pStyle w:val="Heading2"/>
        <w:keepNext/>
      </w:pPr>
      <w:r>
        <w:t xml:space="preserve">9.1 Proposed elder-selection trichotomy: repaired, not accepted verbatim</w:t>
      </w:r>
    </w:p>
    <w:p>
      <w:pPr>
        <w:pStyle w:val="FirstParagraph"/>
      </w:pPr>
      <w:r>
        <w:t xml:space="preserve">The proposed statement incorrectly said that the regional witness events are</w:t>
      </w:r>
      <w:r>
        <w:t xml:space="preserve"> </w:t>
      </w:r>
      <w:r>
        <w:t xml:space="preserve">mutually exclusive. Several third critical points can occur simultaneously,</w:t>
      </w:r>
      <w:r>
        <w:t xml:space="preserve"> </w:t>
      </w:r>
      <w:r>
        <w:t xml:space="preserve">and a self-attachment can coexist with unrelated witnesses. It also defined</w:t>
      </w:r>
      <w:r>
        <w:t xml:space="preserve"> </w:t>
      </w:r>
      <w:r>
        <w:t xml:space="preserve">self-attachment too narrowly through both flow branches ending at</w:t>
      </w:r>
      <w:r>
        <w:t xml:space="preserve"> </w:t>
      </w:r>
      <m:oMath>
        <m:r>
          <m:t>M</m:t>
        </m:r>
      </m:oMath>
      <w:r>
        <w:t xml:space="preserve">, used</w:t>
      </w:r>
      <w:r>
        <w:t xml:space="preserve"> </w:t>
      </w:r>
      <m:oMath>
        <m:sSup>
          <m:e>
            <m:r>
              <m:t>r</m:t>
            </m:r>
          </m:e>
          <m:sup>
            <m:r>
              <m:t>α</m:t>
            </m:r>
          </m:sup>
        </m:sSup>
      </m:oMath>
      <w:r>
        <w:t xml:space="preserve"> </w:t>
      </w:r>
      <w:r>
        <w:t xml:space="preserve">as a purported fixed-distance cutoff, and omitted adjacency</w:t>
      </w:r>
      <w:r>
        <w:t xml:space="preserve"> </w:t>
      </w:r>
      <w:r>
        <w:t xml:space="preserve">failure from the full event inclusion.</w:t>
      </w:r>
    </w:p>
    <w:p>
      <w:pPr>
        <w:pStyle w:val="BodyText"/>
      </w:pPr>
      <w:r>
        <w:t xml:space="preserve">The useful core was retained in corrected form as Lemma 3.4a. The current</w:t>
      </w:r>
      <w:r>
        <w:t xml:space="preserve"> </w:t>
      </w:r>
      <w:r>
        <w:t xml:space="preserve">lemma is component based, does not assume Morse–Smale flow, includes the case</w:t>
      </w:r>
      <w:r>
        <w:t xml:space="preserve"> </w:t>
      </w:r>
      <w:r>
        <w:t xml:space="preserve">where the other component has a younger representative maximum, uses a fixed</w:t>
      </w:r>
      <w:r>
        <w:t xml:space="preserve"> </w:t>
      </w:r>
      <w:r>
        <w:t xml:space="preserve">distance</w:t>
      </w:r>
      <w:r>
        <w:t xml:space="preserve"> </w:t>
      </w:r>
      <m:oMath>
        <m:sSub>
          <m:e>
            <m:r>
              <m:t>δ</m:t>
            </m:r>
          </m:e>
          <m:sub>
            <m:r>
              <m:t>0</m:t>
            </m:r>
          </m:sub>
        </m:sSub>
      </m:oMath>
      <w:r>
        <w:t xml:space="preserve">, and states a union inclusion rather than false mutual</w:t>
      </w:r>
      <w:r>
        <w:t xml:space="preserve"> </w:t>
      </w:r>
      <w:r>
        <w:t xml:space="preserve">exclusivity of witness events.</w:t>
      </w:r>
    </w:p>
    <w:bookmarkEnd w:id="44"/>
    <w:bookmarkStart w:id="45" w:name="Xd5c466ba06971982111fce224f7d85b99421d8e"/>
    <w:p>
      <w:pPr>
        <w:pStyle w:val="Heading2"/>
        <w:keepNext/>
      </w:pPr>
      <w:r>
        <w:t xml:space="preserve">9.2 Proposed off-diagonal lemma: accepted but already present</w:t>
      </w:r>
    </w:p>
    <w:p>
      <w:pPr>
        <w:pStyle w:val="FirstParagraph"/>
      </w:pPr>
      <w:r>
        <w:t xml:space="preserve">The Gaussian-regression proof of</w:t>
      </w:r>
      <w:r>
        <w:t xml:space="preserve"> </w:t>
      </w:r>
      <m:oMath>
        <m:sSub>
          <m:e>
            <m:r>
              <m:rPr>
                <m:sty m:val="p"/>
              </m:rPr>
              <m:t>sup</m:t>
            </m:r>
          </m:e>
          <m:sub>
            <m:r>
              <m:t>0</m:t>
            </m:r>
            <m:r>
              <m:rPr>
                <m:sty m:val="p"/>
              </m:rPr>
              <m:t>&lt;</m:t>
            </m:r>
            <m:r>
              <m:rPr>
                <m:sty m:val="p"/>
              </m:rPr>
              <m:t>ℓ</m:t>
            </m:r>
            <m:r>
              <m:rPr>
                <m:sty m:val="p"/>
              </m:rPr>
              <m:t>≤</m:t>
            </m:r>
            <m:sSub>
              <m:e>
                <m:r>
                  <m:rPr>
                    <m:sty m:val="p"/>
                  </m:rPr>
                  <m:t>ℓ</m:t>
                </m:r>
              </m:e>
              <m:sub>
                <m:r>
                  <m:t>0</m:t>
                </m:r>
              </m:sub>
            </m:sSub>
          </m:sub>
        </m:sSub>
        <m:sSubSup>
          <m:e>
            <m:r>
              <m:t>ν</m:t>
            </m:r>
          </m:e>
          <m:sub>
            <m:r>
              <m:t>ρ</m:t>
            </m:r>
          </m:sub>
          <m:sup>
            <m:r>
              <m:rPr>
                <m:sty m:val="p"/>
              </m:rPr>
              <m:t>f</m:t>
            </m:r>
            <m:r>
              <m:rPr>
                <m:sty m:val="p"/>
              </m:rPr>
              <m:t>a</m:t>
            </m:r>
            <m:r>
              <m:rPr>
                <m:sty m:val="p"/>
              </m:rPr>
              <m:t>r</m:t>
            </m:r>
          </m:sup>
        </m:sSubSup>
        <m:d>
          <m:dPr>
            <m:begChr m:val="("/>
            <m:endChr m:val=")"/>
            <m:sepChr m:val=""/>
            <m:grow/>
          </m:dPr>
          <m:e>
            <m:r>
              <m:rPr>
                <m:sty m:val="p"/>
              </m:rPr>
              <m:t>ℓ</m:t>
            </m:r>
          </m:e>
        </m:d>
        <m:r>
          <m:rPr>
            <m:sty m:val="p"/>
          </m:rPr>
          <m:t>&lt;</m:t>
        </m:r>
        <m:r>
          <m:rPr>
            <m:sty m:val="p"/>
          </m:rPr>
          <m:t>∞</m:t>
        </m:r>
      </m:oMath>
      <w:r>
        <w:t xml:space="preserve"> </w:t>
      </w:r>
      <w:r>
        <w:t xml:space="preserve">is correct. It is</w:t>
      </w:r>
      <w:r>
        <w:t xml:space="preserve"> </w:t>
      </w:r>
      <w:r>
        <w:t xml:space="preserve">already Manuscript Lemma 3.5b, with the endpoint type and elder marks and the</w:t>
      </w:r>
      <w:r>
        <w:t xml:space="preserve"> </w:t>
      </w:r>
      <w:r>
        <w:t xml:space="preserve">distinction between genuine far elder pairs and remote witnesses made explicit.</w:t>
      </w:r>
      <w:r>
        <w:t xml:space="preserve"> </w:t>
      </w:r>
      <w:r>
        <w:t xml:space="preserve">No duplicate lemma was added.</w:t>
      </w:r>
    </w:p>
    <w:bookmarkEnd w:id="45"/>
    <w:bookmarkStart w:id="46" w:name="X746c695ce225e4096881388a16ebc44a730a838"/>
    <w:p>
      <w:pPr>
        <w:pStyle w:val="Heading2"/>
        <w:keepNext/>
      </w:pPr>
      <w:r>
        <w:t xml:space="preserve">9.3 Proposed GOE integration: rejected; final constant independently derived</w:t>
      </w:r>
    </w:p>
    <w:p>
      <w:pPr>
        <w:pStyle w:val="FirstParagraph"/>
      </w:pPr>
      <w:r>
        <w:t xml:space="preserve">The response gives the correct target value</w:t>
      </w:r>
      <w:r>
        <w:t xml:space="preserve"> </w:t>
      </w:r>
      <m:oMath>
        <m:r>
          <m:t>29</m:t>
        </m:r>
        <m:r>
          <m:rPr>
            <m:sty m:val="p"/>
          </m:rPr>
          <m:t>/</m:t>
        </m:r>
        <m:r>
          <m:t>6</m:t>
        </m:r>
        <m:r>
          <m:rPr>
            <m:sty m:val="p"/>
          </m:rPr>
          <m:t>−</m:t>
        </m:r>
        <m:rad>
          <m:radPr>
            <m:degHide m:val="on"/>
          </m:radPr>
          <m:deg/>
          <m:e>
            <m:r>
              <m:t>6</m:t>
            </m:r>
          </m:e>
        </m:rad>
      </m:oMath>
      <w:r>
        <w:t xml:space="preserve">, but its displayed</w:t>
      </w:r>
      <w:r>
        <w:t xml:space="preserve"> </w:t>
      </w:r>
      <w:r>
        <w:t xml:space="preserve">integration is false. For</w:t>
      </w:r>
      <w:r>
        <w:t xml:space="preserve"> </w:t>
      </w:r>
      <m:oMath>
        <m:r>
          <m:t>M</m:t>
        </m:r>
        <m:r>
          <m:rPr>
            <m:sty m:val="p"/>
          </m:rPr>
          <m:t>=</m:t>
        </m:r>
        <m:r>
          <m:t>a</m:t>
        </m:r>
        <m:r>
          <m:t>c</m:t>
        </m:r>
        <m:r>
          <m:rPr>
            <m:sty m:val="p"/>
          </m:rPr>
          <m:t>&gt;</m:t>
        </m:r>
        <m:r>
          <m:t>0</m:t>
        </m:r>
      </m:oMath>
      <w:r>
        <w:t xml:space="preserve">, integrating the off-diagonal</w:t>
      </w:r>
      <w:r>
        <w:t xml:space="preserve"> </w:t>
      </w:r>
      <m:oMath>
        <m:r>
          <m:t>N</m:t>
        </m:r>
        <m:d>
          <m:dPr>
            <m:begChr m:val="("/>
            <m:endChr m:val=")"/>
            <m:sepChr m:val=""/>
            <m:grow/>
          </m:dPr>
          <m:e>
            <m:r>
              <m:t>0</m:t>
            </m:r>
            <m:r>
              <m:rPr>
                <m:sty m:val="p"/>
              </m:rPr>
              <m:t>,</m:t>
            </m:r>
            <m:r>
              <m:t>1</m:t>
            </m:r>
          </m:e>
        </m:d>
      </m:oMath>
      <w:r>
        <w:t xml:space="preserve"> </w:t>
      </w:r>
      <w:r>
        <w:t xml:space="preserve">entry requires</w:t>
      </w:r>
    </w:p>
    <w:p>
      <w:pPr>
        <w:pStyle w:val="BodyText"/>
      </w:pPr>
      <m:oMathPara>
        <m:oMathParaPr>
          <m:jc m:val="center"/>
        </m:oMathParaPr>
        <m:oMath>
          <m:f>
            <m:fPr>
              <m:type m:val="bar"/>
            </m:fPr>
            <m:num>
              <m:r>
                <m:t>2</m:t>
              </m:r>
            </m:num>
            <m:den>
              <m:rad>
                <m:radPr>
                  <m:degHide m:val="on"/>
                </m:radPr>
                <m:deg/>
                <m:e>
                  <m:r>
                    <m:t>2</m:t>
                  </m:r>
                  <m:r>
                    <m:t>π</m:t>
                  </m:r>
                </m:e>
              </m:rad>
            </m:den>
          </m:f>
          <m:nary>
            <m:naryPr>
              <m:chr m:val="∫"/>
              <m:limLoc m:val="subSup"/>
              <m:subHide m:val="off"/>
              <m:supHide m:val="off"/>
            </m:naryPr>
            <m:sub>
              <m:r>
                <m:t>0</m:t>
              </m:r>
            </m:sub>
            <m:sup>
              <m:rad>
                <m:radPr>
                  <m:degHide m:val="on"/>
                </m:radPr>
                <m:deg/>
                <m:e>
                  <m:r>
                    <m:t>M</m:t>
                  </m:r>
                </m:e>
              </m:rad>
            </m:sup>
            <m:e>
              <m:sSup>
                <m:e>
                  <m:d>
                    <m:dPr>
                      <m:begChr m:val="("/>
                      <m:endChr m:val=")"/>
                      <m:sepChr m:val=""/>
                      <m:grow/>
                    </m:dPr>
                    <m:e>
                      <m:r>
                        <m:t>M</m:t>
                      </m:r>
                      <m:r>
                        <m:rPr>
                          <m:sty m:val="p"/>
                        </m:rPr>
                        <m:t>−</m:t>
                      </m:r>
                      <m:sSup>
                        <m:e>
                          <m:r>
                            <m:t>y</m:t>
                          </m:r>
                        </m:e>
                        <m:sup>
                          <m:r>
                            <m:t>2</m:t>
                          </m:r>
                        </m:sup>
                      </m:sSup>
                    </m:e>
                  </m:d>
                </m:e>
                <m:sup>
                  <m:r>
                    <m:t>2</m:t>
                  </m:r>
                </m:sup>
              </m:sSup>
            </m:e>
          </m:nary>
          <m:sSup>
            <m:e>
              <m:r>
                <m:t>e</m:t>
              </m:r>
            </m:e>
            <m:sup>
              <m:r>
                <m:rPr>
                  <m:sty m:val="p"/>
                </m:rPr>
                <m:t>−</m:t>
              </m:r>
              <m:sSup>
                <m:e>
                  <m:r>
                    <m:t>y</m:t>
                  </m:r>
                </m:e>
                <m:sup>
                  <m:r>
                    <m:t>2</m:t>
                  </m:r>
                </m:sup>
              </m:sSup>
              <m:r>
                <m:rPr>
                  <m:sty m:val="p"/>
                </m:rPr>
                <m:t>/</m:t>
              </m:r>
              <m:r>
                <m:t>2</m:t>
              </m:r>
            </m:sup>
          </m:sSup>
          <m:r>
            <m:t> </m:t>
          </m:r>
          <m:r>
            <m:t>d</m:t>
          </m:r>
          <m:r>
            <m:t>y</m:t>
          </m:r>
          <m:r>
            <m:rPr>
              <m:sty m:val="p"/>
            </m:rPr>
            <m:t>,</m:t>
          </m:r>
        </m:oMath>
      </m:oMathPara>
    </w:p>
    <w:p>
      <w:pPr>
        <w:pStyle w:val="FirstParagraph"/>
      </w:pPr>
      <w:r>
        <w:t xml:space="preserve">not an integral to infinity, and the truncated Gaussian integral does not</w:t>
      </w:r>
      <w:r>
        <w:t xml:space="preserve"> </w:t>
      </w:r>
      <w:r>
        <w:t xml:space="preserve">collapse to the polynomial claimed in the response. The response also failed</w:t>
      </w:r>
      <w:r>
        <w:t xml:space="preserve"> </w:t>
      </w:r>
      <w:r>
        <w:t xml:space="preserve">to impose the trace condition correctly.</w:t>
      </w:r>
    </w:p>
    <w:p>
      <w:pPr>
        <w:pStyle w:val="BodyText"/>
      </w:pPr>
      <w:r>
        <w:t xml:space="preserve">Section 3.7 now contains a different exact proof: the trace coordinate is</w:t>
      </w:r>
      <w:r>
        <w:t xml:space="preserve"> </w:t>
      </w:r>
      <m:oMath>
        <m:r>
          <m:t>N</m:t>
        </m:r>
        <m:d>
          <m:dPr>
            <m:begChr m:val="("/>
            <m:endChr m:val=")"/>
            <m:sepChr m:val=""/>
            <m:grow/>
          </m:dPr>
          <m:e>
            <m:r>
              <m:t>0</m:t>
            </m:r>
            <m:r>
              <m:rPr>
                <m:sty m:val="p"/>
              </m:rPr>
              <m:t>,</m:t>
            </m:r>
            <m:r>
              <m:t>5</m:t>
            </m:r>
            <m:r>
              <m:rPr>
                <m:sty m:val="p"/>
              </m:rPr>
              <m:t>/</m:t>
            </m:r>
            <m:r>
              <m:t>3</m:t>
            </m:r>
          </m:e>
        </m:d>
      </m:oMath>
      <w:r>
        <w:t xml:space="preserve">, the traceless radius is independent Rayleigh, and direct</w:t>
      </w:r>
      <w:r>
        <w:t xml:space="preserve"> </w:t>
      </w:r>
      <w:r>
        <w:t xml:space="preserve">integration gives</w:t>
      </w:r>
      <w:r>
        <w:t xml:space="preserve"> </w:t>
      </w:r>
      <m:oMath>
        <m:sSub>
          <m:e>
            <m:r>
              <m:t>D</m:t>
            </m:r>
          </m:e>
          <m:sub>
            <m:r>
              <m:t>2</m:t>
            </m:r>
          </m:sub>
        </m:sSub>
        <m:r>
          <m:rPr>
            <m:sty m:val="p"/>
          </m:rPr>
          <m:t>=</m:t>
        </m:r>
        <m:r>
          <m:t>29</m:t>
        </m:r>
        <m:r>
          <m:rPr>
            <m:sty m:val="p"/>
          </m:rPr>
          <m:t>/</m:t>
        </m:r>
        <m:r>
          <m:t>6</m:t>
        </m:r>
        <m:r>
          <m:rPr>
            <m:sty m:val="p"/>
          </m:rPr>
          <m:t>−</m:t>
        </m:r>
        <m:rad>
          <m:radPr>
            <m:degHide m:val="on"/>
          </m:radPr>
          <m:deg/>
          <m:e>
            <m:r>
              <m:t>6</m:t>
            </m:r>
          </m:e>
        </m:rad>
      </m:oMath>
      <w:r>
        <w:t xml:space="preserve">.</w:t>
      </w:r>
    </w:p>
    <w:bookmarkEnd w:id="46"/>
    <w:bookmarkStart w:id="47" w:name="X390bf3f65585374ec99900a36cdd0e70053421c"/>
    <w:p>
      <w:pPr>
        <w:pStyle w:val="Heading2"/>
        <w:keepNext/>
      </w:pPr>
      <w:r>
        <w:t xml:space="preserve">9.4 Proposed triple-contact covariance derivation: partly correct, incomplete</w:t>
      </w:r>
    </w:p>
    <w:p>
      <w:pPr>
        <w:pStyle w:val="FirstParagraph"/>
      </w:pPr>
      <w:r>
        <w:t xml:space="preserve">The final Euclidean vanishing powers are correct, but the response incorrectly</w:t>
      </w:r>
      <w:r>
        <w:t xml:space="preserve"> </w:t>
      </w:r>
      <w:r>
        <w:t xml:space="preserve">states that the collar transverse covariance is</w:t>
      </w:r>
      <w:r>
        <w:t xml:space="preserve"> </w:t>
      </w:r>
      <m:oMath>
        <m:sSup>
          <m:e>
            <m:r>
              <m:t>ρ</m:t>
            </m:r>
          </m:e>
          <m:sup>
            <m:r>
              <m:t>2</m:t>
            </m:r>
          </m:sup>
        </m:sSup>
        <m:sSub>
          <m:e>
            <m:r>
              <m:t>I</m:t>
            </m:r>
          </m:e>
          <m:sub>
            <m:r>
              <m:t>2</m:t>
            </m:r>
          </m:sub>
        </m:sSub>
      </m:oMath>
      <w:r>
        <w:t xml:space="preserve">. The exact block</w:t>
      </w:r>
      <w:r>
        <w:t xml:space="preserve"> </w:t>
      </w:r>
      <w:r>
        <w:t xml:space="preserve">is</w:t>
      </w:r>
    </w:p>
    <w:p>
      <w:pPr>
        <w:pStyle w:val="BodyText"/>
      </w:pPr>
      <m:oMathPara>
        <m:oMathParaPr>
          <m:jc m:val="center"/>
        </m:oMathParaPr>
        <m:oMath>
          <m:sSup>
            <m:e>
              <m:r>
                <m:t>ρ</m:t>
              </m:r>
            </m:e>
            <m:sup>
              <m:r>
                <m:t>2</m:t>
              </m:r>
            </m:sup>
          </m:sSup>
          <m:sSub>
            <m:e>
              <m:r>
                <m:t>I</m:t>
              </m:r>
            </m:e>
            <m:sub>
              <m:r>
                <m:t>2</m:t>
              </m:r>
            </m:sub>
          </m:sSub>
          <m:r>
            <m:rPr>
              <m:sty m:val="p"/>
            </m:rPr>
            <m:t>+</m:t>
          </m:r>
          <m:r>
            <m:t>v</m:t>
          </m:r>
          <m:sSup>
            <m:e>
              <m:r>
                <m:t>v</m:t>
              </m:r>
            </m:e>
            <m:sup>
              <m:r>
                <m:rPr>
                  <m:sty m:val="p"/>
                </m:rPr>
                <m:t>⊤</m:t>
              </m:r>
            </m:sup>
          </m:sSup>
          <m:r>
            <m:rPr>
              <m:sty m:val="p"/>
            </m:rPr>
            <m:t>,</m:t>
          </m:r>
          <m:r>
            <m:t>  </m:t>
          </m:r>
          <m:r>
            <m:rPr>
              <m:sty m:val="p"/>
            </m:rPr>
            <m:t>det</m:t>
          </m:r>
          <m:d>
            <m:dPr>
              <m:begChr m:val="("/>
              <m:endChr m:val=")"/>
              <m:sepChr m:val=""/>
              <m:grow/>
            </m:dPr>
            <m:e>
              <m:sSup>
                <m:e>
                  <m:r>
                    <m:t>ρ</m:t>
                  </m:r>
                </m:e>
                <m:sup>
                  <m:r>
                    <m:t>2</m:t>
                  </m:r>
                </m:sup>
              </m:sSup>
              <m:sSub>
                <m:e>
                  <m:r>
                    <m:t>I</m:t>
                  </m:r>
                </m:e>
                <m:sub>
                  <m:r>
                    <m:t>2</m:t>
                  </m:r>
                </m:sub>
              </m:sSub>
              <m:r>
                <m:rPr>
                  <m:sty m:val="p"/>
                </m:rPr>
                <m:t>+</m:t>
              </m:r>
              <m:r>
                <m:t>v</m:t>
              </m:r>
              <m:sSup>
                <m:e>
                  <m:r>
                    <m:t>v</m:t>
                  </m:r>
                </m:e>
                <m:sup>
                  <m:r>
                    <m:rPr>
                      <m:sty m:val="p"/>
                    </m:rPr>
                    <m:t>⊤</m:t>
                  </m:r>
                </m:sup>
              </m:sSup>
            </m:e>
          </m:d>
          <m:r>
            <m:rPr>
              <m:sty m:val="p"/>
            </m:rPr>
            <m:t>=</m:t>
          </m:r>
          <m:r>
            <m:t>2</m:t>
          </m:r>
          <m:sSup>
            <m:e>
              <m:r>
                <m:t>ρ</m:t>
              </m:r>
            </m:e>
            <m:sup>
              <m:r>
                <m:t>4</m:t>
              </m:r>
            </m:sup>
          </m:sSup>
          <m:r>
            <m:rPr>
              <m:sty m:val="p"/>
            </m:rPr>
            <m:t>.</m:t>
          </m:r>
        </m:oMath>
      </m:oMathPara>
    </w:p>
    <w:p>
      <w:pPr>
        <w:pStyle w:val="FirstParagraph"/>
      </w:pPr>
      <w:r>
        <w:t xml:space="preserve">Together with the axial variance this gives</w:t>
      </w:r>
      <w:r>
        <w:t xml:space="preserve"> </w:t>
      </w:r>
      <m:oMath>
        <m:sSup>
          <m:e>
            <m:r>
              <m:t>ρ</m:t>
            </m:r>
          </m:e>
          <m:sup>
            <m:r>
              <m:t>6</m:t>
            </m:r>
          </m:sup>
        </m:sSup>
        <m:d>
          <m:dPr>
            <m:begChr m:val="("/>
            <m:endChr m:val=")"/>
            <m:sepChr m:val=""/>
            <m:grow/>
          </m:dPr>
          <m:e>
            <m:r>
              <m:t>4</m:t>
            </m:r>
            <m:sSup>
              <m:e>
                <m:r>
                  <m:t>X</m:t>
                </m:r>
              </m:e>
              <m:sup>
                <m:r>
                  <m:t>2</m:t>
                </m:r>
              </m:sup>
            </m:sSup>
            <m:r>
              <m:rPr>
                <m:sty m:val="p"/>
              </m:rPr>
              <m:t>+</m:t>
            </m:r>
            <m:sSup>
              <m:e>
                <m:r>
                  <m:t>ρ</m:t>
                </m:r>
              </m:e>
              <m:sup>
                <m:r>
                  <m:t>2</m:t>
                </m:r>
              </m:sup>
            </m:sSup>
          </m:e>
        </m:d>
      </m:oMath>
      <w:r>
        <w:t xml:space="preserve">. The singular-near determinant</w:t>
      </w:r>
      <w:r>
        <w:t xml:space="preserve"> </w:t>
      </w:r>
      <m:oMath>
        <m:sSup>
          <m:e>
            <m:r>
              <m:t>ρ</m:t>
            </m:r>
          </m:e>
          <m:sup>
            <m:r>
              <m:t>10</m:t>
            </m:r>
          </m:sup>
        </m:sSup>
        <m:d>
          <m:dPr>
            <m:begChr m:val="("/>
            <m:endChr m:val=")"/>
            <m:sepChr m:val=""/>
            <m:grow/>
          </m:dPr>
          <m:e>
            <m:r>
              <m:t>3</m:t>
            </m:r>
            <m:sSup>
              <m:e>
                <m:r>
                  <m:t>c</m:t>
                </m:r>
              </m:e>
              <m:sup>
                <m:r>
                  <m:t>2</m:t>
                </m:r>
              </m:sup>
            </m:sSup>
            <m:r>
              <m:rPr>
                <m:sty m:val="p"/>
              </m:rPr>
              <m:t>+</m:t>
            </m:r>
            <m:sSup>
              <m:e>
                <m:r>
                  <m:t>ρ</m:t>
                </m:r>
              </m:e>
              <m:sup>
                <m:r>
                  <m:t>2</m:t>
                </m:r>
              </m:sup>
            </m:sSup>
          </m:e>
        </m:d>
        <m:r>
          <m:rPr>
            <m:sty m:val="p"/>
          </m:rPr>
          <m:t>/</m:t>
        </m:r>
        <m:r>
          <m:t>24</m:t>
        </m:r>
      </m:oMath>
      <w:r>
        <w:t xml:space="preserve"> </w:t>
      </w:r>
      <w:r>
        <w:t xml:space="preserve">on the unit sphere is correct and is already</w:t>
      </w:r>
      <w:r>
        <w:t xml:space="preserve"> </w:t>
      </w:r>
      <w:r>
        <w:t xml:space="preserve">displayed in Appendix Module B.</w:t>
      </w:r>
    </w:p>
    <w:p>
      <w:pPr>
        <w:pStyle w:val="BodyText"/>
      </w:pPr>
      <w:r>
        <w:t xml:space="preserve">These contact covariance identities do not establish the triple-Hessian</w:t>
      </w:r>
      <w:r>
        <w:t xml:space="preserve"> </w:t>
      </w:r>
      <w:r>
        <w:t xml:space="preserve">numerator envelope, the complete angular integrations, finite-</w:t>
      </w:r>
      <m:oMath>
        <m:r>
          <m:t>r</m:t>
        </m:r>
      </m:oMath>
      <w:r>
        <w:t xml:space="preserve"> </w:t>
      </w:r>
      <w:r>
        <w:t xml:space="preserve">uniformity,</w:t>
      </w:r>
      <w:r>
        <w:t xml:space="preserve"> </w:t>
      </w:r>
      <w:r>
        <w:t xml:space="preserve">or the side-24 transfer. Proposition 3.4 therefore remains open.</w:t>
      </w:r>
    </w:p>
    <w:bookmarkEnd w:id="47"/>
    <w:bookmarkStart w:id="48" w:name="X144b34ba6e257568bda3e8c7ea80b8896bcaa03"/>
    <w:p>
      <w:pPr>
        <w:pStyle w:val="Heading2"/>
        <w:keepNext/>
      </w:pPr>
      <w:r>
        <w:t xml:space="preserve">9.5 Proposed finite-jet measurability proof: rejected</w:t>
      </w:r>
    </w:p>
    <w:p>
      <w:pPr>
        <w:pStyle w:val="FirstParagraph"/>
      </w:pPr>
      <w:r>
        <w:t xml:space="preserve">Global superlevel connectivity and elder pairing are not determined by a fixed</w:t>
      </w:r>
      <w:r>
        <w:t xml:space="preserve"> </w:t>
      </w:r>
      <w:r>
        <w:t xml:space="preserve">finite collection of jets at the critical points, and the random field is not</w:t>
      </w:r>
      <w:r>
        <w:t xml:space="preserve"> </w:t>
      </w:r>
      <w:r>
        <w:t xml:space="preserve">a fixed finite-dimensional semialgebraic family. Critical points can be labeled</w:t>
      </w:r>
      <w:r>
        <w:t xml:space="preserve"> </w:t>
      </w:r>
      <w:r>
        <w:t xml:space="preserve">continuously only locally in function space. The proposed reduction to finitely</w:t>
      </w:r>
      <w:r>
        <w:t xml:space="preserve"> </w:t>
      </w:r>
      <w:r>
        <w:t xml:space="preserve">many polynomial inequalities is therefore invalid.</w:t>
      </w:r>
    </w:p>
    <w:p>
      <w:pPr>
        <w:pStyle w:val="BodyText"/>
      </w:pPr>
      <w:r>
        <w:t xml:space="preserve">The countable-basis construction in Lemma 1.2a is retained. It expresses</w:t>
      </w:r>
      <w:r>
        <w:t xml:space="preserve"> </w:t>
      </w:r>
      <w:r>
        <w:t xml:space="preserve">superlevel connectivity by finite chains drawn from a countable basis and then</w:t>
      </w:r>
      <w:r>
        <w:t xml:space="preserve"> </w:t>
      </w:r>
      <w:r>
        <w:t xml:space="preserve">uses countably many rational level tests, which is the appropriate Borel</w:t>
      </w:r>
      <w:r>
        <w:t xml:space="preserve"> </w:t>
      </w:r>
      <w:r>
        <w:t xml:space="preserve">argument.</w:t>
      </w:r>
    </w:p>
    <w:bookmarkEnd w:id="48"/>
    <w:bookmarkStart w:id="49" w:name="X6f3cc4f012fa64780f1ccb6ee79307e37f0bdcd"/>
    <w:p>
      <w:pPr>
        <w:pStyle w:val="Heading2"/>
        <w:keepNext/>
      </w:pPr>
      <w:r>
        <w:t xml:space="preserve">9.6 Proposed energy-adapted dynamics: repaired substantially; global closure claim rejected</w:t>
      </w:r>
    </w:p>
    <w:p>
      <w:pPr>
        <w:pStyle w:val="FirstParagraph"/>
      </w:pPr>
      <w:r>
        <w:t xml:space="preserve">The cone and strip fractions agree with the current energy ledger. The response</w:t>
      </w:r>
      <w:r>
        <w:t xml:space="preserve"> </w:t>
      </w:r>
      <w:r>
        <w:t xml:space="preserve">nevertheless contains the literal error</w:t>
      </w:r>
      <w:r>
        <w:t xml:space="preserve"> </w:t>
      </w:r>
      <m:oMath>
        <m:r>
          <m:t>P</m:t>
        </m:r>
        <m:d>
          <m:dPr>
            <m:begChr m:val="("/>
            <m:endChr m:val=")"/>
            <m:sepChr m:val=""/>
            <m:grow/>
          </m:dPr>
          <m:e>
            <m:r>
              <m:t>M</m:t>
            </m:r>
          </m:e>
        </m:d>
        <m:r>
          <m:rPr>
            <m:sty m:val="p"/>
          </m:rPr>
          <m:t>=</m:t>
        </m:r>
        <m:r>
          <m:t>1</m:t>
        </m:r>
        <m:r>
          <m:rPr>
            <m:sty m:val="p"/>
          </m:rPr>
          <m:t>/</m:t>
        </m:r>
        <m:r>
          <m:t>4</m:t>
        </m:r>
      </m:oMath>
      <w:r>
        <w:t xml:space="preserve">; for the stated</w:t>
      </w:r>
      <w:r>
        <w:t xml:space="preserve"> </w:t>
      </w:r>
      <m:oMath>
        <m:sSub>
          <m:e>
            <m:r>
              <m:t>p</m:t>
            </m:r>
          </m:e>
          <m:sub>
            <m:r>
              <m:t>0</m:t>
            </m:r>
          </m:sub>
        </m:sSub>
      </m:oMath>
      <w:r>
        <w:t xml:space="preserve">,</w:t>
      </w:r>
      <w:r>
        <w:t xml:space="preserve"> </w:t>
      </w:r>
      <m:oMath>
        <m:r>
          <m:t>P</m:t>
        </m:r>
        <m:d>
          <m:dPr>
            <m:begChr m:val="("/>
            <m:endChr m:val=")"/>
            <m:sepChr m:val=""/>
            <m:grow/>
          </m:dPr>
          <m:e>
            <m:r>
              <m:t>M</m:t>
            </m:r>
          </m:e>
        </m:d>
        <m:r>
          <m:rPr>
            <m:sty m:val="p"/>
          </m:rPr>
          <m:t>=</m:t>
        </m:r>
        <m:r>
          <m:t>0</m:t>
        </m:r>
      </m:oMath>
      <w:r>
        <w:t xml:space="preserve">. The valid comparison is</w:t>
      </w:r>
    </w:p>
    <w:p>
      <w:pPr>
        <w:pStyle w:val="BodyText"/>
      </w:pPr>
      <m:oMathPara>
        <m:oMathParaPr>
          <m:jc m:val="center"/>
        </m:oMathParaPr>
        <m:oMath>
          <m:r>
            <m:t>P</m:t>
          </m:r>
          <m:d>
            <m:dPr>
              <m:begChr m:val="("/>
              <m:endChr m:val=")"/>
              <m:sepChr m:val=""/>
              <m:grow/>
            </m:dPr>
            <m:e>
              <m:r>
                <m:t>5</m:t>
              </m:r>
              <m:r>
                <m:rPr>
                  <m:sty m:val="p"/>
                </m:rPr>
                <m:t>/</m:t>
              </m:r>
              <m:r>
                <m:t>4</m:t>
              </m:r>
              <m:r>
                <m:rPr>
                  <m:sty m:val="p"/>
                </m:rPr>
                <m:t>,</m:t>
              </m:r>
              <m:r>
                <m:t>Y</m:t>
              </m:r>
            </m:e>
          </m:d>
          <m:r>
            <m:rPr>
              <m:sty m:val="p"/>
            </m:rPr>
            <m:t>&gt;</m:t>
          </m:r>
          <m:r>
            <m:t>65</m:t>
          </m:r>
          <m:r>
            <m:rPr>
              <m:sty m:val="p"/>
            </m:rPr>
            <m:t>/</m:t>
          </m:r>
          <m:r>
            <m:t>256</m:t>
          </m:r>
          <m:r>
            <m:rPr>
              <m:sty m:val="p"/>
            </m:rPr>
            <m:t>&gt;</m:t>
          </m:r>
          <m:r>
            <m:t>1</m:t>
          </m:r>
          <m:r>
            <m:rPr>
              <m:sty m:val="p"/>
            </m:rPr>
            <m:t>/</m:t>
          </m:r>
          <m:r>
            <m:t>4</m:t>
          </m:r>
          <m:r>
            <m:rPr>
              <m:sty m:val="p"/>
            </m:rPr>
            <m:t>&gt;</m:t>
          </m:r>
          <m:r>
            <m:t>0</m:t>
          </m:r>
          <m:r>
            <m:rPr>
              <m:sty m:val="p"/>
            </m:rPr>
            <m:t>=</m:t>
          </m:r>
          <m:r>
            <m:t>P</m:t>
          </m:r>
          <m:d>
            <m:dPr>
              <m:begChr m:val="("/>
              <m:endChr m:val=")"/>
              <m:sepChr m:val=""/>
              <m:grow/>
            </m:dPr>
            <m:e>
              <m:r>
                <m:t>M</m:t>
              </m:r>
            </m:e>
          </m:d>
          <m:r>
            <m:rPr>
              <m:sty m:val="p"/>
            </m:rPr>
            <m:t>.</m:t>
          </m:r>
        </m:oMath>
      </m:oMathPara>
    </w:p>
    <w:p>
      <w:pPr>
        <w:pStyle w:val="FirstParagraph"/>
      </w:pPr>
      <w:r>
        <w:t xml:space="preserve">Moreover, the proposed paragraph did not supply the inward tapered-tube proof</w:t>
      </w:r>
      <w:r>
        <w:t xml:space="preserve"> </w:t>
      </w:r>
      <w:r>
        <w:t xml:space="preserve">or the conditioned fifth-derivative and shallow-eigenvalue probability bounds.</w:t>
      </w:r>
    </w:p>
    <w:p>
      <w:pPr>
        <w:pStyle w:val="BodyText"/>
      </w:pPr>
      <w:r>
        <w:t xml:space="preserve">Appendix Module J now reproduces the inward flux and convergence proof and</w:t>
      </w:r>
      <w:r>
        <w:t xml:space="preserve"> </w:t>
      </w:r>
      <w:r>
        <w:t xml:space="preserve">combines it with the energy-adapted outward argument. Manuscript Lemma 3.4b</w:t>
      </w:r>
      <w:r>
        <w:t xml:space="preserve"> </w:t>
      </w:r>
      <w:r>
        <w:t xml:space="preserve">then supplies a separate determinant-weighted Palm argument for the shallow</w:t>
      </w:r>
      <w:r>
        <w:t xml:space="preserve"> </w:t>
      </w:r>
      <w:r>
        <w:t xml:space="preserve">eigenvalue, finite-jet, and fifth-derivative exceptional sets and states the</w:t>
      </w:r>
      <w:r>
        <w:t xml:space="preserve"> </w:t>
      </w:r>
      <w:r>
        <w:t xml:space="preserve">resulting component consequences. That proof is not present in the DeepSeek</w:t>
      </w:r>
      <w:r>
        <w:t xml:space="preserve"> </w:t>
      </w:r>
      <w:r>
        <w:t xml:space="preserve">block and must be checked independently. Even if it is correct, it does not</w:t>
      </w:r>
      <w:r>
        <w:t xml:space="preserve"> </w:t>
      </w:r>
      <w:r>
        <w:t xml:space="preserve">close the collar and singular-near triple-contact estimates required by the</w:t>
      </w:r>
      <w:r>
        <w:t xml:space="preserve"> </w:t>
      </w:r>
      <w:r>
        <w:t xml:space="preserve">full elder-selection proposition.</w:t>
      </w:r>
    </w:p>
    <w:p>
      <w:pPr>
        <w:pStyle w:val="BodyText"/>
      </w:pPr>
      <w:r>
        <w:rPr>
          <w:bCs/>
          <w:b/>
        </w:rPr>
        <w:t xml:space="preserve">Net effect.</w:t>
      </w:r>
      <w:r>
        <w:t xml:space="preserve"> </w:t>
      </w:r>
      <w:r>
        <w:t xml:space="preserve">DeepSeek’s response prompted the formal component-based failure</w:t>
      </w:r>
      <w:r>
        <w:t xml:space="preserve"> </w:t>
      </w:r>
      <w:r>
        <w:t xml:space="preserve">lemma, consolidation of the deterministic dynamics, a new Palm transfer</w:t>
      </w:r>
      <w:r>
        <w:t xml:space="preserve"> </w:t>
      </w:r>
      <w:r>
        <w:t xml:space="preserve">argument, and the full GOE derivation. Its own proposed proofs were not</w:t>
      </w:r>
      <w:r>
        <w:t xml:space="preserve"> </w:t>
      </w:r>
      <w:r>
        <w:t xml:space="preserve">accepted without correction, and its claim that all six blocks would make the</w:t>
      </w:r>
      <w:r>
        <w:t xml:space="preserve"> </w:t>
      </w:r>
      <w:r>
        <w:t xml:space="preserve">proof peer-review ready is not supported.</w:t>
      </w:r>
    </w:p>
    <w:bookmarkEnd w:id="49"/>
    <w:bookmarkEnd w:id="50"/>
    <w:sectPr>
      <w:pgMar w:bottom="1296"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Arial" w:cs="Arial" w:eastAsia="Arial" w:hAnsi="Arial"/>
      <w:color w:val="000000"/>
      <w:sz w:val="22"/>
    </w:rPr>
  </w:style>
  <w:style w:styleId="BodyText" w:type="paragraph">
    <w:name w:val="Body Text"/>
    <w:basedOn w:val="Normal"/>
    <w:link w:val="BodyTextChar"/>
    <w:pPr>
      <w:spacing w:after="160" w:before="0" w:line="276" w:lineRule="auto"/>
    </w:pPr>
    <w:qFormat/>
    <w:rPr>
      <w:rFonts w:ascii="Arial" w:cs="Arial" w:eastAsia="Arial" w:hAnsi="Arial"/>
      <w:color w:val="000000"/>
      <w:sz w:val="22"/>
    </w:rPr>
  </w:style>
  <w:style w:customStyle="1" w:styleId="FirstParagraph" w:type="paragraph">
    <w:name w:val="First Paragraph"/>
    <w:basedOn w:val="BodyText"/>
    <w:next w:val="BodyText"/>
    <w:qFormat/>
    <w:pPr>
      <w:spacing w:after="160" w:before="0" w:line="276" w:lineRule="auto"/>
    </w:pPr>
    <w:rPr>
      <w:rFonts w:ascii="Arial" w:cs="Arial" w:eastAsia="Arial" w:hAnsi="Arial"/>
      <w:color w:val="000000"/>
      <w:sz w:val="22"/>
    </w:rPr>
  </w:style>
  <w:style w:customStyle="1" w:styleId="Compact" w:type="paragraph">
    <w:name w:val="Compact"/>
    <w:basedOn w:val="BodyText"/>
    <w:qFormat/>
    <w:pPr>
      <w:spacing w:after="160" w:before="0" w:line="276" w:lineRule="auto"/>
    </w:pPr>
    <w:rPr>
      <w:rFonts w:ascii="Arial" w:cs="Arial" w:eastAsia="Arial" w:hAnsi="Arial"/>
      <w:color w:val="000000"/>
      <w:sz w:val="22"/>
    </w:rPr>
  </w:style>
  <w:style w:styleId="Title" w:type="paragraph">
    <w:name w:val="Title"/>
    <w:basedOn w:val="Normal"/>
    <w:next w:val="BodyText"/>
    <w:qFormat/>
    <w:pPr>
      <w:keepNext/>
      <w:keepLines/>
      <w:spacing w:after="60" w:before="0"/>
      <w:jc w:val="center"/>
    </w:pPr>
    <w:rPr>
      <w:rFonts w:ascii="Arial" w:asciiTheme="majorHAnsi" w:cs="Arial" w:cstheme="majorBidi" w:eastAsia="Arial" w:eastAsiaTheme="majorEastAsia" w:hAnsi="Arial" w:hAnsiTheme="majorHAnsi"/>
      <w:b w:val="0"/>
      <w:bCs/>
      <w:color w:val="000000"/>
      <w:sz w:val="52"/>
      <w:szCs w:val="36"/>
    </w:rPr>
  </w:style>
  <w:style w:styleId="Subtitle" w:type="paragraph">
    <w:name w:val="Subtitle"/>
    <w:basedOn w:val="Title"/>
    <w:next w:val="BodyText"/>
    <w:qFormat/>
    <w:pPr>
      <w:keepNext/>
      <w:keepLines/>
      <w:spacing w:after="100" w:before="0"/>
      <w:jc w:val="center"/>
    </w:pPr>
    <w:rPr>
      <w:rFonts w:ascii="Arial" w:cs="Arial" w:eastAsia="Arial" w:hAnsi="Arial"/>
      <w:b w:val="0"/>
      <w:color w:val="5F6368"/>
      <w:sz w:val="28"/>
      <w:szCs w:val="30"/>
    </w:rPr>
  </w:style>
  <w:style w:customStyle="1" w:styleId="Author" w:type="paragraph">
    <w:name w:val="Author"/>
    <w:next w:val="BodyText"/>
    <w:qFormat/>
    <w:pPr>
      <w:keepNext/>
      <w:keepLines/>
      <w:spacing w:after="60" w:before="0"/>
      <w:jc w:val="center"/>
    </w:pPr>
    <w:rPr>
      <w:rFonts w:ascii="Arial" w:cs="Arial" w:eastAsia="Arial" w:hAnsi="Arial"/>
      <w:b w:val="0"/>
      <w:color w:val="5F6368"/>
      <w:sz w:val="22"/>
    </w:rPr>
  </w:style>
  <w:style w:styleId="Date" w:type="paragraph">
    <w:name w:val="Date"/>
    <w:next w:val="BodyText"/>
    <w:qFormat/>
    <w:pPr>
      <w:keepNext/>
      <w:keepLines/>
      <w:spacing w:after="60" w:before="0"/>
      <w:jc w:val="center"/>
    </w:pPr>
    <w:rPr>
      <w:rFonts w:ascii="Arial" w:cs="Arial" w:eastAsia="Arial" w:hAnsi="Arial"/>
      <w:b w:val="0"/>
      <w:color w:val="5F6368"/>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0" w:line="276" w:lineRule="auto"/>
      <w:ind w:firstLine="0" w:left="480" w:right="480"/>
    </w:pPr>
    <w:rPr>
      <w:rFonts w:ascii="Arial" w:cs="Arial" w:eastAsia="Arial" w:hAnsi="Arial"/>
      <w:color w:val="00000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000000"/>
      <w:sz w:val="18"/>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80"/>
    </w:pPr>
    <w:rPr>
      <w:rFonts w:ascii="Arial" w:cs="Arial" w:eastAsia="Arial" w:hAnsi="Arial"/>
      <w:b w:val="0"/>
      <w:color w:val="5F6368"/>
      <w:sz w:val="19"/>
    </w:rPr>
  </w:style>
  <w:style w:customStyle="1" w:styleId="ImageCaption" w:type="paragraph">
    <w:name w:val="Image Caption"/>
    <w:basedOn w:val="Caption"/>
    <w:pPr>
      <w:spacing w:after="120" w:before="80"/>
    </w:pPr>
    <w:rPr>
      <w:rFonts w:ascii="Arial" w:cs="Arial" w:eastAsia="Arial" w:hAnsi="Arial"/>
      <w:b w:val="0"/>
      <w:color w:val="5F6368"/>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color w:val="202124"/>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9" Type="http://schemas.openxmlformats.org/officeDocument/2006/relationships/hyperlink" Target="https://arxiv.org/abs/1711.05012" TargetMode="External"/><Relationship Id="rId38" Type="http://schemas.openxmlformats.org/officeDocument/2006/relationships/hyperlink" Target="https://arxiv.org/abs/1802.10457" TargetMode="External"/><Relationship Id="rId40" Type="http://schemas.openxmlformats.org/officeDocument/2006/relationships/hyperlink" Target="https://arxiv.org/abs/2305.17586"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arxiv.org/abs/1711.05012" TargetMode="External"/><Relationship Id="rId38" Type="http://schemas.openxmlformats.org/officeDocument/2006/relationships/hyperlink" Target="https://arxiv.org/abs/1802.10457" TargetMode="External"/><Relationship Id="rId40" Type="http://schemas.openxmlformats.org/officeDocument/2006/relationships/hyperlink" Target="https://arxiv.org/abs/2305.175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Disposition of preliminary AI reviews and revision record</dc:title>
  <dc:creator>Dylan Roy</dc:creator>
  <dc:language>en-US</dc:language>
  <cp:keywords/>
  <dcterms:created xsi:type="dcterms:W3CDTF">2026-07-31T18:53:28Z</dcterms:created>
  <dcterms:modified xsi:type="dcterms:W3CDTF">2026-07-31T18:53:28Z</dcterms:modified>
  <dc:subject>Confidential pre-submission technical review</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Side-24 pre-peer-review revision: 31 July 2026</vt:lpwstr>
  </property>
</Properties>
</file>