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0" w:after="60"/>
      </w:pPr>
      <w:r>
        <w:rPr>
          <w:rFonts w:ascii="Arial" w:hAnsi="Arial"/>
          <w:b w:val="0"/>
          <w:color w:val="000000"/>
          <w:sz w:val="52"/>
          <w:u w:val="none"/>
        </w:rPr>
        <w:t xml:space="preserve">Reproduction</w:t>
      </w:r>
      <w:r>
        <w:rPr>
          <w:rFonts w:ascii="Arial" w:hAnsi="Arial"/>
          <w:b w:val="0"/>
          <w:color w:val="000000"/>
          <w:sz w:val="52"/>
          <w:u w:val="none"/>
        </w:rPr>
        <w:t xml:space="preserve"> </w:t>
      </w:r>
      <w:r>
        <w:rPr>
          <w:rFonts w:ascii="Arial" w:hAnsi="Arial"/>
          <w:b w:val="0"/>
          <w:color w:val="000000"/>
          <w:sz w:val="52"/>
          <w:u w:val="none"/>
        </w:rPr>
        <w:t xml:space="preserve">guide:</w:t>
      </w:r>
      <w:r>
        <w:rPr>
          <w:rFonts w:ascii="Arial" w:hAnsi="Arial"/>
          <w:b w:val="0"/>
          <w:color w:val="000000"/>
          <w:sz w:val="52"/>
          <w:u w:val="none"/>
        </w:rPr>
        <w:t xml:space="preserve"> </w:t>
      </w:r>
      <w:r>
        <w:rPr>
          <w:rFonts w:ascii="Arial" w:hAnsi="Arial"/>
          <w:b w:val="0"/>
          <w:color w:val="000000"/>
          <w:sz w:val="52"/>
          <w:u w:val="none"/>
        </w:rPr>
        <w:t xml:space="preserve">exact</w:t>
      </w:r>
      <w:r>
        <w:rPr>
          <w:rFonts w:ascii="Arial" w:hAnsi="Arial"/>
          <w:b w:val="0"/>
          <w:color w:val="000000"/>
          <w:sz w:val="52"/>
          <w:u w:val="none"/>
        </w:rPr>
        <w:t xml:space="preserve"> </w:t>
      </w:r>
      <w:r>
        <w:rPr>
          <w:rFonts w:ascii="Arial" w:hAnsi="Arial"/>
          <w:b w:val="0"/>
          <w:color w:val="000000"/>
          <w:sz w:val="52"/>
          <w:u w:val="none"/>
        </w:rPr>
        <w:t xml:space="preserve">symbolic,</w:t>
      </w:r>
      <w:r>
        <w:rPr>
          <w:rFonts w:ascii="Arial" w:hAnsi="Arial"/>
          <w:b w:val="0"/>
          <w:color w:val="000000"/>
          <w:sz w:val="52"/>
          <w:u w:val="none"/>
        </w:rPr>
        <w:t xml:space="preserve"> </w:t>
      </w:r>
      <w:r>
        <w:rPr>
          <w:rFonts w:ascii="Arial" w:hAnsi="Arial"/>
          <w:b w:val="0"/>
          <w:color w:val="000000"/>
          <w:sz w:val="52"/>
          <w:u w:val="none"/>
        </w:rPr>
        <w:t xml:space="preserve">rational,</w:t>
      </w:r>
      <w:r>
        <w:rPr>
          <w:rFonts w:ascii="Arial" w:hAnsi="Arial"/>
          <w:b w:val="0"/>
          <w:color w:val="000000"/>
          <w:sz w:val="52"/>
          <w:u w:val="none"/>
        </w:rPr>
        <w:t xml:space="preserve"> </w:t>
      </w:r>
      <w:r>
        <w:rPr>
          <w:rFonts w:ascii="Arial" w:hAnsi="Arial"/>
          <w:b w:val="0"/>
          <w:color w:val="000000"/>
          <w:sz w:val="52"/>
          <w:u w:val="none"/>
        </w:rPr>
        <w:t xml:space="preserve">and</w:t>
      </w:r>
      <w:r>
        <w:rPr>
          <w:rFonts w:ascii="Arial" w:hAnsi="Arial"/>
          <w:b w:val="0"/>
          <w:color w:val="000000"/>
          <w:sz w:val="52"/>
          <w:u w:val="none"/>
        </w:rPr>
        <w:t xml:space="preserve"> </w:t>
      </w:r>
      <w:r>
        <w:rPr>
          <w:rFonts w:ascii="Arial" w:hAnsi="Arial"/>
          <w:b w:val="0"/>
          <w:color w:val="000000"/>
          <w:sz w:val="52"/>
          <w:u w:val="none"/>
        </w:rPr>
        <w:t xml:space="preserve">high-precision</w:t>
      </w:r>
      <w:r>
        <w:rPr>
          <w:rFonts w:ascii="Arial" w:hAnsi="Arial"/>
          <w:b w:val="0"/>
          <w:color w:val="000000"/>
          <w:sz w:val="52"/>
          <w:u w:val="none"/>
        </w:rPr>
        <w:t xml:space="preserve"> </w:t>
      </w:r>
      <w:r>
        <w:rPr>
          <w:rFonts w:ascii="Arial" w:hAnsi="Arial"/>
          <w:b w:val="0"/>
          <w:color w:val="000000"/>
          <w:sz w:val="52"/>
          <w:u w:val="none"/>
        </w:rPr>
        <w:t xml:space="preserve">checks</w:t>
      </w:r>
    </w:p>
    <w:p>
      <w:pPr>
        <w:pStyle w:val="Author"/>
      </w:pPr>
      <w:r>
        <w:t xml:space="preserve">Dylan</w:t>
      </w:r>
      <w:r>
        <w:t xml:space="preserve"> </w:t>
      </w:r>
      <w:r>
        <w:t xml:space="preserve">Roy</w:t>
      </w:r>
    </w:p>
    <w:p>
      <w:pPr>
        <w:pStyle w:val="Date"/>
      </w:pPr>
      <w:r>
        <w:t xml:space="preserve">Side-24</w:t>
      </w:r>
      <w:r>
        <w:t xml:space="preserve"> </w:t>
      </w:r>
      <w:r>
        <w:t xml:space="preserve">review</w:t>
      </w:r>
      <w:r>
        <w:t xml:space="preserve"> </w:t>
      </w:r>
      <w:r>
        <w:t xml:space="preserve">snapshot:</w:t>
      </w:r>
      <w:r>
        <w:t xml:space="preserve"> </w:t>
      </w:r>
      <w:r>
        <w:t xml:space="preserve">31</w:t>
      </w:r>
      <w:r>
        <w:t xml:space="preserve"> </w:t>
      </w:r>
      <w:r>
        <w:t xml:space="preserve">July</w:t>
      </w:r>
      <w:r>
        <w:t xml:space="preserve"> </w:t>
      </w:r>
      <w:r>
        <w:t xml:space="preserve">2026</w:t>
      </w:r>
    </w:p>
    <w:bookmarkStart w:id="20" w:name="purpose-and-limits"/>
    <w:p>
      <w:pPr>
        <w:pStyle w:val="Heading1"/>
        <w:keepNext/>
      </w:pPr>
      <w:r>
        <w:t xml:space="preserve">1. Purpose and limits</w:t>
      </w:r>
    </w:p>
    <w:p>
      <w:pPr>
        <w:pStyle w:val="FirstParagraph"/>
      </w:pPr>
      <w:r>
        <w:t xml:space="preserve">This guide explains how to run the computational ledgers bundled with the side-24 pre-peer-review package. The files were derived from baseline computational bodies in Google Drive and placed in ordinary executable form so that no Drive access is required. Review modifications—including normalized success markers and the repaired coefficient-bound output—are disclosed here and in the manifest.</w:t>
      </w:r>
    </w:p>
    <w:p>
      <w:pPr>
        <w:pStyle w:val="BodyText"/>
      </w:pPr>
      <w:r>
        <w:t xml:space="preserve">The scripts check exact algebra, rational inequalities, covariance determinants, symbolic integral simplifications, and high-precision numerical cross-checks. They do not prove that the mathematical models encoded in the scripts are the correct models. In particular, they do not certify the component-based elder-failure lemma, the regional determinant-weighted Palm estimates, the applicability of marked Kac–Rice, the smoothness of the coefficient functional, or the probabilistic transfer of the deterministic capture/escape argument.</w:t>
      </w:r>
    </w:p>
    <w:p>
      <w:pPr>
        <w:pStyle w:val="BodyText"/>
      </w:pPr>
      <w:r>
        <w:t xml:space="preserve">A printed line</w:t>
      </w:r>
      <w:r>
        <w:t xml:space="preserve"> </w:t>
      </w:r>
      <w:r>
        <w:rPr>
          <w:rStyle w:val="VerbatimChar"/>
        </w:rPr>
        <w:t xml:space="preserve">ALL_ASSERTIONS_PASS</w:t>
      </w:r>
      <w:r>
        <w:t xml:space="preserve"> </w:t>
      </w:r>
      <w:r>
        <w:t xml:space="preserve">means only that every assertion in that script passed when executed with</w:t>
      </w:r>
      <w:r>
        <w:t xml:space="preserve"> </w:t>
      </w:r>
      <w:r>
        <w:rPr>
          <w:rStyle w:val="VerbatimChar"/>
        </w:rPr>
        <w:t xml:space="preserve">sys.flags.optimize == 0</w:t>
      </w:r>
      <w:r>
        <w:t xml:space="preserve"> </w:t>
      </w:r>
      <w:r>
        <w:t xml:space="preserve">under the interpreter and dependencies used. Never treat a direct</w:t>
      </w:r>
      <w:r>
        <w:t xml:space="preserve"> </w:t>
      </w:r>
      <w:r>
        <w:rPr>
          <w:rStyle w:val="VerbatimChar"/>
        </w:rPr>
        <w:t xml:space="preserve">python -O</w:t>
      </w:r>
      <w:r>
        <w:t xml:space="preserve"> </w:t>
      </w:r>
      <w:r>
        <w:t xml:space="preserve">run as valid verification; optimized Python disables the assertions used by these ledgers.</w:t>
      </w:r>
    </w:p>
    <w:bookmarkEnd w:id="20"/>
    <w:bookmarkStart w:id="21" w:name="directory-contents"/>
    <w:p>
      <w:pPr>
        <w:pStyle w:val="Heading1"/>
        <w:keepNext/>
      </w:pPr>
      <w:r>
        <w:t xml:space="preserve">2. Directory contents</w:t>
      </w:r>
    </w:p>
    <w:p>
      <w:pPr>
        <w:pStyle w:val="FirstParagraph"/>
      </w:pPr>
      <w:r>
        <w:t xml:space="preserve">The required verification annex contains fourteen source/result pairs.</w:t>
      </w:r>
    </w:p>
    <w:tbl>
      <w:tblPr>
        <w:tblStyle w:val="Table"/>
        <w:tblW w:type="pct" w:w="5000"/>
        <w:tblLayout w:type="autofit"/>
        <w:tblLook w:firstRow="1" w:lastRow="0" w:firstColumn="0" w:lastColumn="0" w:noHBand="0" w:noVBand="0" w:val="0020"/>
        <w:jc w:val="start"/>
      </w:tblPr>
      <w:tblGrid>
        <w:gridCol w:w="2640"/>
        <w:gridCol w:w="2640"/>
        <w:gridCol w:w="2640"/>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Local package source</w:t>
            </w:r>
          </w:p>
        </w:tc>
        <w:tc>
          <w:tcPr>
            <w:tcMar>
              <w:top w:w="80" w:type="dxa"/>
              <w:left w:w="80" w:type="dxa"/>
              <w:bottom w:w="80" w:type="dxa"/>
              <w:right w:w="80" w:type="dxa"/>
            </w:tcMar>
          </w:tcPr>
          <w:p>
            <w:pPr>
              <w:pStyle w:val="Compact"/>
              <w:spacing w:after="40"/>
              <w:jc w:val="left"/>
            </w:pPr>
            <w:r>
              <w:rPr>
                <w:rFonts w:ascii="Arial" w:hAnsi="Arial"/>
                <w:b/>
                <w:sz w:val="17"/>
              </w:rPr>
              <w:t xml:space="preserve">Baseline Drive progenitor ID</w:t>
            </w:r>
          </w:p>
        </w:tc>
        <w:tc>
          <w:tcPr>
            <w:tcMar>
              <w:top w:w="80" w:type="dxa"/>
              <w:left w:w="80" w:type="dxa"/>
              <w:bottom w:w="80" w:type="dxa"/>
              <w:right w:w="80" w:type="dxa"/>
            </w:tcMar>
          </w:tcPr>
          <w:p>
            <w:pPr>
              <w:pStyle w:val="Compact"/>
              <w:spacing w:after="40"/>
              <w:jc w:val="left"/>
            </w:pPr>
            <w:r>
              <w:rPr>
                <w:rFonts w:ascii="Arial" w:hAnsi="Arial"/>
                <w:b/>
                <w:sz w:val="17"/>
              </w:rPr>
              <w:t xml:space="preserve">Mathematical role</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triple_hessian_elimination_v1_0.py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1ou3ve0WUbkoiXcfgbfG_wNbMI5Xe7sO2d5oxEPirsJU</w:t>
            </w:r>
          </w:p>
        </w:tc>
        <w:tc>
          <w:tcPr>
            <w:tcMar>
              <w:top w:w="80" w:type="dxa"/>
              <w:left w:w="80" w:type="dxa"/>
              <w:bottom w:w="80" w:type="dxa"/>
              <w:right w:w="80" w:type="dxa"/>
            </w:tcMar>
          </w:tcPr>
          <w:p>
            <w:pPr>
              <w:pStyle w:val="Compact"/>
              <w:spacing w:after="40"/>
              <w:jc w:val="left"/>
            </w:pPr>
            <w:r>
              <w:rPr>
                <w:rFonts w:ascii="Arial" w:hAnsi="Arial"/>
                <w:sz w:val="17"/>
              </w:rPr>
              <w:t xml:space="preserve">Exact endpoint and density-frame elimination; exposes the</w:t>
            </w:r>
            <w:r>
              <w:rPr>
                <w:rFonts w:ascii="Arial" w:hAnsi="Arial"/>
                <w:sz w:val="17"/>
              </w:rPr>
              <w:t xml:space="preserve"> </w:t>
            </w:r>
            <m:oMath>
              <m:sSup>
                <m:e>
                  <m:r>
                    <m:t>κ</m:t>
                  </m:r>
                </m:e>
                <m:sup>
                  <m:r>
                    <m:t>6</m:t>
                  </m:r>
                </m:sup>
              </m:sSup>
              <m:sSup>
                <m:e>
                  <m:r>
                    <m:t>η</m:t>
                  </m:r>
                </m:e>
                <m:sup>
                  <m:r>
                    <m:t>6</m:t>
                  </m:r>
                </m:sup>
              </m:sSup>
            </m:oMath>
            <w:r>
              <w:rPr>
                <w:rFonts w:ascii="Arial" w:hAnsi="Arial"/>
                <w:sz w:val="17"/>
              </w:rPr>
              <w:t xml:space="preserve"> </w:t>
            </w:r>
            <w:r>
              <w:rPr>
                <w:rFonts w:ascii="Arial" w:hAnsi="Arial"/>
                <w:sz w:val="17"/>
              </w:rPr>
              <w:t xml:space="preserve">determinant-product factor</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goe_coefficient_v1_0.py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1cvUcGOpGOLK_MdTsLlSHkcXr8oN0me_P4eog5LdkG94</w:t>
            </w:r>
          </w:p>
        </w:tc>
        <w:tc>
          <w:tcPr>
            <w:tcMar>
              <w:top w:w="80" w:type="dxa"/>
              <w:left w:w="80" w:type="dxa"/>
              <w:bottom w:w="80" w:type="dxa"/>
              <w:right w:w="80" w:type="dxa"/>
            </w:tcMar>
          </w:tcPr>
          <w:p>
            <w:pPr>
              <w:pStyle w:val="Compact"/>
              <w:spacing w:after="40"/>
              <w:jc w:val="left"/>
            </w:pPr>
            <w:r>
              <w:rPr>
                <w:rFonts w:ascii="Arial" w:hAnsi="Arial"/>
                <w:sz w:val="17"/>
              </w:rPr>
              <w:t xml:space="preserve">Euclidean Bargmann–Fock contact coefficients and GOE expectation</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triple_contact_covariance_v1_0.py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1Ap2oUks_NTSrTyvkEbMVyt1FpR9sB8qzYhdBNEFw7IU</w:t>
            </w:r>
          </w:p>
        </w:tc>
        <w:tc>
          <w:tcPr>
            <w:tcMar>
              <w:top w:w="80" w:type="dxa"/>
              <w:left w:w="80" w:type="dxa"/>
              <w:bottom w:w="80" w:type="dxa"/>
              <w:right w:w="80" w:type="dxa"/>
            </w:tcMar>
          </w:tcPr>
          <w:p>
            <w:pPr>
              <w:pStyle w:val="Compact"/>
              <w:spacing w:after="40"/>
              <w:jc w:val="left"/>
            </w:pPr>
            <w:r>
              <w:rPr>
                <w:rFonts w:ascii="Arial" w:hAnsi="Arial"/>
                <w:sz w:val="17"/>
              </w:rPr>
              <w:t xml:space="preserve">Contact-pin, collar, and singular-near covariance determinants</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periodization_first_variation_v1_0.py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1I0jvetsZI8J3BQkdE-BxR-qLgvU2WsjmzSyRrDuOLrs</w:t>
            </w:r>
          </w:p>
        </w:tc>
        <w:tc>
          <w:tcPr>
            <w:tcMar>
              <w:top w:w="80" w:type="dxa"/>
              <w:left w:w="80" w:type="dxa"/>
              <w:bottom w:w="80" w:type="dxa"/>
              <w:right w:w="80" w:type="dxa"/>
            </w:tcMar>
          </w:tcPr>
          <w:p>
            <w:pPr>
              <w:pStyle w:val="Compact"/>
              <w:spacing w:after="40"/>
              <w:jc w:val="left"/>
            </w:pPr>
            <w:r>
              <w:rPr>
                <w:rFonts w:ascii="Arial" w:hAnsi="Arial"/>
                <w:sz w:val="17"/>
              </w:rPr>
              <w:t xml:space="preserve">Universal nearest-image first variation and polynomial</w:t>
            </w:r>
            <w:r>
              <w:rPr>
                <w:rFonts w:ascii="Arial" w:hAnsi="Arial"/>
                <w:sz w:val="17"/>
              </w:rPr>
              <w:t xml:space="preserve"> </w:t>
            </w:r>
            <m:oMath>
              <m:sSub>
                <m:e>
                  <m:r>
                    <m:t>P</m:t>
                  </m:r>
                </m:e>
                <m:sub>
                  <m:r>
                    <m:t>3</m:t>
                  </m:r>
                </m:sub>
              </m:sSub>
              <m:d>
                <m:dPr>
                  <m:begChr m:val="("/>
                  <m:endChr m:val=")"/>
                  <m:sepChr m:val=""/>
                  <m:grow/>
                </m:dPr>
                <m:e>
                  <m:r>
                    <m:t>L</m:t>
                  </m:r>
                </m:e>
              </m:d>
            </m:oMath>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finite_L_reduction_v1_0.py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1ttGxdVWw8frEdwRS-0xahQfCSvzWpUwzS7p0HxO01w4</w:t>
            </w:r>
          </w:p>
        </w:tc>
        <w:tc>
          <w:tcPr>
            <w:tcMar>
              <w:top w:w="80" w:type="dxa"/>
              <w:left w:w="80" w:type="dxa"/>
              <w:bottom w:w="80" w:type="dxa"/>
              <w:right w:w="80" w:type="dxa"/>
            </w:tcMar>
          </w:tcPr>
          <w:p>
            <w:pPr>
              <w:pStyle w:val="Compact"/>
              <w:spacing w:after="40"/>
              <w:jc w:val="left"/>
            </w:pPr>
            <w:r>
              <w:rPr>
                <w:rFonts w:ascii="Arial" w:hAnsi="Arial"/>
                <w:sz w:val="17"/>
              </w:rPr>
              <w:t xml:space="preserve">Fixed-side coefficient prefactor and Euclidean recovery</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gaussian_cone_reduction_v1_0.py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1D0gnbWy0m-VuorYClGmWAsTE9UH__mX2tLdcjzPQz4A</w:t>
            </w:r>
          </w:p>
        </w:tc>
        <w:tc>
          <w:tcPr>
            <w:tcMar>
              <w:top w:w="80" w:type="dxa"/>
              <w:left w:w="80" w:type="dxa"/>
              <w:bottom w:w="80" w:type="dxa"/>
              <w:right w:w="80" w:type="dxa"/>
            </w:tcMar>
          </w:tcPr>
          <w:p>
            <w:pPr>
              <w:pStyle w:val="Compact"/>
              <w:spacing w:after="40"/>
              <w:jc w:val="left"/>
            </w:pPr>
            <w:r>
              <w:rPr>
                <w:rFonts w:ascii="Arial" w:hAnsi="Arial"/>
                <w:sz w:val="17"/>
              </w:rPr>
              <w:t xml:space="preserve">Three-dimensional Gaussian-cone spectral reduction</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poisson_dual_interval_v1_0.py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19-Rk22bYkR31NCIXbOMYqo-XGOylChfTbHgsytqrsHQ</w:t>
            </w:r>
          </w:p>
        </w:tc>
        <w:tc>
          <w:tcPr>
            <w:tcMar>
              <w:top w:w="80" w:type="dxa"/>
              <w:left w:w="80" w:type="dxa"/>
              <w:bottom w:w="80" w:type="dxa"/>
              <w:right w:w="80" w:type="dxa"/>
            </w:tcMar>
          </w:tcPr>
          <w:p>
            <w:pPr>
              <w:pStyle w:val="Compact"/>
              <w:spacing w:after="40"/>
              <w:jc w:val="left"/>
            </w:pPr>
            <w:r>
              <w:rPr>
                <w:rFonts w:ascii="Arial" w:hAnsi="Arial"/>
                <w:sz w:val="17"/>
              </w:rPr>
              <w:t xml:space="preserve">Poisson-dual interval and exponential bounds</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coefficient_map_bounds_v1_0.py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1ykJO0vlUMc0t9DS9dWybLvRo-weDRGY8UMTSiqZuX2o</w:t>
            </w:r>
          </w:p>
        </w:tc>
        <w:tc>
          <w:tcPr>
            <w:tcMar>
              <w:top w:w="80" w:type="dxa"/>
              <w:left w:w="80" w:type="dxa"/>
              <w:bottom w:w="80" w:type="dxa"/>
              <w:right w:w="80" w:type="dxa"/>
            </w:tcMar>
          </w:tcPr>
          <w:p>
            <w:pPr>
              <w:pStyle w:val="Compact"/>
              <w:spacing w:after="40"/>
              <w:jc w:val="left"/>
            </w:pPr>
            <w:r>
              <w:rPr>
                <w:rFonts w:ascii="Arial" w:hAnsi="Arial"/>
                <w:sz w:val="17"/>
              </w:rPr>
              <w:t xml:space="preserve">Coefficient-map derivative and Hessian majorants</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periodized_transfer_stability_v1_0.py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1ANNjyv5Y7IUDc_vmaVfXW3iImkgX0-I1giI1vU_E3wY</w:t>
            </w:r>
          </w:p>
        </w:tc>
        <w:tc>
          <w:tcPr>
            <w:tcMar>
              <w:top w:w="80" w:type="dxa"/>
              <w:left w:w="80" w:type="dxa"/>
              <w:bottom w:w="80" w:type="dxa"/>
              <w:right w:w="80" w:type="dxa"/>
            </w:tcMar>
          </w:tcPr>
          <w:p>
            <w:pPr>
              <w:pStyle w:val="Compact"/>
              <w:spacing w:after="40"/>
              <w:jc w:val="left"/>
            </w:pPr>
            <w:r>
              <w:rPr>
                <w:rFonts w:ascii="Arial" w:hAnsi="Arial"/>
                <w:sz w:val="17"/>
              </w:rPr>
              <w:t xml:space="preserve">Coarse stability of contact-chart structure under periodization</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image_tail_remainder_v1_0.py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1EA3zNLpN9uyxLctC5ljoFODGs0VLQcqtzkqMlxudBi4</w:t>
            </w:r>
          </w:p>
        </w:tc>
        <w:tc>
          <w:tcPr>
            <w:tcMar>
              <w:top w:w="80" w:type="dxa"/>
              <w:left w:w="80" w:type="dxa"/>
              <w:bottom w:w="80" w:type="dxa"/>
              <w:right w:w="80" w:type="dxa"/>
            </w:tcMar>
          </w:tcPr>
          <w:p>
            <w:pPr>
              <w:pStyle w:val="Compact"/>
              <w:spacing w:after="40"/>
              <w:jc w:val="left"/>
            </w:pPr>
            <w:r>
              <w:rPr>
                <w:rFonts w:ascii="Arial" w:hAnsi="Arial"/>
                <w:sz w:val="17"/>
              </w:rPr>
              <w:t xml:space="preserve">Exact image-tail and induced coefficient error ledger</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combined_pre_review_ledger_v1_0.py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1JJJ7bKiExGWzUkWTJ_qAx-RaOtVSRK9nZCQT3mXU5Vk</w:t>
            </w:r>
          </w:p>
        </w:tc>
        <w:tc>
          <w:tcPr>
            <w:tcMar>
              <w:top w:w="80" w:type="dxa"/>
              <w:left w:w="80" w:type="dxa"/>
              <w:bottom w:w="80" w:type="dxa"/>
              <w:right w:w="80" w:type="dxa"/>
            </w:tcMar>
          </w:tcPr>
          <w:p>
            <w:pPr>
              <w:pStyle w:val="Compact"/>
              <w:spacing w:after="40"/>
              <w:jc w:val="left"/>
            </w:pPr>
            <w:r>
              <w:rPr>
                <w:rFonts w:ascii="Arial" w:hAnsi="Arial"/>
                <w:sz w:val="17"/>
              </w:rPr>
              <w:t xml:space="preserve">Combined current correction ledger, including determinant-product degree nine</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energy_margin_ledger_v1_3.py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1jjNrjUaaNsvX4NoE0lhsjk7trSVOezrQbxvgdst0VEA</w:t>
            </w:r>
          </w:p>
        </w:tc>
        <w:tc>
          <w:tcPr>
            <w:tcMar>
              <w:top w:w="80" w:type="dxa"/>
              <w:left w:w="80" w:type="dxa"/>
              <w:bottom w:w="80" w:type="dxa"/>
              <w:right w:w="80" w:type="dxa"/>
            </w:tcMar>
          </w:tcPr>
          <w:p>
            <w:pPr>
              <w:pStyle w:val="Compact"/>
              <w:spacing w:after="40"/>
              <w:jc w:val="left"/>
            </w:pPr>
            <w:r>
              <w:rPr>
                <w:rFonts w:ascii="Arial" w:hAnsi="Arial"/>
                <w:sz w:val="17"/>
              </w:rPr>
              <w:t xml:space="preserve">Current energy-adapted capture/escape rational margins</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absolute_normalization_v1_0.py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1fN1BHubZ7JbA3Hs-0YUMgxgVRhD3TUxXgwI6YCVMvtc</w:t>
            </w:r>
          </w:p>
        </w:tc>
        <w:tc>
          <w:tcPr>
            <w:tcMar>
              <w:top w:w="80" w:type="dxa"/>
              <w:left w:w="80" w:type="dxa"/>
              <w:bottom w:w="80" w:type="dxa"/>
              <w:right w:w="80" w:type="dxa"/>
            </w:tcMar>
          </w:tcPr>
          <w:p>
            <w:pPr>
              <w:pStyle w:val="Compact"/>
              <w:spacing w:after="40"/>
              <w:jc w:val="left"/>
            </w:pPr>
            <w:r>
              <w:rPr>
                <w:rFonts w:ascii="Arial" w:hAnsi="Arial"/>
                <w:sz w:val="17"/>
              </w:rPr>
              <w:t xml:space="preserve">Absolute Kac–Rice and lifetime factor recombination</w:t>
            </w:r>
          </w:p>
        </w:tc>
      </w:tr>
      <w:tr>
        <w:trPr>
          <w:cantSplit/>
        </w:trPr>
        <w:tc>
          <w:tcPr>
            <w:tcMar>
              <w:top w:w="80" w:type="dxa"/>
              <w:left w:w="80" w:type="dxa"/>
              <w:bottom w:w="80" w:type="dxa"/>
              <w:right w:w="80" w:type="dxa"/>
            </w:tcMar>
          </w:tcPr>
          <w:p>
            <w:pPr>
              <w:pStyle w:val="Compact"/>
              <w:spacing w:after="40"/>
              <w:jc w:val="left"/>
            </w:pPr>
            <w:r>
              <w:rPr>
                <w:rStyle w:val="VerbatimChar"/>
                <w:rFonts w:ascii="Arial" w:hAnsi="Arial"/>
                <w:sz w:val="17"/>
              </w:rPr>
              <w:t xml:space="preserve">ordered_pair_ledger_v1_0.py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1oYYruwcjvbkaOtBqPn9O0D4cfHnWEq4Xjd0noEl2ipc</w:t>
            </w:r>
          </w:p>
        </w:tc>
        <w:tc>
          <w:tcPr>
            <w:tcMar>
              <w:top w:w="80" w:type="dxa"/>
              <w:left w:w="80" w:type="dxa"/>
              <w:bottom w:w="80" w:type="dxa"/>
              <w:right w:w="80" w:type="dxa"/>
            </w:tcMar>
          </w:tcPr>
          <w:p>
            <w:pPr>
              <w:pStyle w:val="Compact"/>
              <w:spacing w:after="40"/>
              <w:jc w:val="left"/>
            </w:pPr>
            <w:r>
              <w:rPr>
                <w:rFonts w:ascii="Arial" w:hAnsi="Arial"/>
                <w:sz w:val="17"/>
              </w:rPr>
              <w:t xml:space="preserve">Midpoint determinant, radial power, and directed antipode</w:t>
            </w:r>
          </w:p>
        </w:tc>
      </w:tr>
    </w:tbl>
    <w:p>
      <w:pPr>
        <w:pStyle w:val="BodyText"/>
      </w:pPr>
      <w:r>
        <w:t xml:space="preserve">All current result transcripts have matching local stems and</w:t>
      </w:r>
      <w:r>
        <w:t xml:space="preserve"> </w:t>
      </w:r>
      <w:r>
        <w:rPr>
          <w:rStyle w:val="VerbatimChar"/>
        </w:rPr>
        <w:t xml:space="preserve">.expected.txt</w:t>
      </w:r>
      <w:r>
        <w:t xml:space="preserve"> </w:t>
      </w:r>
      <w:r>
        <w:t xml:space="preserve">and were regenerated literally in the pinned clean environment by</w:t>
      </w:r>
      <w:r>
        <w:t xml:space="preserve"> </w:t>
      </w:r>
      <w:r>
        <w:rPr>
          <w:rStyle w:val="VerbatimChar"/>
        </w:rPr>
        <w:t xml:space="preserve">refresh_expected_outputs.py</w:t>
      </w:r>
      <w:r>
        <w:t xml:space="preserve">. The file</w:t>
      </w:r>
      <w:r>
        <w:t xml:space="preserve"> </w:t>
      </w:r>
      <w:r>
        <w:rPr>
          <w:rStyle w:val="VerbatimChar"/>
        </w:rPr>
        <w:t xml:space="preserve">coefficient_map_bounds_v1_0.drive_result.txt</w:t>
      </w:r>
      <w:r>
        <w:t xml:space="preserve"> </w:t>
      </w:r>
      <w:r>
        <w:t xml:space="preserve">is retained only as historical provenance for the former mismatch discussed below; it is not the expected output of the revised source.</w:t>
      </w:r>
    </w:p>
    <w:p>
      <w:pPr>
        <w:pStyle w:val="BodyText"/>
      </w:pPr>
      <w:r>
        <w:t xml:space="preserve">The optional directory contains</w:t>
      </w:r>
      <w:r>
        <w:t xml:space="preserve"> </w:t>
      </w:r>
      <w:r>
        <w:rPr>
          <w:rStyle w:val="VerbatimChar"/>
        </w:rPr>
        <w:t xml:space="preserve">direct_high_precision_crosscheck_v1_0.py</w:t>
      </w:r>
      <w:r>
        <w:t xml:space="preserve">, baseline Drive progenitor ID</w:t>
      </w:r>
      <w:r>
        <w:t xml:space="preserve"> </w:t>
      </w:r>
      <w:r>
        <w:rPr>
          <w:rStyle w:val="VerbatimChar"/>
        </w:rPr>
        <w:t xml:space="preserve">17ogPDEn73dsr180cNe3WLdh8vFIdQdCmwhYweVjSJWA</w:t>
      </w:r>
      <w:r>
        <w:t xml:space="preserve">. This is a numerical corroboration and is not used by the analytic theorem.</w:t>
      </w:r>
    </w:p>
    <w:bookmarkEnd w:id="21"/>
    <w:bookmarkStart w:id="22" w:name="successor-control"/>
    <w:p>
      <w:pPr>
        <w:pStyle w:val="Heading1"/>
        <w:keepNext/>
      </w:pPr>
      <w:r>
        <w:t xml:space="preserve">3. Successor control</w:t>
      </w:r>
    </w:p>
    <w:p>
      <w:pPr>
        <w:pStyle w:val="FirstParagraph"/>
      </w:pPr>
      <w:r>
        <w:t xml:space="preserve">The energy files are the current</w:t>
      </w:r>
      <w:r>
        <w:t xml:space="preserve"> </w:t>
      </w:r>
      <w:r>
        <w:rPr>
          <w:rStyle w:val="VerbatimChar"/>
        </w:rPr>
        <w:t xml:space="preserve">v1.3</w:t>
      </w:r>
      <w:r>
        <w:t xml:space="preserve"> </w:t>
      </w:r>
      <w:r>
        <w:t xml:space="preserve">pair. They supersede</w:t>
      </w:r>
      <w:r>
        <w:t xml:space="preserve"> </w:t>
      </w:r>
      <w:r>
        <w:rPr>
          <w:rStyle w:val="VerbatimChar"/>
        </w:rPr>
        <w:t xml:space="preserve">v1.0</w:t>
      </w:r>
      <w:r>
        <w:t xml:space="preserve">,</w:t>
      </w:r>
      <w:r>
        <w:t xml:space="preserve"> </w:t>
      </w:r>
      <w:r>
        <w:rPr>
          <w:rStyle w:val="VerbatimChar"/>
        </w:rPr>
        <w:t xml:space="preserve">v1.1</w:t>
      </w:r>
      <w:r>
        <w:t xml:space="preserve">, and</w:t>
      </w:r>
      <w:r>
        <w:t xml:space="preserve"> </w:t>
      </w:r>
      <w:r>
        <w:rPr>
          <w:rStyle w:val="VerbatimChar"/>
        </w:rPr>
        <w:t xml:space="preserve">v1.2</w:t>
      </w:r>
      <w:r>
        <w:t xml:space="preserve">; those predecessors are intentionally absent. All other required computational sources are current unique</w:t>
      </w:r>
      <w:r>
        <w:t xml:space="preserve"> </w:t>
      </w:r>
      <w:r>
        <w:rPr>
          <w:rStyle w:val="VerbatimChar"/>
        </w:rPr>
        <w:t xml:space="preserve">v1.0</w:t>
      </w:r>
      <w:r>
        <w:t xml:space="preserve"> </w:t>
      </w:r>
      <w:r>
        <w:t xml:space="preserve">objects for their stems. Superseded</w:t>
      </w:r>
      <w:r>
        <w:t xml:space="preserve"> </w:t>
      </w:r>
      <w:r>
        <w:rPr>
          <w:rStyle w:val="VerbatimChar"/>
        </w:rPr>
        <w:t xml:space="preserve">059</w:t>
      </w:r>
      <w:r>
        <w:t xml:space="preserve"> </w:t>
      </w:r>
      <w:r>
        <w:t xml:space="preserve">and precision-corrected</w:t>
      </w:r>
      <w:r>
        <w:t xml:space="preserve"> </w:t>
      </w:r>
      <w:r>
        <w:rPr>
          <w:rStyle w:val="VerbatimChar"/>
        </w:rPr>
        <w:t xml:space="preserve">061</w:t>
      </w:r>
      <w:r>
        <w:t xml:space="preserve"> </w:t>
      </w:r>
      <w:r>
        <w:t xml:space="preserve">ledgers are excluded.</w:t>
      </w:r>
    </w:p>
    <w:p>
      <w:pPr>
        <w:pStyle w:val="BodyText"/>
      </w:pPr>
      <w:r>
        <w:t xml:space="preserve">Before any later package is sent, search each stem again for a semantic or dotted successor. Do not infer current status from modification time alone.</w:t>
      </w:r>
    </w:p>
    <w:bookmarkEnd w:id="22"/>
    <w:bookmarkStart w:id="23" w:name="software-requirements"/>
    <w:p>
      <w:pPr>
        <w:pStyle w:val="Heading1"/>
        <w:keepNext/>
      </w:pPr>
      <w:r>
        <w:t xml:space="preserve">4. Software requirements</w:t>
      </w:r>
    </w:p>
    <w:p>
      <w:pPr>
        <w:pStyle w:val="FirstParagraph"/>
      </w:pPr>
      <w:r>
        <w:t xml:space="preserve">The dependency versions are pinned in</w:t>
      </w:r>
      <w:r>
        <w:t xml:space="preserve"> </w:t>
      </w:r>
      <w:r>
        <w:rPr>
          <w:rStyle w:val="VerbatimChar"/>
        </w:rPr>
        <w:t xml:space="preserve">requirements.lock.txt</w:t>
      </w:r>
      <w:r>
        <w:t xml:space="preserve">; the interpreter and operating system are recorded as the tested platform:</w:t>
      </w:r>
    </w:p>
    <w:p>
      <w:pPr>
        <w:numPr>
          <w:ilvl w:val="0"/>
          <w:numId w:val="1001"/>
        </w:numPr>
        <w:pStyle w:val="Compact"/>
      </w:pPr>
      <w:r>
        <w:t xml:space="preserve">tested interpreter: CPython 3.12.13;</w:t>
      </w:r>
    </w:p>
    <w:p>
      <w:pPr>
        <w:numPr>
          <w:ilvl w:val="0"/>
          <w:numId w:val="1001"/>
        </w:numPr>
        <w:pStyle w:val="Compact"/>
      </w:pPr>
      <w:r>
        <w:t xml:space="preserve">SymPy 1.14.0;</w:t>
      </w:r>
    </w:p>
    <w:p>
      <w:pPr>
        <w:numPr>
          <w:ilvl w:val="0"/>
          <w:numId w:val="1001"/>
        </w:numPr>
        <w:pStyle w:val="Compact"/>
      </w:pPr>
      <w:r>
        <w:t xml:space="preserve">mpmath 1.3.0;</w:t>
      </w:r>
    </w:p>
    <w:p>
      <w:pPr>
        <w:numPr>
          <w:ilvl w:val="0"/>
          <w:numId w:val="1001"/>
        </w:numPr>
        <w:pStyle w:val="Compact"/>
      </w:pPr>
      <w:r>
        <w:t xml:space="preserve">pip 25.0.1;</w:t>
      </w:r>
    </w:p>
    <w:p>
      <w:pPr>
        <w:numPr>
          <w:ilvl w:val="0"/>
          <w:numId w:val="1001"/>
        </w:numPr>
        <w:pStyle w:val="Compact"/>
      </w:pPr>
      <w:r>
        <w:t xml:space="preserve">tested operating system: Linux x86_64 with glibc 2.39.</w:t>
      </w:r>
    </w:p>
    <w:p>
      <w:pPr>
        <w:pStyle w:val="FirstParagraph"/>
      </w:pPr>
      <w:r>
        <w:t xml:space="preserve">The broader</w:t>
      </w:r>
      <w:r>
        <w:t xml:space="preserve"> </w:t>
      </w:r>
      <w:r>
        <w:rPr>
          <w:rStyle w:val="VerbatimChar"/>
        </w:rPr>
        <w:t xml:space="preserve">requirements.txt</w:t>
      </w:r>
      <w:r>
        <w:t xml:space="preserve"> </w:t>
      </w:r>
      <w:r>
        <w:t xml:space="preserve">records compatibility ranges only. Use</w:t>
      </w:r>
      <w:r>
        <w:t xml:space="preserve"> </w:t>
      </w:r>
      <w:r>
        <w:rPr>
          <w:rStyle w:val="VerbatimChar"/>
        </w:rPr>
        <w:t xml:space="preserve">requirements.lock.txt</w:t>
      </w:r>
      <w:r>
        <w:t xml:space="preserve"> </w:t>
      </w:r>
      <w:r>
        <w:t xml:space="preserve">when reproducing this snapshot.</w:t>
      </w:r>
    </w:p>
    <w:p>
      <w:pPr>
        <w:pStyle w:val="BodyText"/>
      </w:pPr>
      <w:r>
        <w:t xml:space="preserve">The historical Drive environment was not recorded consistently. That remains a limitation of the historical transcripts, but this revised package includes a tested clean environment, commands, run log, optional high-precision log, and optimized-mode guard result.</w:t>
      </w:r>
    </w:p>
    <w:p>
      <w:pPr>
        <w:pStyle w:val="BodyText"/>
      </w:pPr>
      <w:r>
        <w:t xml:space="preserve">From the</w:t>
      </w:r>
      <w:r>
        <w:t xml:space="preserve"> </w:t>
      </w:r>
      <w:r>
        <w:rPr>
          <w:rStyle w:val="VerbatimChar"/>
        </w:rPr>
        <w:t xml:space="preserve">06_REPRODUCTION_FILES</w:t>
      </w:r>
      <w:r>
        <w:t xml:space="preserve"> </w:t>
      </w:r>
      <w:r>
        <w:t xml:space="preserve">directory, create an isolated environment:</w:t>
      </w:r>
    </w:p>
    <w:p>
      <w:pPr>
        <w:pStyle w:val="SourceCode"/>
        <w:keepLines/>
        <w:widowControl/>
        <w:spacing w:before="0" w:after="0"/>
      </w:pPr>
      <w:r>
        <w:rPr>
          <w:rStyle w:val="VerbatimChar"/>
        </w:rPr>
        <w:t xml:space="preserve">python3 -m venv .venv</w:t>
      </w:r>
    </w:p>
    <w:p>
      <w:pPr>
        <w:pStyle w:val="FirstParagraph"/>
      </w:pPr>
      <w:r>
        <w:t xml:space="preserve">On macOS or Linux:</w:t>
      </w:r>
    </w:p>
    <w:p>
      <w:pPr>
        <w:pStyle w:val="SourceCode"/>
        <w:keepLines/>
        <w:widowControl/>
        <w:spacing w:before="0" w:after="0"/>
      </w:pPr>
      <w:r>
        <w:rPr>
          <w:rStyle w:val="VerbatimChar"/>
        </w:rPr>
        <w:t xml:space="preserve">. .venv/bin/activate</w:t>
      </w:r>
      <w:r>
        <w:br/>
      </w:r>
      <w:r>
        <w:rPr>
          <w:rStyle w:val="VerbatimChar"/>
        </w:rPr>
        <w:t xml:space="preserve">python -m pip install -r requirements.lock.txt</w:t>
      </w:r>
    </w:p>
    <w:p>
      <w:pPr>
        <w:pStyle w:val="FirstParagraph"/>
      </w:pPr>
      <w:r>
        <w:t xml:space="preserve">On Windows PowerShell:</w:t>
      </w:r>
    </w:p>
    <w:p>
      <w:pPr>
        <w:pStyle w:val="SourceCode"/>
        <w:keepLines/>
        <w:widowControl/>
        <w:spacing w:before="0" w:after="0"/>
      </w:pPr>
      <w:r>
        <w:rPr>
          <w:rStyle w:val="VerbatimChar"/>
        </w:rPr>
        <w:t xml:space="preserve">.venv\Scripts\Activate.ps1</w:t>
      </w:r>
      <w:r>
        <w:br/>
      </w:r>
      <w:r>
        <w:rPr>
          <w:rStyle w:val="VerbatimChar"/>
        </w:rPr>
        <w:t xml:space="preserve">python -m pip install -r requirements.lock.txt</w:t>
      </w:r>
    </w:p>
    <w:p>
      <w:pPr>
        <w:pStyle w:val="FirstParagraph"/>
      </w:pPr>
      <w:r>
        <w:t xml:space="preserve">Record the environment:</w:t>
      </w:r>
    </w:p>
    <w:p>
      <w:pPr>
        <w:pStyle w:val="SourceCode"/>
        <w:keepLines/>
        <w:widowControl/>
        <w:spacing w:before="0" w:after="0"/>
      </w:pPr>
      <w:r>
        <w:rPr>
          <w:rStyle w:val="VerbatimChar"/>
        </w:rPr>
        <w:t xml:space="preserve">python --version</w:t>
      </w:r>
      <w:r>
        <w:br/>
      </w:r>
      <w:r>
        <w:rPr>
          <w:rStyle w:val="VerbatimChar"/>
        </w:rPr>
        <w:t xml:space="preserve">python -c "import sympy, mpmath; print('sympy', sympy.__version__); print('mpmath', mpmath.__version__)"</w:t>
      </w:r>
    </w:p>
    <w:bookmarkEnd w:id="23"/>
    <w:bookmarkStart w:id="24" w:name="run-the-complete-required-annex"/>
    <w:p>
      <w:pPr>
        <w:pStyle w:val="Heading1"/>
        <w:keepNext/>
      </w:pPr>
      <w:r>
        <w:t xml:space="preserve">5. Run the complete required annex</w:t>
      </w:r>
    </w:p>
    <w:p>
      <w:pPr>
        <w:pStyle w:val="FirstParagraph"/>
      </w:pPr>
      <w:r>
        <w:t xml:space="preserve">From</w:t>
      </w:r>
      <w:r>
        <w:t xml:space="preserve"> </w:t>
      </w:r>
      <w:r>
        <w:rPr>
          <w:rStyle w:val="VerbatimChar"/>
        </w:rPr>
        <w:t xml:space="preserve">06_REPRODUCTION_FILES</w:t>
      </w:r>
      <w:r>
        <w:t xml:space="preserve">:</w:t>
      </w:r>
    </w:p>
    <w:p>
      <w:pPr>
        <w:pStyle w:val="SourceCode"/>
        <w:keepLines/>
        <w:widowControl/>
        <w:spacing w:before="0" w:after="0"/>
      </w:pPr>
      <w:r>
        <w:rPr>
          <w:rStyle w:val="VerbatimChar"/>
        </w:rPr>
        <w:t xml:space="preserve">python run_all.py</w:t>
      </w:r>
    </w:p>
    <w:p>
      <w:pPr>
        <w:pStyle w:val="FirstParagraph"/>
      </w:pPr>
      <w:r>
        <w:t xml:space="preserve">Success requires every row to say</w:t>
      </w:r>
      <w:r>
        <w:t xml:space="preserve"> </w:t>
      </w:r>
      <w:r>
        <w:rPr>
          <w:rStyle w:val="VerbatimChar"/>
        </w:rPr>
        <w:t xml:space="preserve">PASS</w:t>
      </w:r>
      <w:r>
        <w:t xml:space="preserve"> </w:t>
      </w:r>
      <w:r>
        <w:t xml:space="preserve">and the final line to say:</w:t>
      </w:r>
    </w:p>
    <w:p>
      <w:pPr>
        <w:pStyle w:val="SourceCode"/>
        <w:keepLines/>
        <w:widowControl/>
        <w:spacing w:before="0" w:after="0"/>
      </w:pPr>
      <w:r>
        <w:rPr>
          <w:rStyle w:val="VerbatimChar"/>
        </w:rPr>
        <w:t xml:space="preserve">ALL_REQUIRED_LEDGERS_PASS</w:t>
      </w:r>
    </w:p>
    <w:p>
      <w:pPr>
        <w:pStyle w:val="FirstParagraph"/>
      </w:pPr>
      <w:r>
        <w:t xml:space="preserve">The runner deliberately requires both a zero exit code and the marker</w:t>
      </w:r>
      <w:r>
        <w:t xml:space="preserve"> </w:t>
      </w:r>
      <w:r>
        <w:rPr>
          <w:rStyle w:val="VerbatimChar"/>
        </w:rPr>
        <w:t xml:space="preserve">ALL_ASSERTIONS_PASS</w:t>
      </w:r>
      <w:r>
        <w:t xml:space="preserve"> </w:t>
      </w:r>
      <w:r>
        <w:t xml:space="preserve">in each script’s standard output. It refuses optimized Python execution because</w:t>
      </w:r>
      <w:r>
        <w:t xml:space="preserve"> </w:t>
      </w:r>
      <w:r>
        <w:rPr>
          <w:rStyle w:val="VerbatimChar"/>
        </w:rPr>
        <w:t xml:space="preserve">python -O</w:t>
      </w:r>
      <w:r>
        <w:t xml:space="preserve"> </w:t>
      </w:r>
      <w:r>
        <w:t xml:space="preserve">disables</w:t>
      </w:r>
      <w:r>
        <w:t xml:space="preserve"> </w:t>
      </w:r>
      <w:r>
        <w:rPr>
          <w:rStyle w:val="VerbatimChar"/>
        </w:rPr>
        <w:t xml:space="preserve">assert</w:t>
      </w:r>
      <w:r>
        <w:t xml:space="preserve"> </w:t>
      </w:r>
      <w:r>
        <w:t xml:space="preserve">statements.</w:t>
      </w:r>
    </w:p>
    <w:bookmarkEnd w:id="24"/>
    <w:bookmarkStart w:id="25" w:name="run-files-individually"/>
    <w:p>
      <w:pPr>
        <w:pStyle w:val="Heading1"/>
        <w:keepNext/>
      </w:pPr>
      <w:r>
        <w:t xml:space="preserve">6. Run files individually</w:t>
      </w:r>
    </w:p>
    <w:p>
      <w:pPr>
        <w:pStyle w:val="FirstParagraph"/>
      </w:pPr>
      <w:r>
        <w:t xml:space="preserve">Individual execution is valid only without optimization. Confirm that</w:t>
      </w:r>
      <w:r>
        <w:t xml:space="preserve"> </w:t>
      </w:r>
      <w:r>
        <w:rPr>
          <w:rStyle w:val="VerbatimChar"/>
        </w:rPr>
        <w:t xml:space="preserve">python -c "import sys; print(sys.flags.optimize)"</w:t>
      </w:r>
      <w:r>
        <w:t xml:space="preserve"> </w:t>
      </w:r>
      <w:r>
        <w:t xml:space="preserve">prints</w:t>
      </w:r>
      <w:r>
        <w:t xml:space="preserve"> </w:t>
      </w:r>
      <w:r>
        <w:rPr>
          <w:rStyle w:val="VerbatimChar"/>
        </w:rPr>
        <w:t xml:space="preserve">0</w:t>
      </w:r>
      <w:r>
        <w:t xml:space="preserve">. The preferred audit path is</w:t>
      </w:r>
      <w:r>
        <w:t xml:space="preserve"> </w:t>
      </w:r>
      <w:r>
        <w:rPr>
          <w:rStyle w:val="VerbatimChar"/>
        </w:rPr>
        <w:t xml:space="preserve">python run_all.py</w:t>
      </w:r>
      <w:r>
        <w:t xml:space="preserve">, whose guard rejects optimized mode.</w:t>
      </w:r>
    </w:p>
    <w:p>
      <w:pPr>
        <w:pStyle w:val="BodyText"/>
      </w:pPr>
      <w:r>
        <w:t xml:space="preserve">Use:</w:t>
      </w:r>
    </w:p>
    <w:p>
      <w:pPr>
        <w:pStyle w:val="SourceCode"/>
        <w:keepLines/>
        <w:widowControl/>
        <w:spacing w:before="0" w:after="0"/>
      </w:pPr>
      <w:r>
        <w:rPr>
          <w:rStyle w:val="VerbatimChar"/>
        </w:rPr>
        <w:t xml:space="preserve">python triple_hessian_elimination_v1_0.py</w:t>
      </w:r>
      <w:r>
        <w:br/>
      </w:r>
      <w:r>
        <w:rPr>
          <w:rStyle w:val="VerbatimChar"/>
        </w:rPr>
        <w:t xml:space="preserve">python goe_coefficient_v1_0.py</w:t>
      </w:r>
      <w:r>
        <w:br/>
      </w:r>
      <w:r>
        <w:rPr>
          <w:rStyle w:val="VerbatimChar"/>
        </w:rPr>
        <w:t xml:space="preserve">python triple_contact_covariance_v1_0.py</w:t>
      </w:r>
      <w:r>
        <w:br/>
      </w:r>
      <w:r>
        <w:rPr>
          <w:rStyle w:val="VerbatimChar"/>
        </w:rPr>
        <w:t xml:space="preserve">python periodization_first_variation_v1_0.py</w:t>
      </w:r>
      <w:r>
        <w:br/>
      </w:r>
      <w:r>
        <w:rPr>
          <w:rStyle w:val="VerbatimChar"/>
        </w:rPr>
        <w:t xml:space="preserve">python finite_L_reduction_v1_0.py</w:t>
      </w:r>
      <w:r>
        <w:br/>
      </w:r>
      <w:r>
        <w:rPr>
          <w:rStyle w:val="VerbatimChar"/>
        </w:rPr>
        <w:t xml:space="preserve">python gaussian_cone_reduction_v1_0.py</w:t>
      </w:r>
      <w:r>
        <w:br/>
      </w:r>
      <w:r>
        <w:rPr>
          <w:rStyle w:val="VerbatimChar"/>
        </w:rPr>
        <w:t xml:space="preserve">python poisson_dual_interval_v1_0.py</w:t>
      </w:r>
      <w:r>
        <w:br/>
      </w:r>
      <w:r>
        <w:rPr>
          <w:rStyle w:val="VerbatimChar"/>
        </w:rPr>
        <w:t xml:space="preserve">python coefficient_map_bounds_v1_0.py</w:t>
      </w:r>
      <w:r>
        <w:br/>
      </w:r>
      <w:r>
        <w:rPr>
          <w:rStyle w:val="VerbatimChar"/>
        </w:rPr>
        <w:t xml:space="preserve">python periodized_transfer_stability_v1_0.py</w:t>
      </w:r>
      <w:r>
        <w:br/>
      </w:r>
      <w:r>
        <w:rPr>
          <w:rStyle w:val="VerbatimChar"/>
        </w:rPr>
        <w:t xml:space="preserve">python image_tail_remainder_v1_0.py</w:t>
      </w:r>
      <w:r>
        <w:br/>
      </w:r>
      <w:r>
        <w:rPr>
          <w:rStyle w:val="VerbatimChar"/>
        </w:rPr>
        <w:t xml:space="preserve">python combined_pre_review_ledger_v1_0.py</w:t>
      </w:r>
      <w:r>
        <w:br/>
      </w:r>
      <w:r>
        <w:rPr>
          <w:rStyle w:val="VerbatimChar"/>
        </w:rPr>
        <w:t xml:space="preserve">python energy_margin_ledger_v1_3.py</w:t>
      </w:r>
      <w:r>
        <w:br/>
      </w:r>
      <w:r>
        <w:rPr>
          <w:rStyle w:val="VerbatimChar"/>
        </w:rPr>
        <w:t xml:space="preserve">python absolute_normalization_v1_0.py</w:t>
      </w:r>
      <w:r>
        <w:br/>
      </w:r>
      <w:r>
        <w:rPr>
          <w:rStyle w:val="VerbatimChar"/>
        </w:rPr>
        <w:t xml:space="preserve">python ordered_pair_ledger_v1_0.py</w:t>
      </w:r>
    </w:p>
    <w:p>
      <w:pPr>
        <w:pStyle w:val="FirstParagraph"/>
      </w:pPr>
      <w:r>
        <w:t xml:space="preserve">For the optional cross-check:</w:t>
      </w:r>
    </w:p>
    <w:p>
      <w:pPr>
        <w:pStyle w:val="SourceCode"/>
        <w:keepLines/>
        <w:widowControl/>
        <w:spacing w:before="0" w:after="0"/>
      </w:pPr>
      <w:r>
        <w:rPr>
          <w:rStyle w:val="VerbatimChar"/>
        </w:rPr>
        <w:t xml:space="preserve">python optional_crosscheck/direct_high_precision_crosscheck_v1_0.py</w:t>
      </w:r>
    </w:p>
    <w:bookmarkEnd w:id="25"/>
    <w:bookmarkStart w:id="35" w:name="what-each-check-establishes"/>
    <w:p>
      <w:pPr>
        <w:pStyle w:val="Heading1"/>
        <w:keepNext/>
      </w:pPr>
      <w:r>
        <w:t xml:space="preserve">7. What each check establishes</w:t>
      </w:r>
    </w:p>
    <w:bookmarkStart w:id="26" w:name="triple-hessian-elimination"/>
    <w:p>
      <w:pPr>
        <w:pStyle w:val="Heading2"/>
        <w:keepNext/>
      </w:pPr>
      <w:r>
        <w:t xml:space="preserve">7.1 Triple-Hessian elimination</w:t>
      </w:r>
    </w:p>
    <w:p>
      <w:pPr>
        <w:pStyle w:val="FirstParagraph"/>
      </w:pPr>
      <w:r>
        <w:t xml:space="preserve">The symbolic solver exposes factors of the form</w:t>
      </w:r>
    </w:p>
    <w:p>
      <w:pPr>
        <w:pStyle w:val="BodyText"/>
      </w:pPr>
      <m:oMathPara>
        <m:oMathParaPr>
          <m:jc m:val="center"/>
        </m:oMathParaPr>
        <m:oMath>
          <m:r>
            <m:rPr>
              <m:sty m:val="p"/>
            </m:rPr>
            <m:t>det</m:t>
          </m:r>
          <m:sSub>
            <m:e>
              <m:r>
                <m:t>H</m:t>
              </m:r>
            </m:e>
            <m:sub>
              <m:r>
                <m:t>M</m:t>
              </m:r>
            </m:sub>
          </m:sSub>
          <m:r>
            <m:rPr>
              <m:sty m:val="p"/>
            </m:rPr>
            <m:t>=</m:t>
          </m:r>
          <m:f>
            <m:fPr>
              <m:type m:val="bar"/>
            </m:fPr>
            <m:num>
              <m:sSup>
                <m:e>
                  <m:r>
                    <m:t>κ</m:t>
                  </m:r>
                </m:e>
                <m:sup>
                  <m:r>
                    <m:t>2</m:t>
                  </m:r>
                </m:sup>
              </m:sSup>
              <m:sSup>
                <m:e>
                  <m:r>
                    <m:t>η</m:t>
                  </m:r>
                </m:e>
                <m:sup>
                  <m:r>
                    <m:t>2</m:t>
                  </m:r>
                </m:sup>
              </m:sSup>
            </m:num>
            <m:den>
              <m:r>
                <m:t>64</m:t>
              </m:r>
              <m:sSup>
                <m:e>
                  <m:r>
                    <m:t>c</m:t>
                  </m:r>
                </m:e>
                <m:sup>
                  <m:r>
                    <m:t>2</m:t>
                  </m:r>
                </m:sup>
              </m:sSup>
              <m:sSup>
                <m:e>
                  <m:r>
                    <m:t>s</m:t>
                  </m:r>
                </m:e>
                <m:sup>
                  <m:r>
                    <m:t>2</m:t>
                  </m:r>
                </m:sup>
              </m:sSup>
            </m:den>
          </m:f>
          <m:sSub>
            <m:e>
              <m:r>
                <m:t>B</m:t>
              </m:r>
            </m:e>
            <m:sub>
              <m:r>
                <m:t>M</m:t>
              </m:r>
            </m:sub>
          </m:sSub>
          <m:r>
            <m:rPr>
              <m:sty m:val="p"/>
            </m:rPr>
            <m:t>,</m:t>
          </m:r>
          <m:r>
            <m:t>  </m:t>
          </m:r>
          <m:r>
            <m:rPr>
              <m:sty m:val="p"/>
            </m:rPr>
            <m:t>det</m:t>
          </m:r>
          <m:sSub>
            <m:e>
              <m:r>
                <m:t>H</m:t>
              </m:r>
            </m:e>
            <m:sub>
              <m:r>
                <m:t>S</m:t>
              </m:r>
            </m:sub>
          </m:sSub>
          <m:r>
            <m:rPr>
              <m:sty m:val="p"/>
            </m:rPr>
            <m:t>=</m:t>
          </m:r>
          <m:f>
            <m:fPr>
              <m:type m:val="bar"/>
            </m:fPr>
            <m:num>
              <m:sSup>
                <m:e>
                  <m:r>
                    <m:t>κ</m:t>
                  </m:r>
                </m:e>
                <m:sup>
                  <m:r>
                    <m:t>2</m:t>
                  </m:r>
                </m:sup>
              </m:sSup>
              <m:sSup>
                <m:e>
                  <m:r>
                    <m:t>η</m:t>
                  </m:r>
                </m:e>
                <m:sup>
                  <m:r>
                    <m:t>2</m:t>
                  </m:r>
                </m:sup>
              </m:sSup>
            </m:num>
            <m:den>
              <m:r>
                <m:t>64</m:t>
              </m:r>
              <m:sSup>
                <m:e>
                  <m:r>
                    <m:t>c</m:t>
                  </m:r>
                </m:e>
                <m:sup>
                  <m:r>
                    <m:t>2</m:t>
                  </m:r>
                </m:sup>
              </m:sSup>
              <m:sSup>
                <m:e>
                  <m:r>
                    <m:t>s</m:t>
                  </m:r>
                </m:e>
                <m:sup>
                  <m:r>
                    <m:t>2</m:t>
                  </m:r>
                </m:sup>
              </m:sSup>
            </m:den>
          </m:f>
          <m:sSub>
            <m:e>
              <m:r>
                <m:t>B</m:t>
              </m:r>
            </m:e>
            <m:sub>
              <m:r>
                <m:t>S</m:t>
              </m:r>
            </m:sub>
          </m:sSub>
          <m:r>
            <m:rPr>
              <m:sty m:val="p"/>
            </m:rPr>
            <m:t>,</m:t>
          </m:r>
          <m:r>
            <m:t>  </m:t>
          </m:r>
          <m:r>
            <m:rPr>
              <m:sty m:val="p"/>
            </m:rPr>
            <m:t>det</m:t>
          </m:r>
          <m:sSub>
            <m:e>
              <m:r>
                <m:t>H</m:t>
              </m:r>
            </m:e>
            <m:sub>
              <m:r>
                <m:t>X</m:t>
              </m:r>
            </m:sub>
          </m:sSub>
          <m:r>
            <m:rPr>
              <m:sty m:val="p"/>
            </m:rPr>
            <m:t>=</m:t>
          </m:r>
          <m:r>
            <m:rPr>
              <m:sty m:val="p"/>
            </m:rPr>
            <m:t>−</m:t>
          </m:r>
          <m:f>
            <m:fPr>
              <m:type m:val="bar"/>
            </m:fPr>
            <m:num>
              <m:sSup>
                <m:e>
                  <m:r>
                    <m:t>κ</m:t>
                  </m:r>
                </m:e>
                <m:sup>
                  <m:r>
                    <m:t>2</m:t>
                  </m:r>
                </m:sup>
              </m:sSup>
              <m:sSup>
                <m:e>
                  <m:r>
                    <m:t>η</m:t>
                  </m:r>
                </m:e>
                <m:sup>
                  <m:r>
                    <m:t>2</m:t>
                  </m:r>
                </m:sup>
              </m:sSup>
            </m:num>
            <m:den>
              <m:r>
                <m:t>64</m:t>
              </m:r>
              <m:sSup>
                <m:e>
                  <m:r>
                    <m:t>c</m:t>
                  </m:r>
                </m:e>
                <m:sup>
                  <m:r>
                    <m:t>2</m:t>
                  </m:r>
                </m:sup>
              </m:sSup>
              <m:sSup>
                <m:e>
                  <m:r>
                    <m:t>s</m:t>
                  </m:r>
                </m:e>
                <m:sup>
                  <m:r>
                    <m:t>2</m:t>
                  </m:r>
                </m:sup>
              </m:sSup>
            </m:den>
          </m:f>
          <m:sSub>
            <m:e>
              <m:r>
                <m:t>B</m:t>
              </m:r>
            </m:e>
            <m:sub>
              <m:r>
                <m:t>X</m:t>
              </m:r>
            </m:sub>
          </m:sSub>
          <m:r>
            <m:rPr>
              <m:sty m:val="p"/>
            </m:rPr>
            <m:t>.</m:t>
          </m:r>
        </m:oMath>
      </m:oMathPara>
    </w:p>
    <w:p>
      <w:pPr>
        <w:pStyle w:val="FirstParagraph"/>
      </w:pPr>
      <w:r>
        <w:t xml:space="preserve">Their product has an exact</w:t>
      </w:r>
      <w:r>
        <w:t xml:space="preserve"> </w:t>
      </w:r>
      <m:oMath>
        <m:sSup>
          <m:e>
            <m:r>
              <m:t>κ</m:t>
            </m:r>
          </m:e>
          <m:sup>
            <m:r>
              <m:t>6</m:t>
            </m:r>
          </m:sup>
        </m:sSup>
        <m:sSup>
          <m:e>
            <m:r>
              <m:t>η</m:t>
            </m:r>
          </m:e>
          <m:sup>
            <m:r>
              <m:t>6</m:t>
            </m:r>
          </m:sup>
        </m:sSup>
      </m:oMath>
      <w:r>
        <w:t xml:space="preserve"> </w:t>
      </w:r>
      <w:r>
        <w:t xml:space="preserve">factor. This is the algebra the archival technical appendix previously referenced without displaying. A reviewer must still check that the symbolic variables and chart hypotheses correctly represent every geometric regime used in the proof.</w:t>
      </w:r>
    </w:p>
    <w:bookmarkEnd w:id="26"/>
    <w:bookmarkStart w:id="27" w:name="goe-coefficient-and-gaussian-cone"/>
    <w:p>
      <w:pPr>
        <w:pStyle w:val="Heading2"/>
        <w:keepNext/>
      </w:pPr>
      <w:r>
        <w:t xml:space="preserve">7.2 GOE coefficient and Gaussian cone</w:t>
      </w:r>
    </w:p>
    <w:p>
      <w:pPr>
        <w:pStyle w:val="FirstParagraph"/>
      </w:pPr>
      <w:r>
        <w:t xml:space="preserve">These scripts reduce the Euclidean conditional transverse Hessian to a GOE-plus-scalar model and verify the stated coefficient identities. The manuscript now gives an independent trace–Rayleigh derivation; the scripts remain arithmetic corroboration. The precise GOE normalization should be compared with the manuscript’s covariance convention.</w:t>
      </w:r>
    </w:p>
    <w:bookmarkEnd w:id="27"/>
    <w:bookmarkStart w:id="28" w:name="triple-contact-covariance"/>
    <w:p>
      <w:pPr>
        <w:pStyle w:val="Heading2"/>
        <w:keepNext/>
      </w:pPr>
      <w:r>
        <w:t xml:space="preserve">7.3 Triple-contact covariance</w:t>
      </w:r>
    </w:p>
    <w:p>
      <w:pPr>
        <w:pStyle w:val="FirstParagraph"/>
      </w:pPr>
      <w:r>
        <w:t xml:space="preserve">This script verifies the limiting pin covariance and the exact covariance determinants for the collar and singular-near charts. It does not by itself prove uniform finite-</w:t>
      </w:r>
      <m:oMath>
        <m:r>
          <m:t>r</m:t>
        </m:r>
      </m:oMath>
      <w:r>
        <w:t xml:space="preserve"> </w:t>
      </w:r>
      <w:r>
        <w:t xml:space="preserve">side-24 transfer or the determinant-weighted regional witness integrals. The deterministic component-based exhaustion is Lemma 3.4a and must be checked as mathematics, not inferred from the script.</w:t>
      </w:r>
    </w:p>
    <w:bookmarkEnd w:id="28"/>
    <w:bookmarkStart w:id="29" w:name="periodization-first-variation"/>
    <w:p>
      <w:pPr>
        <w:pStyle w:val="Heading2"/>
        <w:keepNext/>
      </w:pPr>
      <w:r>
        <w:t xml:space="preserve">7.4 Periodization first variation</w:t>
      </w:r>
    </w:p>
    <w:p>
      <w:pPr>
        <w:pStyle w:val="FirstParagraph"/>
      </w:pPr>
      <w:r>
        <w:t xml:space="preserve">This script independently checks the polynomial first-image response derived in Manuscript equations (3.31a)–(3.31f), including</w:t>
      </w:r>
    </w:p>
    <w:p>
      <w:pPr>
        <w:pStyle w:val="BodyText"/>
      </w:pPr>
      <m:oMathPara>
        <m:oMathParaPr>
          <m:jc m:val="center"/>
        </m:oMathParaPr>
        <m:oMath>
          <m:sSub>
            <m:e>
              <m:r>
                <m:t>P</m:t>
              </m:r>
            </m:e>
            <m:sub>
              <m:r>
                <m:t>3</m:t>
              </m:r>
            </m:sub>
          </m:sSub>
          <m:d>
            <m:dPr>
              <m:begChr m:val="("/>
              <m:endChr m:val=")"/>
              <m:sepChr m:val=""/>
              <m:grow/>
            </m:dPr>
            <m:e>
              <m:r>
                <m:t>L</m:t>
              </m:r>
            </m:e>
          </m:d>
          <m:r>
            <m:rPr>
              <m:sty m:val="p"/>
            </m:rPr>
            <m:t>=</m:t>
          </m:r>
          <m:r>
            <m:rPr>
              <m:sty m:val="p"/>
            </m:rPr>
            <m:t>−</m:t>
          </m:r>
          <m:f>
            <m:fPr>
              <m:type m:val="bar"/>
            </m:fPr>
            <m:num>
              <m:sSup>
                <m:e>
                  <m:r>
                    <m:t>L</m:t>
                  </m:r>
                </m:e>
                <m:sup>
                  <m:r>
                    <m:t>2</m:t>
                  </m:r>
                </m:sup>
              </m:sSup>
              <m:d>
                <m:dPr>
                  <m:begChr m:val="("/>
                  <m:endChr m:val=")"/>
                  <m:sepChr m:val=""/>
                  <m:grow/>
                </m:dPr>
                <m:e>
                  <m:r>
                    <m:t>10</m:t>
                  </m:r>
                  <m:sSup>
                    <m:e>
                      <m:r>
                        <m:t>L</m:t>
                      </m:r>
                    </m:e>
                    <m:sup>
                      <m:r>
                        <m:t>4</m:t>
                      </m:r>
                    </m:sup>
                  </m:sSup>
                  <m:r>
                    <m:rPr>
                      <m:sty m:val="p"/>
                    </m:rPr>
                    <m:t>−</m:t>
                  </m:r>
                  <m:r>
                    <m:t>147</m:t>
                  </m:r>
                  <m:sSup>
                    <m:e>
                      <m:r>
                        <m:t>L</m:t>
                      </m:r>
                    </m:e>
                    <m:sup>
                      <m:r>
                        <m:t>2</m:t>
                      </m:r>
                    </m:sup>
                  </m:sSup>
                  <m:r>
                    <m:rPr>
                      <m:sty m:val="p"/>
                    </m:rPr>
                    <m:t>+</m:t>
                  </m:r>
                  <m:r>
                    <m:t>315</m:t>
                  </m:r>
                </m:e>
              </m:d>
            </m:num>
            <m:den>
              <m:r>
                <m:t>105</m:t>
              </m:r>
            </m:den>
          </m:f>
        </m:oMath>
      </m:oMathPara>
    </w:p>
    <w:p>
      <w:pPr>
        <w:pStyle w:val="FirstParagraph"/>
      </w:pPr>
      <w:r>
        <w:t xml:space="preserve">and its value at</w:t>
      </w:r>
      <w:r>
        <w:t xml:space="preserve"> </w:t>
      </w:r>
      <m:oMath>
        <m:r>
          <m:t>L</m:t>
        </m:r>
        <m:r>
          <m:rPr>
            <m:sty m:val="p"/>
          </m:rPr>
          <m:t>=</m:t>
        </m:r>
        <m:r>
          <m:t>24</m:t>
        </m:r>
      </m:oMath>
      <w:r>
        <w:t xml:space="preserve">. The analytic derivation should be checked against the exact definitions of every jet coordinate used by the coefficient functional.</w:t>
      </w:r>
    </w:p>
    <w:bookmarkEnd w:id="29"/>
    <w:bookmarkStart w:id="30" w:name="fixed-side-coefficient-reduction"/>
    <w:p>
      <w:pPr>
        <w:pStyle w:val="Heading2"/>
        <w:keepNext/>
      </w:pPr>
      <w:r>
        <w:t xml:space="preserve">7.5 Fixed-side coefficient reduction</w:t>
      </w:r>
    </w:p>
    <w:p>
      <w:pPr>
        <w:pStyle w:val="FirstParagraph"/>
      </w:pPr>
      <w:r>
        <w:t xml:space="preserve">This script verifies the outer prefactor, cone radial factor, and symbolic recovery of the Euclidean coefficient from the fixed-side formula.</w:t>
      </w:r>
    </w:p>
    <w:bookmarkEnd w:id="30"/>
    <w:bookmarkStart w:id="31" w:name="poisson-dual-interval-and-image-tail"/>
    <w:p>
      <w:pPr>
        <w:pStyle w:val="Heading2"/>
        <w:keepNext/>
      </w:pPr>
      <w:r>
        <w:t xml:space="preserve">7.6 Poisson-dual interval and image tail</w:t>
      </w:r>
    </w:p>
    <w:p>
      <w:pPr>
        <w:pStyle w:val="FirstParagraph"/>
      </w:pPr>
      <w:r>
        <w:t xml:space="preserve">These scripts establish rational/high-precision bounds used to control</w:t>
      </w:r>
      <w:r>
        <w:t xml:space="preserve"> </w:t>
      </w:r>
      <m:oMath>
        <m:sSup>
          <m:e>
            <m:r>
              <m:t>e</m:t>
            </m:r>
          </m:e>
          <m:sup>
            <m:r>
              <m:rPr>
                <m:sty m:val="p"/>
              </m:rPr>
              <m:t>−</m:t>
            </m:r>
            <m:r>
              <m:t>288</m:t>
            </m:r>
          </m:sup>
        </m:sSup>
      </m:oMath>
      <w:r>
        <w:t xml:space="preserve">, image sums, the jet remainder, and the induced relative coefficient error. They assume the analytic mapping from covariance jets to the coefficient has the stated derivative bounds.</w:t>
      </w:r>
    </w:p>
    <w:bookmarkEnd w:id="31"/>
    <w:bookmarkStart w:id="32" w:name="coefficient-map-bounds"/>
    <w:p>
      <w:pPr>
        <w:pStyle w:val="Heading2"/>
        <w:keepNext/>
      </w:pPr>
      <w:r>
        <w:t xml:space="preserve">7.7 Coefficient-map bounds</w:t>
      </w:r>
    </w:p>
    <w:p>
      <w:pPr>
        <w:pStyle w:val="FirstParagraph"/>
      </w:pPr>
      <w:r>
        <w:t xml:space="preserve">This integer ledger checks deliberately loose matrix-inverse, Schur-complement, moment, and product-rule bounds. It does not automatically establish every premise such as the stated eigenvalue floors, covariance ceilings, or differentiability of the fixed-cone moment.</w:t>
      </w:r>
    </w:p>
    <w:bookmarkEnd w:id="32"/>
    <w:bookmarkStart w:id="33" w:name="energy-margins"/>
    <w:p>
      <w:pPr>
        <w:pStyle w:val="Heading2"/>
        <w:keepNext/>
      </w:pPr>
      <w:r>
        <w:t xml:space="preserve">7.8 Energy margins</w:t>
      </w:r>
    </w:p>
    <w:p>
      <w:pPr>
        <w:pStyle w:val="FirstParagraph"/>
      </w:pPr>
      <w:r>
        <w:t xml:space="preserve">The exact</w:t>
      </w:r>
      <w:r>
        <w:t xml:space="preserve"> </w:t>
      </w:r>
      <w:r>
        <w:rPr>
          <w:rStyle w:val="VerbatimChar"/>
        </w:rPr>
        <w:t xml:space="preserve">Fraction</w:t>
      </w:r>
      <w:r>
        <w:t xml:space="preserve"> </w:t>
      </w:r>
      <w:r>
        <w:t xml:space="preserve">arithmetic verifies the margins used by the energy-adapted escape repair. Appendix Module J now supplies the continuous deterministic inward/outward derivation; the ledger does not prove the conditioned</w:t>
      </w:r>
      <w:r>
        <w:t xml:space="preserve"> </w:t>
      </w:r>
      <m:oMath>
        <m:sSup>
          <m:e>
            <m:r>
              <m:t>C</m:t>
            </m:r>
          </m:e>
          <m:sup>
            <m:r>
              <m:t>1</m:t>
            </m:r>
          </m:sup>
        </m:sSup>
      </m:oMath>
      <w:r>
        <w:t xml:space="preserve"> </w:t>
      </w:r>
      <w:r>
        <w:t xml:space="preserve">approximation or the determinant-weighted probabilities of its exceptional events.</w:t>
      </w:r>
    </w:p>
    <w:bookmarkEnd w:id="33"/>
    <w:bookmarkStart w:id="34" w:name="absolute-normalization-and-ordered-pairs"/>
    <w:p>
      <w:pPr>
        <w:pStyle w:val="Heading2"/>
        <w:keepNext/>
      </w:pPr>
      <w:r>
        <w:t xml:space="preserve">7.9 Absolute normalization and ordered pairs</w:t>
      </w:r>
    </w:p>
    <w:p>
      <w:pPr>
        <w:pStyle w:val="FirstParagraph"/>
      </w:pPr>
      <w:r>
        <w:t xml:space="preserve">These scripts verify the scalar recombination, midpoint determinant, radial power, and antipodal convention. The topology of the elder pairing and unit multiplicity should still be checked as mathematics, not inferred from program output.</w:t>
      </w:r>
    </w:p>
    <w:bookmarkEnd w:id="34"/>
    <w:bookmarkEnd w:id="35"/>
    <w:bookmarkStart w:id="36" w:name="clean-environment-execution-status"/>
    <w:p>
      <w:pPr>
        <w:pStyle w:val="Heading1"/>
        <w:keepNext/>
      </w:pPr>
      <w:r>
        <w:t xml:space="preserve">8. Clean-environment execution status</w:t>
      </w:r>
    </w:p>
    <w:p>
      <w:pPr>
        <w:pStyle w:val="FirstParagraph"/>
      </w:pPr>
      <w:r>
        <w:t xml:space="preserve">All fourteen required ledgers were executed from the pinned clean environment on 31 July 2026. Every subprocess returned zero, every source printed</w:t>
      </w:r>
      <w:r>
        <w:t xml:space="preserve"> </w:t>
      </w:r>
      <w:r>
        <w:rPr>
          <w:rStyle w:val="VerbatimChar"/>
        </w:rPr>
        <w:t xml:space="preserve">ALL_ASSERTIONS_PASS</w:t>
      </w:r>
      <w:r>
        <w:t xml:space="preserve">, and</w:t>
      </w:r>
      <w:r>
        <w:t xml:space="preserve"> </w:t>
      </w:r>
      <w:r>
        <w:rPr>
          <w:rStyle w:val="VerbatimChar"/>
        </w:rPr>
        <w:t xml:space="preserve">run_all.py</w:t>
      </w:r>
      <w:r>
        <w:t xml:space="preserve"> </w:t>
      </w:r>
      <w:r>
        <w:t xml:space="preserve">ended in</w:t>
      </w:r>
      <w:r>
        <w:t xml:space="preserve"> </w:t>
      </w:r>
      <w:r>
        <w:rPr>
          <w:rStyle w:val="VerbatimChar"/>
        </w:rPr>
        <w:t xml:space="preserve">ALL_REQUIRED_LEDGERS_PASS</w:t>
      </w:r>
      <w:r>
        <w:t xml:space="preserve">. The optional 400-digit cross-check also returned zero and printed its three pass lines plus</w:t>
      </w:r>
      <w:r>
        <w:t xml:space="preserve"> </w:t>
      </w:r>
      <w:r>
        <w:rPr>
          <w:rStyle w:val="VerbatimChar"/>
        </w:rPr>
        <w:t xml:space="preserve">ALL_ASSERTIONS_PASS</w:t>
      </w:r>
      <w:r>
        <w:t xml:space="preserve">.</w:t>
      </w:r>
    </w:p>
    <w:p>
      <w:pPr>
        <w:pStyle w:val="BodyText"/>
      </w:pPr>
      <w:r>
        <w:t xml:space="preserve">The exact tested environment and logs are bundled as:</w:t>
      </w:r>
    </w:p>
    <w:p>
      <w:pPr>
        <w:numPr>
          <w:ilvl w:val="0"/>
          <w:numId w:val="1002"/>
        </w:numPr>
        <w:pStyle w:val="Compact"/>
      </w:pPr>
      <w:r>
        <w:rPr>
          <w:rStyle w:val="VerbatimChar"/>
        </w:rPr>
        <w:t xml:space="preserve">EXECUTION_ENVIRONMENT.txt</w:t>
      </w:r>
      <w:r>
        <w:t xml:space="preserve">;</w:t>
      </w:r>
    </w:p>
    <w:p>
      <w:pPr>
        <w:numPr>
          <w:ilvl w:val="0"/>
          <w:numId w:val="1002"/>
        </w:numPr>
        <w:pStyle w:val="Compact"/>
      </w:pPr>
      <w:r>
        <w:rPr>
          <w:rStyle w:val="VerbatimChar"/>
        </w:rPr>
        <w:t xml:space="preserve">RUN_COMMANDS.txt</w:t>
      </w:r>
      <w:r>
        <w:t xml:space="preserve">;</w:t>
      </w:r>
    </w:p>
    <w:p>
      <w:pPr>
        <w:numPr>
          <w:ilvl w:val="0"/>
          <w:numId w:val="1002"/>
        </w:numPr>
        <w:pStyle w:val="Compact"/>
      </w:pPr>
      <w:r>
        <w:rPr>
          <w:rStyle w:val="VerbatimChar"/>
        </w:rPr>
        <w:t xml:space="preserve">RUN_ALL_2026-07-31.txt</w:t>
      </w:r>
      <w:r>
        <w:t xml:space="preserve">;</w:t>
      </w:r>
    </w:p>
    <w:p>
      <w:pPr>
        <w:numPr>
          <w:ilvl w:val="0"/>
          <w:numId w:val="1002"/>
        </w:numPr>
        <w:pStyle w:val="Compact"/>
      </w:pPr>
      <w:r>
        <w:rPr>
          <w:rStyle w:val="VerbatimChar"/>
        </w:rPr>
        <w:t xml:space="preserve">OPTIONAL_HIGH_PRECISION_2026-07-31.txt</w:t>
      </w:r>
      <w:r>
        <w:t xml:space="preserve">;</w:t>
      </w:r>
    </w:p>
    <w:p>
      <w:pPr>
        <w:numPr>
          <w:ilvl w:val="0"/>
          <w:numId w:val="1002"/>
        </w:numPr>
        <w:pStyle w:val="Compact"/>
      </w:pPr>
      <w:r>
        <w:rPr>
          <w:rStyle w:val="VerbatimChar"/>
        </w:rPr>
        <w:t xml:space="preserve">OPTIMIZED_MODE_GUARD_2026-07-31.txt</w:t>
      </w:r>
      <w:r>
        <w:t xml:space="preserve">;</w:t>
      </w:r>
    </w:p>
    <w:p>
      <w:pPr>
        <w:numPr>
          <w:ilvl w:val="0"/>
          <w:numId w:val="1002"/>
        </w:numPr>
        <w:pStyle w:val="Compact"/>
      </w:pPr>
      <w:r>
        <w:rPr>
          <w:rStyle w:val="VerbatimChar"/>
        </w:rPr>
        <w:t xml:space="preserve">EXPECTED_OUTPUT_COMPARISON_2026-07-31.txt</w:t>
      </w:r>
      <w:r>
        <w:t xml:space="preserve">.</w:t>
      </w:r>
    </w:p>
    <w:p>
      <w:pPr>
        <w:pStyle w:val="FirstParagraph"/>
      </w:pPr>
      <w:r>
        <w:t xml:space="preserve">The helper</w:t>
      </w:r>
      <w:r>
        <w:t xml:space="preserve"> </w:t>
      </w:r>
      <w:r>
        <w:rPr>
          <w:rStyle w:val="VerbatimChar"/>
        </w:rPr>
        <w:t xml:space="preserve">refresh_expected_outputs.py</w:t>
      </w:r>
      <w:r>
        <w:t xml:space="preserve"> </w:t>
      </w:r>
      <w:r>
        <w:t xml:space="preserve">regenerated all fourteen required transcripts and the optional transcript in that environment. It is a maintenance tool, not a mathematical check beyond the sources it executes.</w:t>
      </w:r>
    </w:p>
    <w:p>
      <w:pPr>
        <w:pStyle w:val="BodyText"/>
      </w:pPr>
      <w:r>
        <w:t xml:space="preserve">The guard test</w:t>
      </w:r>
      <w:r>
        <w:t xml:space="preserve"> </w:t>
      </w:r>
      <w:r>
        <w:rPr>
          <w:rStyle w:val="VerbatimChar"/>
        </w:rPr>
        <w:t xml:space="preserve">python -O run_all.py</w:t>
      </w:r>
      <w:r>
        <w:t xml:space="preserve"> </w:t>
      </w:r>
      <w:r>
        <w:t xml:space="preserve">failed before running the ledgers, as intended.</w:t>
      </w:r>
    </w:p>
    <w:bookmarkEnd w:id="36"/>
    <w:bookmarkStart w:id="37" w:name="repaired-transcript-inconsistency"/>
    <w:p>
      <w:pPr>
        <w:pStyle w:val="Heading1"/>
        <w:keepNext/>
      </w:pPr>
      <w:r>
        <w:t xml:space="preserve">9. Repaired transcript inconsistency</w:t>
      </w:r>
    </w:p>
    <w:p>
      <w:pPr>
        <w:pStyle w:val="FirstParagraph"/>
      </w:pPr>
      <w:r>
        <w:t xml:space="preserve">The historical source/result pair disagreed about the relative Hessian line and the Taylor exponent. The revised source now computes and prints:</w:t>
      </w:r>
    </w:p>
    <w:p>
      <w:pPr>
        <w:pStyle w:val="SourceCode"/>
        <w:keepLines/>
        <w:widowControl/>
        <w:spacing w:before="0" w:after="0"/>
      </w:pPr>
      <w:r>
        <w:rPr>
          <w:rStyle w:val="VerbatimChar"/>
        </w:rPr>
        <w:t xml:space="preserve">RELATIVE_PHI_D2 = 2839425186941979487488000</w:t>
      </w:r>
      <w:r>
        <w:br/>
      </w:r>
      <w:r>
        <w:rPr>
          <w:rStyle w:val="VerbatimChar"/>
        </w:rPr>
        <w:t xml:space="preserve">DECLARED_HESSIAN_BOUND = 1e40</w:t>
      </w:r>
      <w:r>
        <w:br/>
      </w:r>
      <w:r>
        <w:rPr>
          <w:rStyle w:val="VerbatimChar"/>
        </w:rPr>
        <w:t xml:space="preserve">DECLARED_RELATIVE_HESSIAN_BOUND = 1e42</w:t>
      </w:r>
      <w:r>
        <w:br/>
      </w:r>
      <w:r>
        <w:rPr>
          <w:rStyle w:val="VerbatimChar"/>
        </w:rPr>
        <w:t xml:space="preserve">TAYLOR_REMAINDER_AT_1e-113 &lt;= 5e-185</w:t>
      </w:r>
    </w:p>
    <w:p>
      <w:pPr>
        <w:pStyle w:val="FirstParagraph"/>
      </w:pPr>
      <w:r>
        <w:t xml:space="preserve">The calculation is</w:t>
      </w:r>
    </w:p>
    <w:p>
      <w:pPr>
        <w:pStyle w:val="BodyText"/>
      </w:pPr>
      <m:oMathPara>
        <m:oMathParaPr>
          <m:jc m:val="center"/>
        </m:oMathParaPr>
        <m:oMath>
          <m:f>
            <m:fPr>
              <m:type m:val="bar"/>
            </m:fPr>
            <m:num>
              <m:r>
                <m:t>1</m:t>
              </m:r>
            </m:num>
            <m:den>
              <m:r>
                <m:t>2</m:t>
              </m:r>
            </m:den>
          </m:f>
          <m:r>
            <m:t> </m:t>
          </m:r>
          <m:sSup>
            <m:e>
              <m:r>
                <m:t>10</m:t>
              </m:r>
            </m:e>
            <m:sup>
              <m:r>
                <m:t>42</m:t>
              </m:r>
            </m:sup>
          </m:sSup>
          <m:sSup>
            <m:e>
              <m:d>
                <m:dPr>
                  <m:begChr m:val="("/>
                  <m:endChr m:val=")"/>
                  <m:sepChr m:val=""/>
                  <m:grow/>
                </m:dPr>
                <m:e>
                  <m:sSup>
                    <m:e>
                      <m:r>
                        <m:t>10</m:t>
                      </m:r>
                    </m:e>
                    <m:sup>
                      <m:r>
                        <m:rPr>
                          <m:sty m:val="p"/>
                        </m:rPr>
                        <m:t>−</m:t>
                      </m:r>
                      <m:r>
                        <m:t>113</m:t>
                      </m:r>
                    </m:sup>
                  </m:sSup>
                </m:e>
              </m:d>
            </m:e>
            <m:sup>
              <m:r>
                <m:t>2</m:t>
              </m:r>
            </m:sup>
          </m:sSup>
          <m:r>
            <m:rPr>
              <m:sty m:val="p"/>
            </m:rPr>
            <m:t>=</m:t>
          </m:r>
          <m:r>
            <m:t>5</m:t>
          </m:r>
          <m:r>
            <m:rPr>
              <m:sty m:val="p"/>
            </m:rPr>
            <m:t>×</m:t>
          </m:r>
          <m:sSup>
            <m:e>
              <m:r>
                <m:t>10</m:t>
              </m:r>
            </m:e>
            <m:sup>
              <m:r>
                <m:rPr>
                  <m:sty m:val="p"/>
                </m:rPr>
                <m:t>−</m:t>
              </m:r>
              <m:r>
                <m:t>185</m:t>
              </m:r>
            </m:sup>
          </m:sSup>
          <m:r>
            <m:rPr>
              <m:sty m:val="p"/>
            </m:rPr>
            <m:t>.</m:t>
          </m:r>
        </m:oMath>
      </m:oMathPara>
    </w:p>
    <w:p>
      <w:pPr>
        <w:pStyle w:val="FirstParagraph"/>
      </w:pPr>
      <w:r>
        <w:t xml:space="preserve">The synchronized output is</w:t>
      </w:r>
      <w:r>
        <w:t xml:space="preserve"> </w:t>
      </w:r>
      <w:r>
        <w:rPr>
          <w:rStyle w:val="VerbatimChar"/>
        </w:rPr>
        <w:t xml:space="preserve">coefficient_map_bounds_v1_0.expected.txt</w:t>
      </w:r>
      <w:r>
        <w:t xml:space="preserve">. The former Drive transcript remains as</w:t>
      </w:r>
      <w:r>
        <w:t xml:space="preserve"> </w:t>
      </w:r>
      <w:r>
        <w:rPr>
          <w:rStyle w:val="VerbatimChar"/>
        </w:rPr>
        <w:t xml:space="preserve">coefficient_map_bounds_v1_0.drive_result.txt</w:t>
      </w:r>
      <w:r>
        <w:t xml:space="preserve"> </w:t>
      </w:r>
      <w:r>
        <w:t xml:space="preserve">for disclosure only. The two files are intentionally not represented as equivalent.</w:t>
      </w:r>
    </w:p>
    <w:bookmarkEnd w:id="37"/>
    <w:bookmarkStart w:id="38" w:name="independent-reproduction-checklist"/>
    <w:p>
      <w:pPr>
        <w:pStyle w:val="Heading1"/>
        <w:keepNext/>
      </w:pPr>
      <w:r>
        <w:t xml:space="preserve">10. Independent reproduction checklist</w:t>
      </w:r>
    </w:p>
    <w:p>
      <w:pPr>
        <w:numPr>
          <w:ilvl w:val="0"/>
          <w:numId w:val="1003"/>
        </w:numPr>
        <w:pStyle w:val="Compact"/>
      </w:pPr>
      <w:r>
        <w:t xml:space="preserve">☐ Verify the package SHA-256 hashes before running code.</w:t>
      </w:r>
    </w:p>
    <w:p>
      <w:pPr>
        <w:numPr>
          <w:ilvl w:val="0"/>
          <w:numId w:val="1003"/>
        </w:numPr>
        <w:pStyle w:val="Compact"/>
      </w:pPr>
      <w:r>
        <w:t xml:space="preserve">☐ Create a clean virtual environment.</w:t>
      </w:r>
    </w:p>
    <w:p>
      <w:pPr>
        <w:numPr>
          <w:ilvl w:val="0"/>
          <w:numId w:val="1003"/>
        </w:numPr>
        <w:pStyle w:val="Compact"/>
      </w:pPr>
      <w:r>
        <w:t xml:space="preserve">☐ Record Python, SymPy, mpmath, operating system, and architecture.</w:t>
      </w:r>
    </w:p>
    <w:p>
      <w:pPr>
        <w:numPr>
          <w:ilvl w:val="0"/>
          <w:numId w:val="1003"/>
        </w:numPr>
        <w:pStyle w:val="Compact"/>
      </w:pPr>
      <w:r>
        <w:t xml:space="preserve">☐ Run</w:t>
      </w:r>
      <w:r>
        <w:t xml:space="preserve"> </w:t>
      </w:r>
      <w:r>
        <w:rPr>
          <w:rStyle w:val="VerbatimChar"/>
        </w:rPr>
        <w:t xml:space="preserve">python run_all.py</w:t>
      </w:r>
      <w:r>
        <w:t xml:space="preserve">.</w:t>
      </w:r>
    </w:p>
    <w:p>
      <w:pPr>
        <w:numPr>
          <w:ilvl w:val="0"/>
          <w:numId w:val="1003"/>
        </w:numPr>
        <w:pStyle w:val="Compact"/>
      </w:pPr>
      <w:r>
        <w:t xml:space="preserve">☐ Save complete standard output and standard error.</w:t>
      </w:r>
    </w:p>
    <w:p>
      <w:pPr>
        <w:numPr>
          <w:ilvl w:val="0"/>
          <w:numId w:val="1003"/>
        </w:numPr>
        <w:pStyle w:val="Compact"/>
      </w:pPr>
      <w:r>
        <w:t xml:space="preserve">☐ Compare exact symbolic lines with the bundled expected outputs.</w:t>
      </w:r>
    </w:p>
    <w:p>
      <w:pPr>
        <w:numPr>
          <w:ilvl w:val="0"/>
          <w:numId w:val="1003"/>
        </w:numPr>
        <w:pStyle w:val="Compact"/>
      </w:pPr>
      <w:r>
        <w:t xml:space="preserve">☐ Investigate any formatting difference that reflects a mathematical difference.</w:t>
      </w:r>
    </w:p>
    <w:p>
      <w:pPr>
        <w:numPr>
          <w:ilvl w:val="0"/>
          <w:numId w:val="1003"/>
        </w:numPr>
        <w:pStyle w:val="Compact"/>
      </w:pPr>
      <w:r>
        <w:t xml:space="preserve">☐ Independently derive at least one headline constant without copying the script.</w:t>
      </w:r>
    </w:p>
    <w:p>
      <w:pPr>
        <w:numPr>
          <w:ilvl w:val="0"/>
          <w:numId w:val="1003"/>
        </w:numPr>
        <w:pStyle w:val="Compact"/>
      </w:pPr>
      <w:r>
        <w:t xml:space="preserve">☐ Check that every symbolic variable matches the manuscript convention.</w:t>
      </w:r>
    </w:p>
    <w:p>
      <w:pPr>
        <w:numPr>
          <w:ilvl w:val="0"/>
          <w:numId w:val="1003"/>
        </w:numPr>
        <w:pStyle w:val="Compact"/>
      </w:pPr>
      <w:r>
        <w:t xml:space="preserve">☐ Treat pass markers as computational evidence only.</w:t>
      </w:r>
    </w:p>
    <w:p>
      <w:pPr>
        <w:numPr>
          <w:ilvl w:val="0"/>
          <w:numId w:val="1003"/>
        </w:numPr>
        <w:pStyle w:val="Compact"/>
      </w:pPr>
      <w:r>
        <w:t xml:space="preserve">☐ Confirm that the revised coefficient-bound output matches</w:t>
      </w:r>
      <w:r>
        <w:t xml:space="preserve"> </w:t>
      </w:r>
      <w:r>
        <w:rPr>
          <w:rStyle w:val="VerbatimChar"/>
        </w:rPr>
        <w:t xml:space="preserve">coefficient_map_bounds_v1_0.expected.txt</w:t>
      </w:r>
      <w:r>
        <w:t xml:space="preserve">.</w:t>
      </w:r>
    </w:p>
    <w:p>
      <w:pPr>
        <w:numPr>
          <w:ilvl w:val="0"/>
          <w:numId w:val="1003"/>
        </w:numPr>
        <w:pStyle w:val="Compact"/>
      </w:pPr>
      <w:r>
        <w:t xml:space="preserve">☐ If changes are made, issue a new dated snapshot and new checksums.</w:t>
      </w:r>
    </w:p>
    <w:bookmarkEnd w:id="38"/>
    <w:bookmarkStart w:id="39" w:name="theorem-crosswalk"/>
    <w:p>
      <w:pPr>
        <w:pStyle w:val="Heading1"/>
        <w:keepNext/>
      </w:pPr>
      <w:r>
        <w:t xml:space="preserve">11. Theorem crosswalk</w:t>
      </w:r>
    </w:p>
    <w:tbl>
      <w:tblPr>
        <w:tblStyle w:val="Table"/>
        <w:tblW w:type="pct" w:w="5000"/>
        <w:tblLayout w:type="autofit"/>
        <w:tblLook w:firstRow="1" w:lastRow="0" w:firstColumn="0" w:lastColumn="0" w:noHBand="0" w:noVBand="0" w:val="0020"/>
        <w:jc w:val="start"/>
      </w:tblPr>
      <w:tblGrid>
        <w:gridCol w:w="3960"/>
        <w:gridCol w:w="3960"/>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Manuscript claim</w:t>
            </w:r>
          </w:p>
        </w:tc>
        <w:tc>
          <w:tcPr>
            <w:tcMar>
              <w:top w:w="80" w:type="dxa"/>
              <w:left w:w="80" w:type="dxa"/>
              <w:bottom w:w="80" w:type="dxa"/>
              <w:right w:w="80" w:type="dxa"/>
            </w:tcMar>
          </w:tcPr>
          <w:p>
            <w:pPr>
              <w:pStyle w:val="Compact"/>
              <w:spacing w:after="40"/>
              <w:jc w:val="left"/>
            </w:pPr>
            <w:r>
              <w:rPr>
                <w:rFonts w:ascii="Arial" w:hAnsi="Arial"/>
                <w:b/>
                <w:sz w:val="17"/>
              </w:rPr>
              <w:t xml:space="preserve">Primary scripts</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Pin/collar/singular covariance structure</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triple_contact_covariance_v1_0.py</w:t>
            </w:r>
            <w:r>
              <w:rPr>
                <w:rFonts w:ascii="Arial" w:hAnsi="Arial"/>
                <w:sz w:val="17"/>
              </w:rPr>
              <w:t xml:space="preserve">,</w:t>
            </w:r>
            <w:r>
              <w:rPr>
                <w:rFonts w:ascii="Arial" w:hAnsi="Arial"/>
                <w:sz w:val="17"/>
              </w:rPr>
              <w:t xml:space="preserve"> </w:t>
            </w:r>
            <w:r>
              <w:rPr>
                <w:rStyle w:val="VerbatimChar"/>
                <w:rFonts w:ascii="Arial" w:hAnsi="Arial"/>
                <w:sz w:val="17"/>
              </w:rPr>
              <w:t xml:space="preserve">periodized_transfer_stability_v1_0.py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Triple-Hessian vanishing factor</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triple_hessian_elimination_v1_0.py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Prefactor</w:t>
            </w:r>
            <w:r>
              <w:rPr>
                <w:rFonts w:ascii="Arial" w:hAnsi="Arial"/>
                <w:sz w:val="17"/>
              </w:rPr>
              <w:t xml:space="preserve"> </w:t>
            </w:r>
            <m:oMath>
              <m:sSub>
                <m:e>
                  <m:r>
                    <m:t>B</m:t>
                  </m:r>
                </m:e>
                <m:sub>
                  <m:r>
                    <m:t>3</m:t>
                  </m:r>
                </m:sub>
              </m:sSub>
            </m:oMath>
            <w:r>
              <w:rPr>
                <w:rFonts w:ascii="Arial" w:hAnsi="Arial"/>
                <w:sz w:val="17"/>
              </w:rPr>
              <w:t xml:space="preserve"> </w:t>
            </w:r>
            <w:r>
              <w:rPr>
                <w:rFonts w:ascii="Arial" w:hAnsi="Arial"/>
                <w:sz w:val="17"/>
              </w:rPr>
              <w:t xml:space="preserve">and Euclidean recovery</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finite_L_reduction_v1_0.py</w:t>
            </w:r>
            <w:r>
              <w:rPr>
                <w:rFonts w:ascii="Arial" w:hAnsi="Arial"/>
                <w:sz w:val="17"/>
              </w:rPr>
              <w:t xml:space="preserve">,</w:t>
            </w:r>
            <w:r>
              <w:rPr>
                <w:rFonts w:ascii="Arial" w:hAnsi="Arial"/>
                <w:sz w:val="17"/>
              </w:rPr>
              <w:t xml:space="preserve"> </w:t>
            </w:r>
            <w:r>
              <w:rPr>
                <w:rStyle w:val="VerbatimChar"/>
                <w:rFonts w:ascii="Arial" w:hAnsi="Arial"/>
                <w:sz w:val="17"/>
              </w:rPr>
              <w:t xml:space="preserve">absolute_normalization_v1_0.py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GOE/cone moment</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goe_coefficient_v1_0.py</w:t>
            </w:r>
            <w:r>
              <w:rPr>
                <w:rFonts w:ascii="Arial" w:hAnsi="Arial"/>
                <w:sz w:val="17"/>
              </w:rPr>
              <w:t xml:space="preserve">,</w:t>
            </w:r>
            <w:r>
              <w:rPr>
                <w:rFonts w:ascii="Arial" w:hAnsi="Arial"/>
                <w:sz w:val="17"/>
              </w:rPr>
              <w:t xml:space="preserve"> </w:t>
            </w:r>
            <w:r>
              <w:rPr>
                <w:rStyle w:val="VerbatimChar"/>
                <w:rFonts w:ascii="Arial" w:hAnsi="Arial"/>
                <w:sz w:val="17"/>
              </w:rPr>
              <w:t xml:space="preserve">gaussian_cone_reduction_v1_0.py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First-image correction</w:t>
            </w:r>
            <w:r>
              <w:rPr>
                <w:rFonts w:ascii="Arial" w:hAnsi="Arial"/>
                <w:sz w:val="17"/>
              </w:rPr>
              <w:t xml:space="preserve"> </w:t>
            </w:r>
            <m:oMath>
              <m:sSub>
                <m:e>
                  <m:r>
                    <m:t>P</m:t>
                  </m:r>
                </m:e>
                <m:sub>
                  <m:r>
                    <m:t>3</m:t>
                  </m:r>
                </m:sub>
              </m:sSub>
              <m:d>
                <m:dPr>
                  <m:begChr m:val="("/>
                  <m:endChr m:val=")"/>
                  <m:sepChr m:val=""/>
                  <m:grow/>
                </m:dPr>
                <m:e>
                  <m:r>
                    <m:t>24</m:t>
                  </m:r>
                </m:e>
              </m:d>
            </m:oMath>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periodization_first_variation_v1_0.py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Analytic derivative bounds</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coefficient_map_bounds_v1_0.py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Image-tail remainder</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poisson_dual_interval_v1_0.py</w:t>
            </w:r>
            <w:r>
              <w:rPr>
                <w:rFonts w:ascii="Arial" w:hAnsi="Arial"/>
                <w:sz w:val="17"/>
              </w:rPr>
              <w:t xml:space="preserve">,</w:t>
            </w:r>
            <w:r>
              <w:rPr>
                <w:rFonts w:ascii="Arial" w:hAnsi="Arial"/>
                <w:sz w:val="17"/>
              </w:rPr>
              <w:t xml:space="preserve"> </w:t>
            </w:r>
            <w:r>
              <w:rPr>
                <w:rStyle w:val="VerbatimChar"/>
                <w:rFonts w:ascii="Arial" w:hAnsi="Arial"/>
                <w:sz w:val="17"/>
              </w:rPr>
              <w:t xml:space="preserve">image_tail_remainder_v1_0.py</w:t>
            </w:r>
            <w:r>
              <w:rPr>
                <w:rFonts w:ascii="Arial" w:hAnsi="Arial"/>
                <w:sz w:val="17"/>
              </w:rPr>
              <w:t xml:space="preserve">,</w:t>
            </w:r>
            <w:r>
              <w:rPr>
                <w:rFonts w:ascii="Arial" w:hAnsi="Arial"/>
                <w:sz w:val="17"/>
              </w:rPr>
              <w:t xml:space="preserve"> </w:t>
            </w:r>
            <w:r>
              <w:rPr>
                <w:rStyle w:val="VerbatimChar"/>
                <w:rFonts w:ascii="Arial" w:hAnsi="Arial"/>
                <w:sz w:val="17"/>
              </w:rPr>
              <w:t xml:space="preserve">combined_pre_review_ledger_v1_0.py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Energy-adapted margins</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energy_margin_ledger_v1_3.py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Ordered-pair and radial ledger</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ordered_pair_ledger_v1_0.py</w:t>
            </w:r>
          </w:p>
        </w:tc>
      </w:tr>
    </w:tbl>
    <w:bookmarkEnd w:id="39"/>
    <w:bookmarkStart w:id="40" w:name="final-caution"/>
    <w:p>
      <w:pPr>
        <w:pStyle w:val="Heading1"/>
        <w:keepNext/>
      </w:pPr>
      <w:r>
        <w:t xml:space="preserve">12. Final caution</w:t>
      </w:r>
    </w:p>
    <w:p>
      <w:pPr>
        <w:pStyle w:val="FirstParagraph"/>
      </w:pPr>
      <w:r>
        <w:t xml:space="preserve">The most important unresolved items are not computational. The revision now supplies a Borel mark, an off-diagonal lemma, a component-based elder-failure exhaustion, a full GOE cone calculation, a consolidated deterministic capture/escape proof, its determinant-weighted exceptional-set transfer, and the fixed-distance witness bound; each still requires human checking. What remains mathematically open is the full finite-</w:t>
      </w:r>
      <m:oMath>
        <m:r>
          <m:t>r</m:t>
        </m:r>
      </m:oMath>
      <w:r>
        <w:t xml:space="preserve"> </w:t>
      </w:r>
      <w:r>
        <w:t xml:space="preserve">collar and singular-near triple-contact analysis and Module E’s joint finite-</w:t>
      </w:r>
      <m:oMath>
        <m:r>
          <m:t>r</m:t>
        </m:r>
      </m:oMath>
      <w:r>
        <w:t xml:space="preserve"> </w:t>
      </w:r>
      <w:r>
        <w:t xml:space="preserve">chart-transfer argument. The transfer script also discloses that its</w:t>
      </w:r>
      <w:r>
        <w:t xml:space="preserve"> </w:t>
      </w:r>
      <m:oMath>
        <m:sSup>
          <m:e>
            <m:r>
              <m:t>10</m:t>
            </m:r>
          </m:e>
          <m:sup>
            <m:r>
              <m:t>40</m:t>
            </m:r>
          </m:sup>
        </m:sSup>
      </m:oMath>
      <w:r>
        <w:t xml:space="preserve"> </w:t>
      </w:r>
      <w:r>
        <w:t xml:space="preserve">normalized-chart derivative bound is assumed and verifies the corrected</w:t>
      </w:r>
      <w:r>
        <w:t xml:space="preserve"> </w:t>
      </w:r>
      <m:oMath>
        <m:sSup>
          <m:e>
            <m:r>
              <m:t>C</m:t>
            </m:r>
          </m:e>
          <m:sup>
            <m:r>
              <m:t>8</m:t>
            </m:r>
          </m:sup>
        </m:sSup>
      </m:oMath>
      <w:r>
        <w:t xml:space="preserve"> </w:t>
      </w:r>
      <w:r>
        <w:t xml:space="preserve">shell bound rather than the false inherited</w:t>
      </w:r>
      <w:r>
        <w:t xml:space="preserve"> </w:t>
      </w:r>
      <m:oMath>
        <m:r>
          <m:t>3.1</m:t>
        </m:r>
        <m:r>
          <m:rPr>
            <m:sty m:val="p"/>
          </m:rPr>
          <m:t>×</m:t>
        </m:r>
        <m:sSup>
          <m:e>
            <m:r>
              <m:t>10</m:t>
            </m:r>
          </m:e>
          <m:sup>
            <m:r>
              <m:rPr>
                <m:sty m:val="p"/>
              </m:rPr>
              <m:t>−</m:t>
            </m:r>
            <m:r>
              <m:t>109</m:t>
            </m:r>
          </m:sup>
        </m:sSup>
      </m:oMath>
      <w:r>
        <w:t xml:space="preserve"> </w:t>
      </w:r>
      <w:r>
        <w:t xml:space="preserve">claim. Successful execution of every script leaves the open analytic questions untouched.</w:t>
      </w:r>
    </w:p>
    <w:bookmarkEnd w:id="40"/>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Reproduction guide: exact symbolic, rational, and high-precision checks</dc:title>
  <dc:creator>Dylan Roy</dc:creator>
  <dc:language>en-US</dc:language>
  <cp:keywords/>
  <dcterms:created xsi:type="dcterms:W3CDTF">2026-07-31T18:53:30Z</dcterms:created>
  <dcterms:modified xsi:type="dcterms:W3CDTF">2026-07-31T18:53:30Z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Side-24 review snapshot: 31 July 2026</vt:lpwstr>
  </property>
</Properties>
</file>