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60"/>
      </w:pPr>
      <w:r>
        <w:rPr>
          <w:rFonts w:ascii="Arial" w:hAnsi="Arial"/>
          <w:b w:val="0"/>
          <w:color w:val="000000"/>
          <w:sz w:val="52"/>
          <w:u w:val="none"/>
        </w:rPr>
        <w:t xml:space="preserve">Pre-peer-review</w:t>
      </w:r>
      <w:r>
        <w:rPr>
          <w:rFonts w:ascii="Arial" w:hAnsi="Arial"/>
          <w:b w:val="0"/>
          <w:color w:val="000000"/>
          <w:sz w:val="52"/>
          <w:u w:val="none"/>
        </w:rPr>
        <w:t xml:space="preserve"> </w:t>
      </w:r>
      <w:r>
        <w:rPr>
          <w:rFonts w:ascii="Arial" w:hAnsi="Arial"/>
          <w:b w:val="0"/>
          <w:color w:val="000000"/>
          <w:sz w:val="52"/>
          <w:u w:val="none"/>
        </w:rPr>
        <w:t xml:space="preserve">dossier:</w:t>
      </w:r>
      <w:r>
        <w:rPr>
          <w:rFonts w:ascii="Arial" w:hAnsi="Arial"/>
          <w:b w:val="0"/>
          <w:color w:val="000000"/>
          <w:sz w:val="52"/>
          <w:u w:val="none"/>
        </w:rPr>
        <w:t xml:space="preserve"> </w:t>
      </w:r>
      <w:r>
        <w:rPr>
          <w:rFonts w:ascii="Arial" w:hAnsi="Arial"/>
          <w:b w:val="0"/>
          <w:color w:val="000000"/>
          <w:sz w:val="52"/>
          <w:u w:val="none"/>
        </w:rPr>
        <w:t xml:space="preserve">short-lifetime</w:t>
      </w:r>
      <w:r>
        <w:rPr>
          <w:rFonts w:ascii="Arial" w:hAnsi="Arial"/>
          <w:b w:val="0"/>
          <w:color w:val="000000"/>
          <w:sz w:val="52"/>
          <w:u w:val="none"/>
        </w:rPr>
        <w:t xml:space="preserve"> </w:t>
      </w:r>
      <w:r>
        <w:rPr>
          <w:rFonts w:ascii="Arial" w:hAnsi="Arial"/>
          <w:b w:val="0"/>
          <w:color w:val="000000"/>
          <w:sz w:val="52"/>
          <w:u w:val="none"/>
        </w:rPr>
        <w:t xml:space="preserve">H0</w:t>
      </w:r>
      <w:r>
        <w:rPr>
          <w:rFonts w:ascii="Arial" w:hAnsi="Arial"/>
          <w:b w:val="0"/>
          <w:color w:val="000000"/>
          <w:sz w:val="52"/>
          <w:u w:val="none"/>
        </w:rPr>
        <w:t xml:space="preserve"> </w:t>
      </w:r>
      <w:r>
        <w:rPr>
          <w:rFonts w:ascii="Arial" w:hAnsi="Arial"/>
          <w:b w:val="0"/>
          <w:color w:val="000000"/>
          <w:sz w:val="52"/>
          <w:u w:val="none"/>
        </w:rPr>
        <w:t xml:space="preserve">persistence</w:t>
      </w:r>
      <w:r>
        <w:rPr>
          <w:rFonts w:ascii="Arial" w:hAnsi="Arial"/>
          <w:b w:val="0"/>
          <w:color w:val="000000"/>
          <w:sz w:val="52"/>
          <w:u w:val="none"/>
        </w:rPr>
        <w:t xml:space="preserve"> </w:t>
      </w:r>
      <w:r>
        <w:rPr>
          <w:rFonts w:ascii="Arial" w:hAnsi="Arial"/>
          <w:b w:val="0"/>
          <w:color w:val="000000"/>
          <w:sz w:val="52"/>
          <w:u w:val="none"/>
        </w:rPr>
        <w:t xml:space="preserve">for</w:t>
      </w:r>
      <w:r>
        <w:rPr>
          <w:rFonts w:ascii="Arial" w:hAnsi="Arial"/>
          <w:b w:val="0"/>
          <w:color w:val="000000"/>
          <w:sz w:val="52"/>
          <w:u w:val="none"/>
        </w:rPr>
        <w:t xml:space="preserve"> </w:t>
      </w:r>
      <w:r>
        <w:rPr>
          <w:rFonts w:ascii="Arial" w:hAnsi="Arial"/>
          <w:b w:val="0"/>
          <w:color w:val="000000"/>
          <w:sz w:val="52"/>
          <w:u w:val="none"/>
        </w:rPr>
        <w:t xml:space="preserve">the</w:t>
      </w:r>
      <w:r>
        <w:rPr>
          <w:rFonts w:ascii="Arial" w:hAnsi="Arial"/>
          <w:b w:val="0"/>
          <w:color w:val="000000"/>
          <w:sz w:val="52"/>
          <w:u w:val="none"/>
        </w:rPr>
        <w:t xml:space="preserve"> </w:t>
      </w:r>
      <w:r>
        <w:rPr>
          <w:rFonts w:ascii="Arial" w:hAnsi="Arial"/>
          <w:b w:val="0"/>
          <w:color w:val="000000"/>
          <w:sz w:val="52"/>
          <w:u w:val="none"/>
        </w:rPr>
        <w:t xml:space="preserve">side-24</w:t>
      </w:r>
      <w:r>
        <w:rPr>
          <w:rFonts w:ascii="Arial" w:hAnsi="Arial"/>
          <w:b w:val="0"/>
          <w:color w:val="000000"/>
          <w:sz w:val="52"/>
          <w:u w:val="none"/>
        </w:rPr>
        <w:t xml:space="preserve"> </w:t>
      </w:r>
      <w:r>
        <w:rPr>
          <w:rFonts w:ascii="Arial" w:hAnsi="Arial"/>
          <w:b w:val="0"/>
          <w:color w:val="000000"/>
          <w:sz w:val="52"/>
          <w:u w:val="none"/>
        </w:rPr>
        <w:t xml:space="preserve">periodized</w:t>
      </w:r>
      <w:r>
        <w:rPr>
          <w:rFonts w:ascii="Arial" w:hAnsi="Arial"/>
          <w:b w:val="0"/>
          <w:color w:val="000000"/>
          <w:sz w:val="52"/>
          <w:u w:val="none"/>
        </w:rPr>
        <w:t xml:space="preserve"> </w:t>
      </w:r>
      <w:r>
        <w:rPr>
          <w:rFonts w:ascii="Arial" w:hAnsi="Arial"/>
          <w:b w:val="0"/>
          <w:color w:val="000000"/>
          <w:sz w:val="52"/>
          <w:u w:val="none"/>
        </w:rPr>
        <w:t xml:space="preserve">Bargmann–Fock</w:t>
      </w:r>
      <w:r>
        <w:rPr>
          <w:rFonts w:ascii="Arial" w:hAnsi="Arial"/>
          <w:b w:val="0"/>
          <w:color w:val="000000"/>
          <w:sz w:val="52"/>
          <w:u w:val="none"/>
        </w:rPr>
        <w:t xml:space="preserve"> </w:t>
      </w:r>
      <w:r>
        <w:rPr>
          <w:rFonts w:ascii="Arial" w:hAnsi="Arial"/>
          <w:b w:val="0"/>
          <w:color w:val="000000"/>
          <w:sz w:val="52"/>
          <w:u w:val="none"/>
        </w:rPr>
        <w:t xml:space="preserve">field</w:t>
      </w:r>
    </w:p>
    <w:p>
      <w:pPr>
        <w:pStyle w:val="Author"/>
      </w:pPr>
      <w:r>
        <w:t xml:space="preserve">Dylan</w:t>
      </w:r>
      <w:r>
        <w:t xml:space="preserve"> </w:t>
      </w:r>
      <w:r>
        <w:t xml:space="preserve">Roy</w:t>
      </w:r>
    </w:p>
    <w:p>
      <w:pPr>
        <w:pStyle w:val="Date"/>
      </w:pPr>
      <w:r>
        <w:t xml:space="preserve">Revised</w:t>
      </w:r>
      <w:r>
        <w:t xml:space="preserve"> </w:t>
      </w:r>
      <w:r>
        <w:t xml:space="preserve">review</w:t>
      </w:r>
      <w:r>
        <w:t xml:space="preserve"> </w:t>
      </w:r>
      <w:r>
        <w:t xml:space="preserve">snapshot:</w:t>
      </w:r>
      <w:r>
        <w:t xml:space="preserve"> </w:t>
      </w:r>
      <w:r>
        <w:t xml:space="preserve">31</w:t>
      </w:r>
      <w:r>
        <w:t xml:space="preserve"> </w:t>
      </w:r>
      <w:r>
        <w:t xml:space="preserve">July</w:t>
      </w:r>
      <w:r>
        <w:t xml:space="preserve"> </w:t>
      </w:r>
      <w:r>
        <w:t xml:space="preserve">2026</w:t>
      </w:r>
    </w:p>
    <w:bookmarkStart w:id="20" w:name="status-and-purpose"/>
    <w:p>
      <w:pPr>
        <w:pStyle w:val="Heading1"/>
        <w:keepNext/>
      </w:pPr>
      <w:r>
        <w:t xml:space="preserve">Status and purpose</w:t>
      </w:r>
    </w:p>
    <w:p>
      <w:pPr>
        <w:pStyle w:val="FirstParagraph"/>
      </w:pPr>
      <w:r>
        <w:t xml:space="preserve">This dossier accompanies a candidate theorem about short-lifetime connected-component persistence for a smooth three-dimensional Gaussian field. It is written for a professor who may know Gaussian random fields, statistical physics, stochastic geometry, topology, or asymptotic analysis but may not specialize in persistent homology.</w:t>
      </w:r>
    </w:p>
    <w:p>
      <w:pPr>
        <w:pStyle w:val="BodyText"/>
      </w:pPr>
      <w:r>
        <w:t xml:space="preserve">The requested decision is not</w:t>
      </w:r>
      <w:r>
        <w:t xml:space="preserve"> </w:t>
      </w:r>
      <w:r>
        <w:t xml:space="preserve">“</w:t>
      </w:r>
      <w:r>
        <w:t xml:space="preserve">approve this paper.</w:t>
      </w:r>
      <w:r>
        <w:t xml:space="preserve">”</w:t>
      </w:r>
      <w:r>
        <w:t xml:space="preserve"> </w:t>
      </w:r>
      <w:r>
        <w:t xml:space="preserve">It is:</w:t>
      </w:r>
    </w:p>
    <w:p>
      <w:pPr>
        <w:pStyle w:val="BlockText"/>
      </w:pPr>
      <w:r>
        <w:t xml:space="preserve">Does the fixed-scope result appear mathematically sound and worth advancing toward a preprint, and if not, what is the earliest fatal or major gap?</w:t>
      </w:r>
    </w:p>
    <w:p>
      <w:pPr>
        <w:pStyle w:val="FirstParagraph"/>
      </w:pPr>
      <w:r>
        <w:t xml:space="preserve">The current state should be described as follows:</w:t>
      </w:r>
    </w:p>
    <w:p>
      <w:pPr>
        <w:pStyle w:val="BlockText"/>
      </w:pPr>
      <w:r>
        <w:t xml:space="preserve">A serious fixed-scope theorem candidate with a coherent local Kac–Rice scaling mechanism and an explicit coefficient calculation. The revised manuscript now includes the Borel elder mark, exact near-density pushforward, domination, off-diagonal lemma, component-based selection exhaustion, determinant-weighted dynamics transfer, and fixed-distance witness bound. The selected theorem still depends on the unresolved finite-</w:t>
      </w:r>
      <m:oMath>
        <m:r>
          <m:t>r</m:t>
        </m:r>
      </m:oMath>
      <w:r>
        <w:t xml:space="preserve"> </w:t>
      </w:r>
      <w:r>
        <w:t xml:space="preserve">collar and singular-near triple-contact analysis. There has been no independent human validation.</w:t>
      </w:r>
    </w:p>
    <w:p>
      <w:pPr>
        <w:pStyle w:val="FirstParagraph"/>
      </w:pPr>
      <w:r>
        <w:t xml:space="preserve">AI systems were used extensively during derivation, checking, criticism, and editing. Internal terms such as</w:t>
      </w:r>
      <w:r>
        <w:t xml:space="preserve"> </w:t>
      </w:r>
      <w:r>
        <w:t xml:space="preserve">“</w:t>
      </w:r>
      <w:r>
        <w:t xml:space="preserve">closed,</w:t>
      </w:r>
      <w:r>
        <w:t xml:space="preserve">”</w:t>
      </w:r>
      <w:r>
        <w:t xml:space="preserve"> </w:t>
      </w:r>
      <w:r>
        <w:t xml:space="preserve">“</w:t>
      </w:r>
      <w:r>
        <w:t xml:space="preserve">terminal,</w:t>
      </w:r>
      <w:r>
        <w:t xml:space="preserve">”</w:t>
      </w:r>
      <w:r>
        <w:t xml:space="preserve"> </w:t>
      </w:r>
      <w:r>
        <w:t xml:space="preserve">“</w:t>
      </w:r>
      <w:r>
        <w:t xml:space="preserve">passed,</w:t>
      </w:r>
      <w:r>
        <w:t xml:space="preserve">”</w:t>
      </w:r>
      <w:r>
        <w:t xml:space="preserve"> </w:t>
      </w:r>
      <w:r>
        <w:t xml:space="preserve">or</w:t>
      </w:r>
      <w:r>
        <w:t xml:space="preserve"> </w:t>
      </w:r>
      <w:r>
        <w:t xml:space="preserve">“</w:t>
      </w:r>
      <w:r>
        <w:t xml:space="preserve">external audit</w:t>
      </w:r>
      <w:r>
        <w:t xml:space="preserve">”</w:t>
      </w:r>
      <w:r>
        <w:t xml:space="preserve"> </w:t>
      </w:r>
      <w:r>
        <w:t xml:space="preserve">refer to the project’s own claim-management process. They are not independent academic review. Dylan Roy retains responsibility for every claim.</w:t>
      </w:r>
    </w:p>
    <w:bookmarkEnd w:id="20"/>
    <w:bookmarkStart w:id="25" w:name="one-page-result-summary"/>
    <w:p>
      <w:pPr>
        <w:pStyle w:val="Heading1"/>
        <w:keepNext/>
      </w:pPr>
      <w:r>
        <w:t xml:space="preserve">1. One-page result summary</w:t>
      </w:r>
    </w:p>
    <w:bookmarkStart w:id="21" w:name="the-random-field"/>
    <w:p>
      <w:pPr>
        <w:pStyle w:val="Heading2"/>
        <w:keepNext/>
      </w:pPr>
      <w:r>
        <w:t xml:space="preserve">1.1 The random field</w:t>
      </w:r>
    </w:p>
    <w:p>
      <w:pPr>
        <w:pStyle w:val="FirstParagraph"/>
      </w:pPr>
      <w:r>
        <w:t xml:space="preserve">Let</w:t>
      </w:r>
    </w:p>
    <w:p>
      <w:pPr>
        <w:pStyle w:val="BodyText"/>
      </w:pPr>
      <m:oMathPara>
        <m:oMathParaPr>
          <m:jc m:val="center"/>
        </m:oMathParaPr>
        <m:oMath>
          <m:sSubSup>
            <m:e>
              <m:r>
                <m:rPr>
                  <m:sty m:val="p"/>
                  <m:scr m:val="double-struck"/>
                </m:rPr>
                <m:t>T</m:t>
              </m:r>
            </m:e>
            <m:sub>
              <m:r>
                <m:t>24</m:t>
              </m:r>
            </m:sub>
            <m:sup>
              <m:r>
                <m:t>3</m:t>
              </m:r>
            </m:sup>
          </m:sSubSup>
          <m:r>
            <m:rPr>
              <m:sty m:val="p"/>
            </m:rPr>
            <m:t>=</m:t>
          </m:r>
          <m:sSup>
            <m:e>
              <m:d>
                <m:dPr>
                  <m:begChr m:val="("/>
                  <m:endChr m:val=")"/>
                  <m:sepChr m:val=""/>
                  <m:grow/>
                </m:dPr>
                <m:e>
                  <m:r>
                    <m:rPr>
                      <m:sty m:val="p"/>
                      <m:scr m:val="double-struck"/>
                    </m:rPr>
                    <m:t>R</m:t>
                  </m:r>
                  <m:r>
                    <m:rPr>
                      <m:sty m:val="p"/>
                    </m:rPr>
                    <m:t>/</m:t>
                  </m:r>
                  <m:r>
                    <m:t>24</m:t>
                  </m:r>
                  <m:r>
                    <m:rPr>
                      <m:sty m:val="p"/>
                      <m:scr m:val="double-struck"/>
                    </m:rPr>
                    <m:t>Z</m:t>
                  </m:r>
                </m:e>
              </m:d>
            </m:e>
            <m:sup>
              <m:r>
                <m:t>3</m:t>
              </m:r>
            </m:sup>
          </m:sSup>
        </m:oMath>
      </m:oMathPara>
    </w:p>
    <w:p>
      <w:pPr>
        <w:pStyle w:val="FirstParagraph"/>
      </w:pPr>
      <w:r>
        <w:t xml:space="preserve">and let</w:t>
      </w:r>
      <w:r>
        <w:t xml:space="preserve"> </w:t>
      </w:r>
      <m:oMath>
        <m:sSub>
          <m:e>
            <m:r>
              <m:t>f</m:t>
            </m:r>
          </m:e>
          <m:sub>
            <m:r>
              <m:t>24</m:t>
            </m:r>
          </m:sub>
        </m:sSub>
      </m:oMath>
      <w:r>
        <w:t xml:space="preserve"> </w:t>
      </w:r>
      <w:r>
        <w:t xml:space="preserve">be the centered stationary Gaussian field with covariance</w:t>
      </w:r>
    </w:p>
    <w:p>
      <w:pPr>
        <w:pStyle w:val="BodyText"/>
      </w:pPr>
      <m:oMathPara>
        <m:oMathParaPr>
          <m:jc m:val="center"/>
        </m:oMathParaPr>
        <m:oMath>
          <m:sSub>
            <m:e>
              <m:r>
                <m:t>K</m:t>
              </m:r>
            </m:e>
            <m:sub>
              <m:r>
                <m:t>24</m:t>
              </m:r>
            </m:sub>
          </m:sSub>
          <m:d>
            <m:dPr>
              <m:begChr m:val="("/>
              <m:endChr m:val=")"/>
              <m:sepChr m:val=""/>
              <m:grow/>
            </m:dPr>
            <m:e>
              <m:r>
                <m:t>z</m:t>
              </m:r>
            </m:e>
          </m:d>
          <m:r>
            <m:rPr>
              <m:sty m:val="p"/>
            </m:rPr>
            <m:t>=</m:t>
          </m:r>
          <m:sSubSup>
            <m:e>
              <m:r>
                <m:t>Z</m:t>
              </m:r>
            </m:e>
            <m:sub>
              <m:r>
                <m:t>24</m:t>
              </m:r>
            </m:sub>
            <m:sup>
              <m:r>
                <m:rPr>
                  <m:sty m:val="p"/>
                </m:rPr>
                <m:t>−</m:t>
              </m:r>
              <m:r>
                <m:t>1</m:t>
              </m:r>
            </m:sup>
          </m:sSubSup>
          <m:nary>
            <m:naryPr>
              <m:chr m:val="∑"/>
              <m:limLoc m:val="undOvr"/>
              <m:subHide m:val="off"/>
              <m:supHide m:val="on"/>
            </m:naryPr>
            <m:sub>
              <m:r>
                <m:t>n</m:t>
              </m:r>
              <m:r>
                <m:rPr>
                  <m:sty m:val="p"/>
                </m:rPr>
                <m:t>∈</m:t>
              </m:r>
              <m:sSup>
                <m:e>
                  <m:r>
                    <m:rPr>
                      <m:sty m:val="p"/>
                      <m:scr m:val="double-struck"/>
                    </m:rPr>
                    <m:t>Z</m:t>
                  </m:r>
                </m:e>
                <m:sup>
                  <m:r>
                    <m:t>3</m:t>
                  </m:r>
                </m:sup>
              </m:sSup>
            </m:sub>
            <m:sup>
              <m:r>
                <m:t>​</m:t>
              </m:r>
            </m:sup>
            <m:e>
              <m:r>
                <m:rPr>
                  <m:sty m:val="p"/>
                </m:rPr>
                <m:t>exp</m:t>
              </m:r>
            </m:e>
          </m:nary>
          <m:r>
            <m:t>​</m:t>
          </m:r>
          <m:d>
            <m:dPr>
              <m:begChr m:val="("/>
              <m:endChr m:val=")"/>
              <m:sepChr m:val=""/>
              <m:grow/>
            </m:dPr>
            <m:e>
              <m:r>
                <m:rPr>
                  <m:sty m:val="p"/>
                </m:rPr>
                <m:t>−</m:t>
              </m:r>
              <m:f>
                <m:fPr>
                  <m:type m:val="bar"/>
                </m:fPr>
                <m:num>
                  <m:sSup>
                    <m:e>
                      <m:d>
                        <m:dPr>
                          <m:begChr m:val="|"/>
                          <m:endChr m:val="|"/>
                          <m:sepChr m:val=""/>
                          <m:grow/>
                        </m:dPr>
                        <m:e>
                          <m:r>
                            <m:t>z</m:t>
                          </m:r>
                          <m:r>
                            <m:rPr>
                              <m:sty m:val="p"/>
                            </m:rPr>
                            <m:t>+</m:t>
                          </m:r>
                          <m:r>
                            <m:t>24</m:t>
                          </m:r>
                          <m:r>
                            <m:t>n</m:t>
                          </m:r>
                        </m:e>
                      </m:d>
                    </m:e>
                    <m:sup>
                      <m:r>
                        <m:t>2</m:t>
                      </m:r>
                    </m:sup>
                  </m:sSup>
                </m:num>
                <m:den>
                  <m:r>
                    <m:t>2</m:t>
                  </m:r>
                </m:den>
              </m:f>
            </m:e>
          </m:d>
          <m:r>
            <m:rPr>
              <m:sty m:val="p"/>
            </m:rPr>
            <m:t>,</m:t>
          </m:r>
          <m:r>
            <m:t>  </m:t>
          </m:r>
          <m:sSub>
            <m:e>
              <m:r>
                <m:t>Z</m:t>
              </m:r>
            </m:e>
            <m:sub>
              <m:r>
                <m:t>24</m:t>
              </m:r>
            </m:sub>
          </m:sSub>
          <m:r>
            <m:rPr>
              <m:sty m:val="p"/>
            </m:rPr>
            <m:t>=</m:t>
          </m:r>
          <m:nary>
            <m:naryPr>
              <m:chr m:val="∑"/>
              <m:limLoc m:val="undOvr"/>
              <m:subHide m:val="off"/>
              <m:supHide m:val="on"/>
            </m:naryPr>
            <m:sub>
              <m:r>
                <m:t>n</m:t>
              </m:r>
              <m:r>
                <m:rPr>
                  <m:sty m:val="p"/>
                </m:rPr>
                <m:t>∈</m:t>
              </m:r>
              <m:sSup>
                <m:e>
                  <m:r>
                    <m:rPr>
                      <m:sty m:val="p"/>
                      <m:scr m:val="double-struck"/>
                    </m:rPr>
                    <m:t>Z</m:t>
                  </m:r>
                </m:e>
                <m:sup>
                  <m:r>
                    <m:t>3</m:t>
                  </m:r>
                </m:sup>
              </m:sSup>
            </m:sub>
            <m:sup>
              <m:r>
                <m:t>​</m:t>
              </m:r>
            </m:sup>
            <m:e>
              <m:sSup>
                <m:e>
                  <m:r>
                    <m:t>e</m:t>
                  </m:r>
                </m:e>
                <m:sup>
                  <m:r>
                    <m:rPr>
                      <m:sty m:val="p"/>
                    </m:rPr>
                    <m:t>−</m:t>
                  </m:r>
                  <m:r>
                    <m:t>288</m:t>
                  </m:r>
                  <m:sSup>
                    <m:e>
                      <m:d>
                        <m:dPr>
                          <m:begChr m:val="|"/>
                          <m:endChr m:val="|"/>
                          <m:sepChr m:val=""/>
                          <m:grow/>
                        </m:dPr>
                        <m:e>
                          <m:r>
                            <m:t>n</m:t>
                          </m:r>
                        </m:e>
                      </m:d>
                    </m:e>
                    <m:sup>
                      <m:r>
                        <m:t>2</m:t>
                      </m:r>
                    </m:sup>
                  </m:sSup>
                </m:sup>
              </m:sSup>
            </m:e>
          </m:nary>
          <m:r>
            <m:rPr>
              <m:sty m:val="p"/>
            </m:rPr>
            <m:t>.</m:t>
          </m:r>
        </m:oMath>
      </m:oMathPara>
    </w:p>
    <w:p>
      <w:pPr>
        <w:pStyle w:val="FirstParagraph"/>
      </w:pPr>
      <w:r>
        <w:t xml:space="preserve">This is the variance-one periodization of the Euclidean Bargmann–Fock covariance</w:t>
      </w:r>
      <w:r>
        <w:t xml:space="preserve"> </w:t>
      </w:r>
      <m:oMath>
        <m:sSup>
          <m:e>
            <m:r>
              <m:t>e</m:t>
            </m:r>
          </m:e>
          <m:sup>
            <m:r>
              <m:rPr>
                <m:sty m:val="p"/>
              </m:rPr>
              <m:t>−</m:t>
            </m:r>
            <m:sSup>
              <m:e>
                <m:d>
                  <m:dPr>
                    <m:begChr m:val="|"/>
                    <m:endChr m:val="|"/>
                    <m:sepChr m:val=""/>
                    <m:grow/>
                  </m:dPr>
                  <m:e>
                    <m:r>
                      <m:t>z</m:t>
                    </m:r>
                  </m:e>
                </m:d>
              </m:e>
              <m:sup>
                <m:r>
                  <m:t>2</m:t>
                </m:r>
              </m:sup>
            </m:sSup>
            <m:r>
              <m:rPr>
                <m:sty m:val="p"/>
              </m:rPr>
              <m:t>/</m:t>
            </m:r>
            <m:r>
              <m:t>2</m:t>
            </m:r>
          </m:sup>
        </m:sSup>
      </m:oMath>
      <w:r>
        <w:t xml:space="preserve"> </w:t>
      </w:r>
      <w:r>
        <w:t xml:space="preserve">to the side-24 cubic torus.</w:t>
      </w:r>
    </w:p>
    <w:bookmarkEnd w:id="21"/>
    <w:bookmarkStart w:id="22" w:name="the-filtration-and-the-quantity-measured"/>
    <w:p>
      <w:pPr>
        <w:pStyle w:val="Heading2"/>
        <w:keepNext/>
      </w:pPr>
      <w:r>
        <w:t xml:space="preserve">1.2 The filtration and the quantity measured</w:t>
      </w:r>
    </w:p>
    <w:p>
      <w:pPr>
        <w:pStyle w:val="FirstParagraph"/>
      </w:pPr>
      <w:r>
        <w:t xml:space="preserve">Consider the superlevel sets</w:t>
      </w:r>
    </w:p>
    <w:p>
      <w:pPr>
        <w:pStyle w:val="BodyText"/>
      </w:pPr>
      <m:oMathPara>
        <m:oMathParaPr>
          <m:jc m:val="center"/>
        </m:oMathParaPr>
        <m:oMath>
          <m:sSub>
            <m:e>
              <m:r>
                <m:t>X</m:t>
              </m:r>
            </m:e>
            <m:sub>
              <m:r>
                <m:t>a</m:t>
              </m:r>
            </m:sub>
          </m:sSub>
          <m:r>
            <m:rPr>
              <m:sty m:val="p"/>
            </m:rPr>
            <m:t>=</m:t>
          </m:r>
          <m:r>
            <m:rPr>
              <m:sty m:val="p"/>
            </m:rPr>
            <m:t>{</m:t>
          </m:r>
          <m:r>
            <m:t>x</m:t>
          </m:r>
          <m:r>
            <m:rPr>
              <m:sty m:val="p"/>
            </m:rPr>
            <m:t>∈</m:t>
          </m:r>
          <m:sSubSup>
            <m:e>
              <m:r>
                <m:rPr>
                  <m:sty m:val="p"/>
                  <m:scr m:val="double-struck"/>
                </m:rPr>
                <m:t>T</m:t>
              </m:r>
            </m:e>
            <m:sub>
              <m:r>
                <m:t>24</m:t>
              </m:r>
            </m:sub>
            <m:sup>
              <m:r>
                <m:t>3</m:t>
              </m:r>
            </m:sup>
          </m:sSubSup>
          <m:r>
            <m:rPr>
              <m:sty m:val="p"/>
            </m:rPr>
            <m:t>:</m:t>
          </m:r>
          <m:sSub>
            <m:e>
              <m:r>
                <m:t>f</m:t>
              </m:r>
            </m:e>
            <m:sub>
              <m:r>
                <m:t>24</m:t>
              </m:r>
            </m:sub>
          </m:sSub>
          <m:d>
            <m:dPr>
              <m:begChr m:val="("/>
              <m:endChr m:val=")"/>
              <m:sepChr m:val=""/>
              <m:grow/>
            </m:dPr>
            <m:e>
              <m:r>
                <m:t>x</m:t>
              </m:r>
            </m:e>
          </m:d>
          <m:r>
            <m:rPr>
              <m:sty m:val="p"/>
            </m:rPr>
            <m:t>≥</m:t>
          </m:r>
          <m:r>
            <m:t>a</m:t>
          </m:r>
          <m:r>
            <m:rPr>
              <m:sty m:val="p"/>
            </m:rPr>
            <m:t>}</m:t>
          </m:r>
          <m:r>
            <m:rPr>
              <m:sty m:val="p"/>
            </m:rPr>
            <m:t>.</m:t>
          </m:r>
        </m:oMath>
      </m:oMathPara>
    </w:p>
    <w:p>
      <w:pPr>
        <w:pStyle w:val="FirstParagraph"/>
      </w:pPr>
      <w:r>
        <w:t xml:space="preserve">As the threshold</w:t>
      </w:r>
      <w:r>
        <w:t xml:space="preserve"> </w:t>
      </w:r>
      <m:oMath>
        <m:r>
          <m:t>a</m:t>
        </m:r>
      </m:oMath>
      <w:r>
        <w:t xml:space="preserve"> </w:t>
      </w:r>
      <w:r>
        <w:t xml:space="preserve">decreases, a local maximum creates a connected component. When two components merge at an index-two critical point, the elder rule retains the component born at the higher maximum and kills the other. A finite nonessential</w:t>
      </w:r>
      <w:r>
        <w:t xml:space="preserve"> </w:t>
      </w:r>
      <m:oMath>
        <m:sSub>
          <m:e>
            <m:r>
              <m:t>H</m:t>
            </m:r>
          </m:e>
          <m:sub>
            <m:r>
              <m:t>0</m:t>
            </m:r>
          </m:sub>
        </m:sSub>
      </m:oMath>
      <w:r>
        <w:t xml:space="preserve"> </w:t>
      </w:r>
      <w:r>
        <w:t xml:space="preserve">bar is therefore associated with a creating maximum</w:t>
      </w:r>
      <w:r>
        <w:t xml:space="preserve"> </w:t>
      </w:r>
      <m:oMath>
        <m:r>
          <m:t>M</m:t>
        </m:r>
      </m:oMath>
      <w:r>
        <w:t xml:space="preserve"> </w:t>
      </w:r>
      <w:r>
        <w:t xml:space="preserve">and a death saddle</w:t>
      </w:r>
      <w:r>
        <w:t xml:space="preserve"> </w:t>
      </w:r>
      <m:oMath>
        <m:r>
          <m:t>S</m:t>
        </m:r>
      </m:oMath>
      <w:r>
        <w:t xml:space="preserve">, with lifetime</w:t>
      </w:r>
    </w:p>
    <w:p>
      <w:pPr>
        <w:pStyle w:val="BodyText"/>
      </w:pPr>
      <m:oMathPara>
        <m:oMathParaPr>
          <m:jc m:val="center"/>
        </m:oMathParaPr>
        <m:oMath>
          <m:r>
            <m:rPr>
              <m:sty m:val="p"/>
            </m:rPr>
            <m:t>ℓ</m:t>
          </m:r>
          <m:r>
            <m:rPr>
              <m:sty m:val="p"/>
            </m:rPr>
            <m:t>=</m:t>
          </m:r>
          <m:sSub>
            <m:e>
              <m:r>
                <m:t>f</m:t>
              </m:r>
            </m:e>
            <m:sub>
              <m:r>
                <m:t>24</m:t>
              </m:r>
            </m:sub>
          </m:sSub>
          <m:d>
            <m:dPr>
              <m:begChr m:val="("/>
              <m:endChr m:val=")"/>
              <m:sepChr m:val=""/>
              <m:grow/>
            </m:dPr>
            <m:e>
              <m:r>
                <m:t>M</m:t>
              </m:r>
            </m:e>
          </m:d>
          <m:r>
            <m:rPr>
              <m:sty m:val="p"/>
            </m:rPr>
            <m:t>−</m:t>
          </m:r>
          <m:sSub>
            <m:e>
              <m:r>
                <m:t>f</m:t>
              </m:r>
            </m:e>
            <m:sub>
              <m:r>
                <m:t>24</m:t>
              </m:r>
            </m:sub>
          </m:sSub>
          <m:d>
            <m:dPr>
              <m:begChr m:val="("/>
              <m:endChr m:val=")"/>
              <m:sepChr m:val=""/>
              <m:grow/>
            </m:dPr>
            <m:e>
              <m:r>
                <m:t>S</m:t>
              </m:r>
            </m:e>
          </m:d>
          <m:r>
            <m:rPr>
              <m:sty m:val="p"/>
            </m:rPr>
            <m:t>&gt;</m:t>
          </m:r>
          <m:r>
            <m:t>0</m:t>
          </m:r>
          <m:r>
            <m:rPr>
              <m:sty m:val="p"/>
            </m:rPr>
            <m:t>.</m:t>
          </m:r>
        </m:oMath>
      </m:oMathPara>
    </w:p>
    <w:p>
      <w:pPr>
        <w:pStyle w:val="FirstParagraph"/>
      </w:pPr>
      <w:r>
        <w:t xml:space="preserve">The object</w:t>
      </w:r>
      <w:r>
        <w:t xml:space="preserve"> </w:t>
      </w:r>
      <m:oMath>
        <m:sSub>
          <m:e>
            <m:r>
              <m:t>ν</m:t>
            </m:r>
          </m:e>
          <m:sub>
            <m:r>
              <m:t>3</m:t>
            </m:r>
            <m:r>
              <m:rPr>
                <m:sty m:val="p"/>
              </m:rPr>
              <m:t>,</m:t>
            </m:r>
            <m:r>
              <m:t>24</m:t>
            </m:r>
          </m:sub>
        </m:sSub>
        <m:d>
          <m:dPr>
            <m:begChr m:val="("/>
            <m:endChr m:val=")"/>
            <m:sepChr m:val=""/>
            <m:grow/>
          </m:dPr>
          <m:e>
            <m:r>
              <m:rPr>
                <m:sty m:val="p"/>
              </m:rPr>
              <m:t>ℓ</m:t>
            </m:r>
          </m:e>
        </m:d>
      </m:oMath>
      <w:r>
        <w:t xml:space="preserve"> </w:t>
      </w:r>
      <w:r>
        <w:t xml:space="preserve">is the density of the expected number of such finite lifetimes per unit ordinary torus volume. It is a first-moment intensity density. It is not a probability density for a randomly sampled bar unless a further normalization and sampling convention are imposed.</w:t>
      </w:r>
    </w:p>
    <w:bookmarkEnd w:id="22"/>
    <w:bookmarkStart w:id="23" w:name="candidate-theorem"/>
    <w:p>
      <w:pPr>
        <w:pStyle w:val="Heading2"/>
        <w:keepNext/>
      </w:pPr>
      <w:r>
        <w:t xml:space="preserve">1.3 Candidate theorem</w:t>
      </w:r>
    </w:p>
    <w:p>
      <w:pPr>
        <w:pStyle w:val="FirstParagraph"/>
      </w:pPr>
      <w:r>
        <w:t xml:space="preserve">The central claim is</w:t>
      </w:r>
    </w:p>
    <w:p>
      <w:pPr>
        <w:pStyle w:val="BodyText"/>
      </w:pPr>
      <m:oMathPara>
        <m:oMathParaPr>
          <m:jc m:val="center"/>
        </m:oMathParaPr>
        <m:oMath>
          <m:sSub>
            <m:e>
              <m:r>
                <m:t>ν</m:t>
              </m:r>
            </m:e>
            <m:sub>
              <m:r>
                <m:t>3</m:t>
              </m:r>
              <m:r>
                <m:rPr>
                  <m:sty m:val="p"/>
                </m:rPr>
                <m:t>,</m:t>
              </m:r>
              <m:r>
                <m:t>24</m:t>
              </m:r>
            </m:sub>
          </m:sSub>
          <m:d>
            <m:dPr>
              <m:begChr m:val="("/>
              <m:endChr m:val=")"/>
              <m:sepChr m:val=""/>
              <m:grow/>
            </m:dPr>
            <m:e>
              <m:r>
                <m:rPr>
                  <m:sty m:val="p"/>
                </m:rPr>
                <m:t>ℓ</m:t>
              </m:r>
            </m:e>
          </m:d>
          <m:r>
            <m:rPr>
              <m:sty m:val="p"/>
            </m:rPr>
            <m:t>=</m:t>
          </m:r>
          <m:sSub>
            <m:e>
              <m:r>
                <m:t>c</m:t>
              </m:r>
            </m:e>
            <m:sub>
              <m:r>
                <m:t>3</m:t>
              </m:r>
              <m:r>
                <m:rPr>
                  <m:sty m:val="p"/>
                </m:rPr>
                <m:t>,</m:t>
              </m:r>
              <m:r>
                <m:t>24</m:t>
              </m:r>
            </m:sub>
          </m:sSub>
          <m:sSup>
            <m:e>
              <m:r>
                <m:rPr>
                  <m:sty m:val="p"/>
                </m:rPr>
                <m:t>ℓ</m:t>
              </m:r>
            </m:e>
            <m:sup>
              <m:r>
                <m:rPr>
                  <m:sty m:val="p"/>
                </m:rPr>
                <m:t>−</m:t>
              </m:r>
              <m:r>
                <m:t>1</m:t>
              </m:r>
              <m:r>
                <m:rPr>
                  <m:sty m:val="p"/>
                </m:rPr>
                <m:t>/</m:t>
              </m:r>
              <m:r>
                <m:t>3</m:t>
              </m:r>
            </m:sup>
          </m:sSup>
          <m:d>
            <m:dPr>
              <m:begChr m:val="("/>
              <m:endChr m:val=")"/>
              <m:sepChr m:val=""/>
              <m:grow/>
            </m:dPr>
            <m:e>
              <m:r>
                <m:t>1</m:t>
              </m:r>
              <m:r>
                <m:rPr>
                  <m:sty m:val="p"/>
                </m:rPr>
                <m:t>+</m:t>
              </m:r>
              <m:r>
                <m:t>o</m:t>
              </m:r>
              <m:d>
                <m:dPr>
                  <m:begChr m:val="("/>
                  <m:endChr m:val=")"/>
                  <m:sepChr m:val=""/>
                  <m:grow/>
                </m:dPr>
                <m:e>
                  <m:r>
                    <m:t>1</m:t>
                  </m:r>
                </m:e>
              </m:d>
            </m:e>
          </m:d>
          <m:r>
            <m:rPr>
              <m:sty m:val="p"/>
            </m:rPr>
            <m:t>,</m:t>
          </m:r>
          <m:r>
            <m:t>  </m:t>
          </m:r>
          <m:r>
            <m:rPr>
              <m:sty m:val="p"/>
            </m:rPr>
            <m:t>ℓ</m:t>
          </m:r>
          <m:r>
            <m:rPr>
              <m:sty m:val="p"/>
            </m:rPr>
            <m:t>↓</m:t>
          </m:r>
          <m:r>
            <m:t>0</m:t>
          </m:r>
          <m:r>
            <m:rPr>
              <m:sty m:val="p"/>
            </m:rPr>
            <m:t>,</m:t>
          </m:r>
        </m:oMath>
      </m:oMathPara>
    </w:p>
    <w:p>
      <w:pPr>
        <w:pStyle w:val="FirstParagraph"/>
      </w:pPr>
      <w:r>
        <w:t xml:space="preserve">where</w:t>
      </w:r>
      <w:r>
        <w:t xml:space="preserve"> </w:t>
      </w:r>
      <m:oMath>
        <m:r>
          <m:t>0</m:t>
        </m:r>
        <m:r>
          <m:rPr>
            <m:sty m:val="p"/>
          </m:rPr>
          <m:t>&lt;</m:t>
        </m:r>
        <m:sSub>
          <m:e>
            <m:r>
              <m:t>c</m:t>
            </m:r>
          </m:e>
          <m:sub>
            <m:r>
              <m:t>3</m:t>
            </m:r>
            <m:r>
              <m:rPr>
                <m:sty m:val="p"/>
              </m:rPr>
              <m:t>,</m:t>
            </m:r>
            <m:r>
              <m:t>24</m:t>
            </m:r>
          </m:sub>
        </m:sSub>
        <m:r>
          <m:rPr>
            <m:sty m:val="p"/>
          </m:rPr>
          <m:t>&lt;</m:t>
        </m:r>
        <m:r>
          <m:rPr>
            <m:sty m:val="p"/>
          </m:rPr>
          <m:t>∞</m:t>
        </m:r>
      </m:oMath>
      <w:r>
        <w:t xml:space="preserve"> </w:t>
      </w:r>
      <w:r>
        <w:t xml:space="preserve">is an explicit finite-dimensional Gaussian-cone integral. The current manuscript gives</w:t>
      </w:r>
    </w:p>
    <w:p>
      <w:pPr>
        <w:pStyle w:val="BodyText"/>
      </w:pPr>
      <m:oMathPara>
        <m:oMathParaPr>
          <m:jc m:val="center"/>
        </m:oMathParaPr>
        <m:oMath>
          <m:sSub>
            <m:e>
              <m:r>
                <m:t>c</m:t>
              </m:r>
            </m:e>
            <m:sub>
              <m:r>
                <m:t>3</m:t>
              </m:r>
              <m:r>
                <m:rPr>
                  <m:sty m:val="p"/>
                </m:rPr>
                <m:t>,</m:t>
              </m:r>
              <m:r>
                <m:t>24</m:t>
              </m:r>
            </m:sub>
          </m:sSub>
          <m:r>
            <m:rPr>
              <m:sty m:val="p"/>
            </m:rPr>
            <m:t>=</m:t>
          </m:r>
          <m:sSub>
            <m:e>
              <m:r>
                <m:t>B</m:t>
              </m:r>
            </m:e>
            <m:sub>
              <m:r>
                <m:t>3</m:t>
              </m:r>
            </m:sub>
          </m:sSub>
          <m:nary>
            <m:naryPr>
              <m:chr m:val="∫"/>
              <m:limLoc m:val="subSup"/>
              <m:subHide m:val="off"/>
              <m:supHide m:val="on"/>
            </m:naryPr>
            <m:sub>
              <m:sSup>
                <m:e>
                  <m:r>
                    <m:t>S</m:t>
                  </m:r>
                </m:e>
                <m:sup>
                  <m:r>
                    <m:t>2</m:t>
                  </m:r>
                </m:sup>
              </m:sSup>
            </m:sub>
            <m:sup>
              <m:r>
                <m:t>​</m:t>
              </m:r>
            </m:sup>
            <m:e>
              <m:f>
                <m:fPr>
                  <m:type m:val="bar"/>
                </m:fPr>
                <m:num>
                  <m:sSup>
                    <m:e>
                      <m:d>
                        <m:dPr>
                          <m:begChr m:val="("/>
                          <m:endChr m:val=")"/>
                          <m:sepChr m:val=""/>
                          <m:grow/>
                        </m:dPr>
                        <m:e>
                          <m:sSubSup>
                            <m:e>
                              <m:r>
                                <m:t>σ</m:t>
                              </m:r>
                            </m:e>
                            <m:sub>
                              <m:r>
                                <m:t>t</m:t>
                              </m:r>
                            </m:sub>
                            <m:sup>
                              <m:r>
                                <m:t>2</m:t>
                              </m:r>
                            </m:sup>
                          </m:sSubSup>
                        </m:e>
                      </m:d>
                    </m:e>
                    <m:sup>
                      <m:r>
                        <m:t>2</m:t>
                      </m:r>
                      <m:r>
                        <m:rPr>
                          <m:sty m:val="p"/>
                        </m:rPr>
                        <m:t>/</m:t>
                      </m:r>
                      <m:r>
                        <m:t>3</m:t>
                      </m:r>
                    </m:sup>
                  </m:sSup>
                  <m:sSub>
                    <m:e>
                      <m:r>
                        <m:t>D</m:t>
                      </m:r>
                    </m:e>
                    <m:sub>
                      <m:r>
                        <m:t>t</m:t>
                      </m:r>
                    </m:sub>
                  </m:sSub>
                </m:num>
                <m:den>
                  <m:rad>
                    <m:radPr>
                      <m:degHide m:val="on"/>
                    </m:radPr>
                    <m:deg/>
                    <m:e>
                      <m:r>
                        <m:rPr>
                          <m:sty m:val="p"/>
                        </m:rPr>
                        <m:t>det</m:t>
                      </m:r>
                      <m:sSub>
                        <m:e>
                          <m:r>
                            <m:t>Σ</m:t>
                          </m:r>
                        </m:e>
                        <m:sub>
                          <m:r>
                            <m:t>g</m:t>
                          </m:r>
                        </m:sub>
                      </m:sSub>
                      <m:d>
                        <m:dPr>
                          <m:begChr m:val="("/>
                          <m:endChr m:val=")"/>
                          <m:sepChr m:val=""/>
                          <m:grow/>
                        </m:dPr>
                        <m:e>
                          <m:r>
                            <m:t>t</m:t>
                          </m:r>
                        </m:e>
                      </m:d>
                      <m:r>
                        <m:rPr>
                          <m:sty m:val="p"/>
                        </m:rPr>
                        <m:t>det</m:t>
                      </m:r>
                      <m:sSub>
                        <m:e>
                          <m:r>
                            <m:t>Σ</m:t>
                          </m:r>
                        </m:e>
                        <m:sub>
                          <m:r>
                            <m:t>h</m:t>
                          </m:r>
                        </m:sub>
                      </m:sSub>
                      <m:d>
                        <m:dPr>
                          <m:begChr m:val="("/>
                          <m:endChr m:val=")"/>
                          <m:sepChr m:val=""/>
                          <m:grow/>
                        </m:dPr>
                        <m:e>
                          <m:r>
                            <m:t>t</m:t>
                          </m:r>
                        </m:e>
                      </m:d>
                    </m:e>
                  </m:rad>
                </m:den>
              </m:f>
            </m:e>
          </m:nary>
          <m:r>
            <m:t> </m:t>
          </m:r>
          <m:r>
            <m:t>d</m:t>
          </m:r>
          <m:sSub>
            <m:e>
              <m:r>
                <m:t>σ</m:t>
              </m:r>
            </m:e>
            <m:sub>
              <m:r>
                <m:t>2</m:t>
              </m:r>
            </m:sub>
          </m:sSub>
          <m:d>
            <m:dPr>
              <m:begChr m:val="("/>
              <m:endChr m:val=")"/>
              <m:sepChr m:val=""/>
              <m:grow/>
            </m:dPr>
            <m:e>
              <m:r>
                <m:t>t</m:t>
              </m:r>
            </m:e>
          </m:d>
          <m:r>
            <m:rPr>
              <m:sty m:val="p"/>
            </m:rPr>
            <m:t>,</m:t>
          </m:r>
          <m:r>
            <m:t>  </m:t>
          </m:r>
          <m:sSub>
            <m:e>
              <m:r>
                <m:t>B</m:t>
              </m:r>
            </m:e>
            <m:sub>
              <m:r>
                <m:t>3</m:t>
              </m:r>
            </m:sub>
          </m:sSub>
          <m:r>
            <m:rPr>
              <m:sty m:val="p"/>
            </m:rPr>
            <m:t>=</m:t>
          </m:r>
          <m:f>
            <m:fPr>
              <m:type m:val="bar"/>
            </m:fPr>
            <m:num>
              <m:r>
                <m:t>3</m:t>
              </m:r>
              <m:r>
                <m:t>Γ</m:t>
              </m:r>
              <m:d>
                <m:dPr>
                  <m:begChr m:val="("/>
                  <m:endChr m:val=")"/>
                  <m:sepChr m:val=""/>
                  <m:grow/>
                </m:dPr>
                <m:e>
                  <m:r>
                    <m:t>7</m:t>
                  </m:r>
                  <m:r>
                    <m:rPr>
                      <m:sty m:val="p"/>
                    </m:rPr>
                    <m:t>/</m:t>
                  </m:r>
                  <m:r>
                    <m:t>6</m:t>
                  </m:r>
                </m:e>
              </m:d>
            </m:num>
            <m:den>
              <m:sSup>
                <m:e>
                  <m:r>
                    <m:t>2</m:t>
                  </m:r>
                </m:e>
                <m:sup>
                  <m:r>
                    <m:t>4</m:t>
                  </m:r>
                  <m:r>
                    <m:rPr>
                      <m:sty m:val="p"/>
                    </m:rPr>
                    <m:t>/</m:t>
                  </m:r>
                  <m:r>
                    <m:t>3</m:t>
                  </m:r>
                </m:sup>
              </m:sSup>
              <m:sSup>
                <m:e>
                  <m:r>
                    <m:t>π</m:t>
                  </m:r>
                </m:e>
                <m:sup>
                  <m:r>
                    <m:t>7</m:t>
                  </m:r>
                  <m:r>
                    <m:rPr>
                      <m:sty m:val="p"/>
                    </m:rPr>
                    <m:t>/</m:t>
                  </m:r>
                  <m:r>
                    <m:t>2</m:t>
                  </m:r>
                </m:sup>
              </m:sSup>
            </m:den>
          </m:f>
          <m:r>
            <m:rPr>
              <m:sty m:val="p"/>
            </m:rPr>
            <m:t>.</m:t>
          </m:r>
        </m:oMath>
      </m:oMathPara>
    </w:p>
    <w:p>
      <w:pPr>
        <w:pStyle w:val="FirstParagraph"/>
      </w:pPr>
      <w:r>
        <w:t xml:space="preserve">All derivative variables in (1.5) are evaluated at one fixed point, which may be chosen as the origin by stationarity. The measure</w:t>
      </w:r>
      <w:r>
        <w:t xml:space="preserve"> </w:t>
      </w:r>
      <m:oMath>
        <m:r>
          <m:t>d</m:t>
        </m:r>
        <m:sSub>
          <m:e>
            <m:r>
              <m:t>σ</m:t>
            </m:r>
          </m:e>
          <m:sub>
            <m:r>
              <m:t>2</m:t>
            </m:r>
          </m:sub>
        </m:sSub>
      </m:oMath>
      <w:r>
        <w:t xml:space="preserve"> </w:t>
      </w:r>
      <w:r>
        <w:t xml:space="preserve">is standard surface measure. Transverse frames are local: no global continuous orthonormal frame exists on</w:t>
      </w:r>
      <w:r>
        <w:t xml:space="preserve"> </w:t>
      </w:r>
      <m:oMath>
        <m:sSup>
          <m:e>
            <m:r>
              <m:t>S</m:t>
            </m:r>
          </m:e>
          <m:sup>
            <m:r>
              <m:t>2</m:t>
            </m:r>
          </m:sup>
        </m:sSup>
      </m:oMath>
      <w:r>
        <w:t xml:space="preserve">, so the construction is interpreted through a finite frame atlas and frame-invariance of the integrand.</w:t>
      </w:r>
    </w:p>
    <w:p>
      <w:pPr>
        <w:pStyle w:val="BodyText"/>
      </w:pPr>
      <w:r>
        <w:t xml:space="preserve">The claimed Euclidean, nonperiodized three-dimensional coefficient is</w:t>
      </w:r>
    </w:p>
    <w:p>
      <w:pPr>
        <w:pStyle w:val="BodyText"/>
      </w:pPr>
      <m:oMathPara>
        <m:oMathParaPr>
          <m:jc m:val="center"/>
        </m:oMathParaPr>
        <m:oMath>
          <m:sSub>
            <m:e>
              <m:r>
                <m:t>c</m:t>
              </m:r>
            </m:e>
            <m:sub>
              <m:r>
                <m:t>3</m:t>
              </m:r>
              <m:r>
                <m:rPr>
                  <m:sty m:val="p"/>
                </m:rPr>
                <m:t>,</m:t>
              </m:r>
              <m:r>
                <m:rPr>
                  <m:sty m:val="p"/>
                </m:rPr>
                <m:t>∞</m:t>
              </m:r>
            </m:sub>
          </m:sSub>
          <m:r>
            <m:rPr>
              <m:sty m:val="p"/>
            </m:rPr>
            <m:t>=</m:t>
          </m:r>
          <m:sSup>
            <m:e>
              <m:r>
                <m:t>2</m:t>
              </m:r>
            </m:e>
            <m:sup>
              <m:r>
                <m:rPr>
                  <m:sty m:val="p"/>
                </m:rPr>
                <m:t>−</m:t>
              </m:r>
              <m:r>
                <m:t>23</m:t>
              </m:r>
              <m:r>
                <m:rPr>
                  <m:sty m:val="p"/>
                </m:rPr>
                <m:t>/</m:t>
              </m:r>
              <m:r>
                <m:t>6</m:t>
              </m:r>
            </m:sup>
          </m:sSup>
          <m:sSup>
            <m:e>
              <m:r>
                <m:t>3</m:t>
              </m:r>
            </m:e>
            <m:sup>
              <m:r>
                <m:rPr>
                  <m:sty m:val="p"/>
                </m:rPr>
                <m:t>−</m:t>
              </m:r>
              <m:r>
                <m:t>8</m:t>
              </m:r>
              <m:r>
                <m:rPr>
                  <m:sty m:val="p"/>
                </m:rPr>
                <m:t>/</m:t>
              </m:r>
              <m:r>
                <m:t>3</m:t>
              </m:r>
            </m:sup>
          </m:sSup>
          <m:d>
            <m:dPr>
              <m:begChr m:val="("/>
              <m:endChr m:val=")"/>
              <m:sepChr m:val=""/>
              <m:grow/>
            </m:dPr>
            <m:e>
              <m:r>
                <m:t>29</m:t>
              </m:r>
              <m:rad>
                <m:radPr>
                  <m:degHide m:val="on"/>
                </m:radPr>
                <m:deg/>
                <m:e>
                  <m:r>
                    <m:t>6</m:t>
                  </m:r>
                </m:e>
              </m:rad>
              <m:r>
                <m:rPr>
                  <m:sty m:val="p"/>
                </m:rPr>
                <m:t>−</m:t>
              </m:r>
              <m:r>
                <m:t>36</m:t>
              </m:r>
            </m:e>
          </m:d>
          <m:r>
            <m:t>Γ</m:t>
          </m:r>
          <m:d>
            <m:dPr>
              <m:begChr m:val="("/>
              <m:endChr m:val=")"/>
              <m:sepChr m:val=""/>
              <m:grow/>
            </m:dPr>
            <m:e>
              <m:r>
                <m:t>1</m:t>
              </m:r>
              <m:r>
                <m:rPr>
                  <m:sty m:val="p"/>
                </m:rPr>
                <m:t>/</m:t>
              </m:r>
              <m:r>
                <m:t>6</m:t>
              </m:r>
            </m:e>
          </m:d>
          <m:sSup>
            <m:e>
              <m:r>
                <m:t>π</m:t>
              </m:r>
            </m:e>
            <m:sup>
              <m:r>
                <m:rPr>
                  <m:sty m:val="p"/>
                </m:rPr>
                <m:t>−</m:t>
              </m:r>
              <m:r>
                <m:t>5</m:t>
              </m:r>
              <m:r>
                <m:rPr>
                  <m:sty m:val="p"/>
                </m:rPr>
                <m:t>/</m:t>
              </m:r>
              <m:r>
                <m:t>2</m:t>
              </m:r>
            </m:sup>
          </m:sSup>
          <m:r>
            <m:rPr>
              <m:sty m:val="p"/>
            </m:rPr>
            <m:t>.</m:t>
          </m:r>
        </m:oMath>
      </m:oMathPara>
    </w:p>
    <w:p>
      <w:pPr>
        <w:pStyle w:val="FirstParagraph"/>
      </w:pPr>
      <w:r>
        <w:t xml:space="preserve">The revised manuscript calls this the</w:t>
      </w:r>
      <w:r>
        <w:t xml:space="preserve"> </w:t>
      </w:r>
      <w:r>
        <w:t xml:space="preserve">“</w:t>
      </w:r>
      <w:r>
        <w:t xml:space="preserve">Euclidean (nonperiodized) Bargmann–Fock coefficient.</w:t>
      </w:r>
      <w:r>
        <w:t xml:space="preserve">”</w:t>
      </w:r>
      <w:r>
        <w:t xml:space="preserve"> </w:t>
      </w:r>
      <w:r>
        <w:t xml:space="preserve">Historical appendix extracts sometimes use</w:t>
      </w:r>
      <w:r>
        <w:t xml:space="preserve"> </w:t>
      </w:r>
      <w:r>
        <w:t xml:space="preserve">“</w:t>
      </w:r>
      <w:r>
        <w:t xml:space="preserve">planar</w:t>
      </w:r>
      <w:r>
        <w:t xml:space="preserve">”</w:t>
      </w:r>
      <w:r>
        <w:t xml:space="preserve"> </w:t>
      </w:r>
      <w:r>
        <w:t xml:space="preserve">for the flat local model; a terminology note prevents that from being mistaken for two-dimensional geometry.</w:t>
      </w:r>
    </w:p>
    <w:p>
      <w:pPr>
        <w:pStyle w:val="BodyText"/>
      </w:pPr>
      <w:r>
        <w:t xml:space="preserve">The side-24 correction is claimed to be</w:t>
      </w:r>
    </w:p>
    <w:p>
      <w:pPr>
        <w:pStyle w:val="BodyText"/>
      </w:pPr>
      <m:oMathPara>
        <m:oMathParaPr>
          <m:jc m:val="center"/>
        </m:oMathParaPr>
        <m:oMath>
          <m:f>
            <m:fPr>
              <m:type m:val="bar"/>
            </m:fPr>
            <m:num>
              <m:sSub>
                <m:e>
                  <m:r>
                    <m:t>c</m:t>
                  </m:r>
                </m:e>
                <m:sub>
                  <m:r>
                    <m:t>3</m:t>
                  </m:r>
                  <m:r>
                    <m:rPr>
                      <m:sty m:val="p"/>
                    </m:rPr>
                    <m:t>,</m:t>
                  </m:r>
                  <m:r>
                    <m:t>24</m:t>
                  </m:r>
                </m:sub>
              </m:sSub>
            </m:num>
            <m:den>
              <m:sSub>
                <m:e>
                  <m:r>
                    <m:t>c</m:t>
                  </m:r>
                </m:e>
                <m:sub>
                  <m:r>
                    <m:t>3</m:t>
                  </m:r>
                  <m:r>
                    <m:rPr>
                      <m:sty m:val="p"/>
                    </m:rPr>
                    <m:t>,</m:t>
                  </m:r>
                  <m:r>
                    <m:rPr>
                      <m:sty m:val="p"/>
                    </m:rPr>
                    <m:t>∞</m:t>
                  </m:r>
                </m:sub>
              </m:sSub>
            </m:den>
          </m:f>
          <m:r>
            <m:rPr>
              <m:sty m:val="p"/>
            </m:rPr>
            <m:t>−</m:t>
          </m:r>
          <m:r>
            <m:t>1</m:t>
          </m:r>
          <m:r>
            <m:rPr>
              <m:sty m:val="p"/>
            </m:rPr>
            <m:t>=</m:t>
          </m:r>
          <m:r>
            <m:rPr>
              <m:sty m:val="p"/>
            </m:rPr>
            <m:t>−</m:t>
          </m:r>
          <m:f>
            <m:fPr>
              <m:type m:val="bar"/>
            </m:fPr>
            <m:num>
              <m:r>
                <m:t>620813376</m:t>
              </m:r>
            </m:num>
            <m:den>
              <m:r>
                <m:t>35</m:t>
              </m:r>
            </m:den>
          </m:f>
          <m:sSup>
            <m:e>
              <m:r>
                <m:t>e</m:t>
              </m:r>
            </m:e>
            <m:sup>
              <m:r>
                <m:rPr>
                  <m:sty m:val="p"/>
                </m:rPr>
                <m:t>−</m:t>
              </m:r>
              <m:r>
                <m:t>288</m:t>
              </m:r>
            </m:sup>
          </m:sSup>
          <m:r>
            <m:rPr>
              <m:sty m:val="p"/>
            </m:rPr>
            <m:t>+</m:t>
          </m:r>
          <m:sSub>
            <m:e>
              <m:r>
                <m:t>ε</m:t>
              </m:r>
            </m:e>
            <m:sub>
              <m:r>
                <m:t>24</m:t>
              </m:r>
            </m:sub>
          </m:sSub>
          <m:r>
            <m:rPr>
              <m:sty m:val="p"/>
            </m:rPr>
            <m:t>,</m:t>
          </m:r>
          <m:r>
            <m:t>  </m:t>
          </m:r>
          <m:d>
            <m:dPr>
              <m:begChr m:val="|"/>
              <m:endChr m:val="|"/>
              <m:sepChr m:val=""/>
              <m:grow/>
            </m:dPr>
            <m:e>
              <m:sSub>
                <m:e>
                  <m:r>
                    <m:t>ε</m:t>
                  </m:r>
                </m:e>
                <m:sub>
                  <m:r>
                    <m:t>24</m:t>
                  </m:r>
                </m:sub>
              </m:sSub>
            </m:e>
          </m:d>
          <m:r>
            <m:rPr>
              <m:sty m:val="p"/>
            </m:rPr>
            <m:t>&lt;</m:t>
          </m:r>
          <m:sSup>
            <m:e>
              <m:r>
                <m:t>10</m:t>
              </m:r>
            </m:e>
            <m:sup>
              <m:r>
                <m:rPr>
                  <m:sty m:val="p"/>
                </m:rPr>
                <m:t>−</m:t>
              </m:r>
              <m:r>
                <m:t>180</m:t>
              </m:r>
            </m:sup>
          </m:sSup>
          <m:r>
            <m:rPr>
              <m:sty m:val="p"/>
            </m:rPr>
            <m:t>.</m:t>
          </m:r>
        </m:oMath>
      </m:oMathPara>
    </w:p>
    <w:bookmarkEnd w:id="23"/>
    <w:bookmarkStart w:id="24" w:name="where-the-exponent-comes-from"/>
    <w:p>
      <w:pPr>
        <w:pStyle w:val="Heading2"/>
        <w:keepNext/>
      </w:pPr>
      <w:r>
        <w:t xml:space="preserve">1.4 Where the exponent comes from</w:t>
      </w:r>
    </w:p>
    <w:p>
      <w:pPr>
        <w:pStyle w:val="FirstParagraph"/>
      </w:pPr>
      <w:r>
        <w:t xml:space="preserve">For a nearby ordered maximum–saddle pair at distance</w:t>
      </w:r>
      <w:r>
        <w:t xml:space="preserve"> </w:t>
      </w:r>
      <m:oMath>
        <m:r>
          <m:t>r</m:t>
        </m:r>
      </m:oMath>
      <w:r>
        <w:t xml:space="preserve">, with directed displacement</w:t>
      </w:r>
      <w:r>
        <w:t xml:space="preserve"> </w:t>
      </w:r>
      <m:oMath>
        <m:r>
          <m:t>t</m:t>
        </m:r>
        <m:r>
          <m:rPr>
            <m:sty m:val="p"/>
          </m:rPr>
          <m:t>∈</m:t>
        </m:r>
        <m:sSup>
          <m:e>
            <m:r>
              <m:t>S</m:t>
            </m:r>
          </m:e>
          <m:sup>
            <m:r>
              <m:t>2</m:t>
            </m:r>
          </m:sup>
        </m:sSup>
      </m:oMath>
      <w:r>
        <w:t xml:space="preserve">, the exact power ledger is:</w:t>
      </w:r>
    </w:p>
    <w:tbl>
      <w:tblPr>
        <w:tblStyle w:val="Table"/>
        <w:tblW w:type="pct" w:w="5000"/>
        <w:tblLayout w:type="autofit"/>
        <w:tblLook w:firstRow="1" w:lastRow="0" w:firstColumn="0" w:lastColumn="0" w:noHBand="0" w:noVBand="0" w:val="0020"/>
        <w:jc w:val="start"/>
      </w:tblPr>
      <w:tblGrid>
        <w:gridCol w:w="3394"/>
        <w:gridCol w:w="4525"/>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Contribution</w:t>
            </w:r>
          </w:p>
        </w:tc>
        <w:tc>
          <w:tcPr>
            <w:tcMar>
              <w:top w:w="80" w:type="dxa"/>
              <w:left w:w="80" w:type="dxa"/>
              <w:bottom w:w="80" w:type="dxa"/>
              <w:right w:w="80" w:type="dxa"/>
            </w:tcMar>
          </w:tcPr>
          <w:p>
            <w:pPr>
              <w:pStyle w:val="Compact"/>
              <w:spacing w:after="40"/>
              <w:jc w:val="right"/>
            </w:pPr>
            <w:r>
              <w:rPr>
                <w:rFonts w:ascii="Arial" w:hAnsi="Arial"/>
                <w:b/>
                <w:sz w:val="17"/>
              </w:rPr>
              <w:t xml:space="preserve">Factor</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Displacement polar measure</w:t>
            </w:r>
          </w:p>
        </w:tc>
        <w:tc>
          <w:tcPr>
            <w:tcMar>
              <w:top w:w="80" w:type="dxa"/>
              <w:left w:w="80" w:type="dxa"/>
              <w:bottom w:w="80" w:type="dxa"/>
              <w:right w:w="80" w:type="dxa"/>
            </w:tcMar>
          </w:tcPr>
          <w:p>
            <w:pPr>
              <w:pStyle w:val="Compact"/>
              <w:spacing w:after="40"/>
              <w:jc w:val="right"/>
            </w:pPr>
            <m:oMath>
              <m:sSup>
                <m:e>
                  <m:r>
                    <m:t>r</m:t>
                  </m:r>
                </m:e>
                <m:sup>
                  <m:r>
                    <m:t>2</m:t>
                  </m:r>
                </m:sup>
              </m:sSup>
              <m:r>
                <m:t> </m:t>
              </m:r>
              <m:r>
                <m:t>d</m:t>
              </m:r>
              <m:r>
                <m:t>r</m:t>
              </m:r>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Value-gap change</w:t>
            </w:r>
            <w:r>
              <w:rPr>
                <w:rFonts w:ascii="Arial" w:hAnsi="Arial"/>
                <w:sz w:val="17"/>
              </w:rPr>
              <w:t xml:space="preserve"> </w:t>
            </w:r>
            <m:oMath>
              <m:r>
                <m:t>h</m:t>
              </m:r>
              <m:r>
                <m:rPr>
                  <m:sty m:val="p"/>
                </m:rPr>
                <m:t>=</m:t>
              </m:r>
              <m:r>
                <m:t>b</m:t>
              </m:r>
              <m:r>
                <m:rPr>
                  <m:sty m:val="p"/>
                </m:rPr>
                <m:t>−</m:t>
              </m:r>
              <m:r>
                <m:t>κ</m:t>
              </m:r>
              <m:sSup>
                <m:e>
                  <m:r>
                    <m:t>r</m:t>
                  </m:r>
                </m:e>
                <m:sup>
                  <m:r>
                    <m:t>3</m:t>
                  </m:r>
                </m:sup>
              </m:sSup>
              <m:r>
                <m:rPr>
                  <m:sty m:val="p"/>
                </m:rPr>
                <m:t>/</m:t>
              </m:r>
              <m:r>
                <m:t>6</m:t>
              </m:r>
            </m:oMath>
          </w:p>
        </w:tc>
        <w:tc>
          <w:tcPr>
            <w:tcMar>
              <w:top w:w="80" w:type="dxa"/>
              <w:left w:w="80" w:type="dxa"/>
              <w:bottom w:w="80" w:type="dxa"/>
              <w:right w:w="80" w:type="dxa"/>
            </w:tcMar>
          </w:tcPr>
          <w:p>
            <w:pPr>
              <w:pStyle w:val="Compact"/>
              <w:spacing w:after="40"/>
              <w:jc w:val="right"/>
            </w:pPr>
            <m:oMath>
              <m:sSup>
                <m:e>
                  <m:r>
                    <m:t>r</m:t>
                  </m:r>
                </m:e>
                <m:sup>
                  <m:r>
                    <m:t>3</m:t>
                  </m:r>
                </m:sup>
              </m:sSup>
              <m:r>
                <m:rPr>
                  <m:sty m:val="p"/>
                </m:rPr>
                <m:t>/</m:t>
              </m:r>
              <m:r>
                <m:t>6</m:t>
              </m:r>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Corrected six-pin density</w:t>
            </w:r>
          </w:p>
        </w:tc>
        <w:tc>
          <w:tcPr>
            <w:tcMar>
              <w:top w:w="80" w:type="dxa"/>
              <w:left w:w="80" w:type="dxa"/>
              <w:bottom w:w="80" w:type="dxa"/>
              <w:right w:w="80" w:type="dxa"/>
            </w:tcMar>
          </w:tcPr>
          <w:p>
            <w:pPr>
              <w:pStyle w:val="Compact"/>
              <w:spacing w:after="40"/>
              <w:jc w:val="right"/>
            </w:pPr>
            <m:oMath>
              <m:sSup>
                <m:e>
                  <m:r>
                    <m:t>r</m:t>
                  </m:r>
                </m:e>
                <m:sup>
                  <m:r>
                    <m:rPr>
                      <m:sty m:val="p"/>
                    </m:rPr>
                    <m:t>−</m:t>
                  </m:r>
                  <m:r>
                    <m:t>6</m:t>
                  </m:r>
                </m:sup>
              </m:sSup>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Two soft endpoint determinant factors</w:t>
            </w:r>
          </w:p>
        </w:tc>
        <w:tc>
          <w:tcPr>
            <w:tcMar>
              <w:top w:w="80" w:type="dxa"/>
              <w:left w:w="80" w:type="dxa"/>
              <w:bottom w:w="80" w:type="dxa"/>
              <w:right w:w="80" w:type="dxa"/>
            </w:tcMar>
          </w:tcPr>
          <w:p>
            <w:pPr>
              <w:pStyle w:val="Compact"/>
              <w:spacing w:after="40"/>
              <w:jc w:val="right"/>
            </w:pPr>
            <m:oMath>
              <m:sSup>
                <m:e>
                  <m:r>
                    <m:t>r</m:t>
                  </m:r>
                </m:e>
                <m:sup>
                  <m:r>
                    <m:t>2</m:t>
                  </m:r>
                </m:sup>
              </m:sSup>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Combined radial factor</w:t>
            </w:r>
          </w:p>
        </w:tc>
        <w:tc>
          <w:tcPr>
            <w:tcMar>
              <w:top w:w="80" w:type="dxa"/>
              <w:left w:w="80" w:type="dxa"/>
              <w:bottom w:w="80" w:type="dxa"/>
              <w:right w:w="80" w:type="dxa"/>
            </w:tcMar>
          </w:tcPr>
          <w:p>
            <w:pPr>
              <w:pStyle w:val="Compact"/>
              <w:spacing w:after="40"/>
              <w:jc w:val="right"/>
            </w:pPr>
            <m:oMath>
              <m:d>
                <m:dPr>
                  <m:begChr m:val="("/>
                  <m:endChr m:val=")"/>
                  <m:sepChr m:val=""/>
                  <m:grow/>
                </m:dPr>
                <m:e>
                  <m:r>
                    <m:t>1</m:t>
                  </m:r>
                  <m:r>
                    <m:rPr>
                      <m:sty m:val="p"/>
                    </m:rPr>
                    <m:t>/</m:t>
                  </m:r>
                  <m:r>
                    <m:t>6</m:t>
                  </m:r>
                </m:e>
              </m:d>
              <m:r>
                <m:t>r</m:t>
              </m:r>
              <m:r>
                <m:t> </m:t>
              </m:r>
              <m:r>
                <m:t>d</m:t>
              </m:r>
              <m:r>
                <m:t>r</m:t>
              </m:r>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Cubic lifetime relation</w:t>
            </w:r>
          </w:p>
        </w:tc>
        <w:tc>
          <w:tcPr>
            <w:tcMar>
              <w:top w:w="80" w:type="dxa"/>
              <w:left w:w="80" w:type="dxa"/>
              <w:bottom w:w="80" w:type="dxa"/>
              <w:right w:w="80" w:type="dxa"/>
            </w:tcMar>
          </w:tcPr>
          <w:p>
            <w:pPr>
              <w:pStyle w:val="Compact"/>
              <w:spacing w:after="40"/>
              <w:jc w:val="right"/>
            </w:pPr>
            <m:oMath>
              <m:r>
                <m:rPr>
                  <m:sty m:val="p"/>
                </m:rPr>
                <m:t>ℓ</m:t>
              </m:r>
              <m:r>
                <m:rPr>
                  <m:sty m:val="p"/>
                </m:rPr>
                <m:t>=</m:t>
              </m:r>
              <m:r>
                <m:t>κ</m:t>
              </m:r>
              <m:sSup>
                <m:e>
                  <m:r>
                    <m:t>r</m:t>
                  </m:r>
                </m:e>
                <m:sup>
                  <m:r>
                    <m:t>3</m:t>
                  </m:r>
                </m:sup>
              </m:sSup>
              <m:r>
                <m:rPr>
                  <m:sty m:val="p"/>
                </m:rPr>
                <m:t>/</m:t>
              </m:r>
              <m:r>
                <m:t>6</m:t>
              </m:r>
            </m:oMath>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Lifetime pushforward</w:t>
            </w:r>
          </w:p>
        </w:tc>
        <w:tc>
          <w:tcPr>
            <w:tcMar>
              <w:top w:w="80" w:type="dxa"/>
              <w:left w:w="80" w:type="dxa"/>
              <w:bottom w:w="80" w:type="dxa"/>
              <w:right w:w="80" w:type="dxa"/>
            </w:tcMar>
          </w:tcPr>
          <w:p>
            <w:pPr>
              <w:pStyle w:val="Compact"/>
              <w:spacing w:after="40"/>
              <w:jc w:val="right"/>
            </w:pPr>
            <m:oMath>
              <m:r>
                <m:t>r</m:t>
              </m:r>
              <m:r>
                <m:t> </m:t>
              </m:r>
              <m:r>
                <m:t>d</m:t>
              </m:r>
              <m:r>
                <m:t>r</m:t>
              </m:r>
              <m:r>
                <m:rPr>
                  <m:sty m:val="p"/>
                </m:rPr>
                <m:t>=</m:t>
              </m:r>
              <m:d>
                <m:dPr>
                  <m:begChr m:val="("/>
                  <m:endChr m:val=")"/>
                  <m:sepChr m:val=""/>
                  <m:grow/>
                </m:dPr>
                <m:e>
                  <m:sSup>
                    <m:e>
                      <m:r>
                        <m:t>6</m:t>
                      </m:r>
                    </m:e>
                    <m:sup>
                      <m:r>
                        <m:t>2</m:t>
                      </m:r>
                      <m:r>
                        <m:rPr>
                          <m:sty m:val="p"/>
                        </m:rPr>
                        <m:t>/</m:t>
                      </m:r>
                      <m:r>
                        <m:t>3</m:t>
                      </m:r>
                    </m:sup>
                  </m:sSup>
                  <m:r>
                    <m:rPr>
                      <m:sty m:val="p"/>
                    </m:rPr>
                    <m:t>/</m:t>
                  </m:r>
                  <m:r>
                    <m:t>3</m:t>
                  </m:r>
                </m:e>
              </m:d>
              <m:sSup>
                <m:e>
                  <m:r>
                    <m:t>κ</m:t>
                  </m:r>
                </m:e>
                <m:sup>
                  <m:r>
                    <m:rPr>
                      <m:sty m:val="p"/>
                    </m:rPr>
                    <m:t>−</m:t>
                  </m:r>
                  <m:r>
                    <m:t>2</m:t>
                  </m:r>
                  <m:r>
                    <m:rPr>
                      <m:sty m:val="p"/>
                    </m:rPr>
                    <m:t>/</m:t>
                  </m:r>
                  <m:r>
                    <m:t>3</m:t>
                  </m:r>
                </m:sup>
              </m:sSup>
              <m:sSup>
                <m:e>
                  <m:r>
                    <m:rPr>
                      <m:sty m:val="p"/>
                    </m:rPr>
                    <m:t>ℓ</m:t>
                  </m:r>
                </m:e>
                <m:sup>
                  <m:r>
                    <m:rPr>
                      <m:sty m:val="p"/>
                    </m:rPr>
                    <m:t>−</m:t>
                  </m:r>
                  <m:r>
                    <m:t>1</m:t>
                  </m:r>
                  <m:r>
                    <m:rPr>
                      <m:sty m:val="p"/>
                    </m:rPr>
                    <m:t>/</m:t>
                  </m:r>
                  <m:r>
                    <m:t>3</m:t>
                  </m:r>
                </m:sup>
              </m:sSup>
              <m:r>
                <m:t>d</m:t>
              </m:r>
              <m:r>
                <m:rPr>
                  <m:sty m:val="p"/>
                </m:rPr>
                <m:t>ℓ</m:t>
              </m:r>
            </m:oMath>
          </w:p>
        </w:tc>
      </w:tr>
    </w:tbl>
    <w:p>
      <w:pPr>
        <w:pStyle w:val="BodyText"/>
      </w:pPr>
      <w:r>
        <w:t xml:space="preserve">Thus a generic cubic contact gives</w:t>
      </w:r>
      <w:r>
        <w:t xml:space="preserve"> </w:t>
      </w:r>
      <m:oMath>
        <m:sSup>
          <m:e>
            <m:r>
              <m:rPr>
                <m:sty m:val="p"/>
              </m:rPr>
              <m:t>ℓ</m:t>
            </m:r>
          </m:e>
          <m:sup>
            <m:r>
              <m:rPr>
                <m:sty m:val="p"/>
              </m:rPr>
              <m:t>−</m:t>
            </m:r>
            <m:r>
              <m:t>1</m:t>
            </m:r>
            <m:r>
              <m:rPr>
                <m:sty m:val="p"/>
              </m:rPr>
              <m:t>/</m:t>
            </m:r>
            <m:r>
              <m:t>3</m:t>
            </m:r>
          </m:sup>
        </m:sSup>
      </m:oMath>
      <w:r>
        <w:t xml:space="preserve">. The principal nonlocal issue is whether a typed local maximum–saddle contact is actually the elder persistence pair. Candidate Theorem 2.1 requires the determinant-weighted Palm probability of selection to satisfy</w:t>
      </w:r>
    </w:p>
    <w:p>
      <w:pPr>
        <w:pStyle w:val="BodyText"/>
      </w:pPr>
      <m:oMathPara>
        <m:oMathParaPr>
          <m:jc m:val="center"/>
        </m:oMathParaPr>
        <m:oMath>
          <m:r>
            <m:t>1</m:t>
          </m:r>
          <m:r>
            <m:rPr>
              <m:sty m:val="p"/>
            </m:rPr>
            <m:t>−</m:t>
          </m:r>
          <m:sSub>
            <m:e>
              <m:r>
                <m:t>p</m:t>
              </m:r>
            </m:e>
            <m:sub>
              <m:r>
                <m:t>r</m:t>
              </m:r>
            </m:sub>
          </m:sSub>
          <m:d>
            <m:dPr>
              <m:begChr m:val="("/>
              <m:endChr m:val=")"/>
              <m:sepChr m:val=""/>
              <m:grow/>
            </m:dPr>
            <m:e>
              <m:r>
                <m:t>t</m:t>
              </m:r>
              <m:r>
                <m:rPr>
                  <m:sty m:val="p"/>
                </m:rPr>
                <m:t>,</m:t>
              </m:r>
              <m:r>
                <m:t>b</m:t>
              </m:r>
              <m:r>
                <m:rPr>
                  <m:sty m:val="p"/>
                </m:rPr>
                <m:t>,</m:t>
              </m:r>
              <m:r>
                <m:t>κ</m:t>
              </m:r>
            </m:e>
          </m:d>
          <m:r>
            <m:rPr>
              <m:sty m:val="p"/>
            </m:rPr>
            <m:t>=</m:t>
          </m:r>
          <m:r>
            <m:t>O</m:t>
          </m:r>
          <m:d>
            <m:dPr>
              <m:begChr m:val="("/>
              <m:endChr m:val=")"/>
              <m:sepChr m:val=""/>
              <m:grow/>
            </m:dPr>
            <m:e>
              <m:sSup>
                <m:e>
                  <m:r>
                    <m:t>r</m:t>
                  </m:r>
                </m:e>
                <m:sup>
                  <m:r>
                    <m:t>3</m:t>
                  </m:r>
                </m:sup>
              </m:sSup>
            </m:e>
          </m:d>
          <m:r>
            <m:rPr>
              <m:sty m:val="p"/>
            </m:rPr>
            <m:t>,</m:t>
          </m:r>
        </m:oMath>
      </m:oMathPara>
    </w:p>
    <w:p>
      <w:pPr>
        <w:pStyle w:val="FirstParagraph"/>
      </w:pPr>
      <w:r>
        <w:t xml:space="preserve">so selection would change only the lower-order term. This estimate is the principal unresolved proposition in the revised manuscript.</w:t>
      </w:r>
    </w:p>
    <w:bookmarkEnd w:id="24"/>
    <w:bookmarkEnd w:id="25"/>
    <w:bookmarkStart w:id="29" w:name="physics-oriented-orientation"/>
    <w:p>
      <w:pPr>
        <w:pStyle w:val="Heading1"/>
        <w:keepNext/>
      </w:pPr>
      <w:r>
        <w:t xml:space="preserve">2. Physics-oriented orientation</w:t>
      </w:r>
    </w:p>
    <w:bookmarkStart w:id="26" w:name="bargmannfock-geometry"/>
    <w:p>
      <w:pPr>
        <w:pStyle w:val="Heading2"/>
        <w:keepNext/>
      </w:pPr>
      <w:r>
        <w:t xml:space="preserve">2.1 Bargmann–Fock geometry</w:t>
      </w:r>
    </w:p>
    <w:p>
      <w:pPr>
        <w:pStyle w:val="FirstParagraph"/>
      </w:pPr>
      <w:r>
        <w:t xml:space="preserve">The Euclidean Bargmann–Fock field is a canonical smooth stationary isotropic Gaussian field. Its covariance is Gaussian in separation, so all field derivatives exist and the local jet has particularly explicit covariance. Periodization replaces the infinite domain by a compact torus while retaining stationarity. Side 24 is so large relative to the unit correlation length that the first image correction is proportional to</w:t>
      </w:r>
      <w:r>
        <w:t xml:space="preserve"> </w:t>
      </w:r>
      <m:oMath>
        <m:sSup>
          <m:e>
            <m:r>
              <m:t>e</m:t>
            </m:r>
          </m:e>
          <m:sup>
            <m:r>
              <m:rPr>
                <m:sty m:val="p"/>
              </m:rPr>
              <m:t>−</m:t>
            </m:r>
            <m:sSup>
              <m:e>
                <m:r>
                  <m:t>24</m:t>
                </m:r>
              </m:e>
              <m:sup>
                <m:r>
                  <m:t>2</m:t>
                </m:r>
              </m:sup>
            </m:sSup>
            <m:r>
              <m:rPr>
                <m:sty m:val="p"/>
              </m:rPr>
              <m:t>/</m:t>
            </m:r>
            <m:r>
              <m:t>2</m:t>
            </m:r>
          </m:sup>
        </m:sSup>
        <m:r>
          <m:rPr>
            <m:sty m:val="p"/>
          </m:rPr>
          <m:t>=</m:t>
        </m:r>
        <m:sSup>
          <m:e>
            <m:r>
              <m:t>e</m:t>
            </m:r>
          </m:e>
          <m:sup>
            <m:r>
              <m:rPr>
                <m:sty m:val="p"/>
              </m:rPr>
              <m:t>−</m:t>
            </m:r>
            <m:r>
              <m:t>288</m:t>
            </m:r>
          </m:sup>
        </m:sSup>
      </m:oMath>
      <w:r>
        <w:t xml:space="preserve">.</w:t>
      </w:r>
    </w:p>
    <w:p>
      <w:pPr>
        <w:pStyle w:val="BodyText"/>
      </w:pPr>
      <w:r>
        <w:t xml:space="preserve">The normalization by</w:t>
      </w:r>
      <w:r>
        <w:t xml:space="preserve"> </w:t>
      </w:r>
      <m:oMath>
        <m:sSub>
          <m:e>
            <m:r>
              <m:t>Z</m:t>
            </m:r>
          </m:e>
          <m:sub>
            <m:r>
              <m:t>24</m:t>
            </m:r>
          </m:sub>
        </m:sSub>
      </m:oMath>
      <w:r>
        <w:t xml:space="preserve"> </w:t>
      </w:r>
      <w:r>
        <w:t xml:space="preserve">is important: it makes</w:t>
      </w:r>
      <w:r>
        <w:t xml:space="preserve"> </w:t>
      </w:r>
      <m:oMath>
        <m:sSub>
          <m:e>
            <m:r>
              <m:t>K</m:t>
            </m:r>
          </m:e>
          <m:sub>
            <m:r>
              <m:t>24</m:t>
            </m:r>
          </m:sub>
        </m:sSub>
        <m:d>
          <m:dPr>
            <m:begChr m:val="("/>
            <m:endChr m:val=")"/>
            <m:sepChr m:val=""/>
            <m:grow/>
          </m:dPr>
          <m:e>
            <m:r>
              <m:t>0</m:t>
            </m:r>
          </m:e>
        </m:d>
        <m:r>
          <m:rPr>
            <m:sty m:val="p"/>
          </m:rPr>
          <m:t>=</m:t>
        </m:r>
        <m:r>
          <m:t>1</m:t>
        </m:r>
      </m:oMath>
      <w:r>
        <w:t xml:space="preserve">. Any Fourier representation must use the corresponding Poisson prefactor consistently. The main manuscript already included that prefactor. The revised review appendix corrects the omitted positive factor in Module F and preserves the original source hash as provenance; the correction does not alter the positivity argument.</w:t>
      </w:r>
    </w:p>
    <w:bookmarkEnd w:id="26"/>
    <w:bookmarkStart w:id="27" w:name="why-short-bars-come-from-a-local-fold"/>
    <w:p>
      <w:pPr>
        <w:pStyle w:val="Heading2"/>
        <w:keepNext/>
      </w:pPr>
      <w:r>
        <w:t xml:space="preserve">2.2 Why short bars come from a local fold</w:t>
      </w:r>
    </w:p>
    <w:p>
      <w:pPr>
        <w:pStyle w:val="FirstParagraph"/>
      </w:pPr>
      <w:r>
        <w:t xml:space="preserve">A very short</w:t>
      </w:r>
      <w:r>
        <w:t xml:space="preserve"> </w:t>
      </w:r>
      <m:oMath>
        <m:sSub>
          <m:e>
            <m:r>
              <m:t>H</m:t>
            </m:r>
          </m:e>
          <m:sub>
            <m:r>
              <m:t>0</m:t>
            </m:r>
          </m:sub>
        </m:sSub>
      </m:oMath>
      <w:r>
        <w:t xml:space="preserve"> </w:t>
      </w:r>
      <w:r>
        <w:t xml:space="preserve">bar has a creating maximum and a death saddle at nearly equal heights. The local mechanism is a fold in the direction joining them. If</w:t>
      </w:r>
      <w:r>
        <w:t xml:space="preserve"> </w:t>
      </w:r>
      <m:oMath>
        <m:r>
          <m:t>r</m:t>
        </m:r>
      </m:oMath>
      <w:r>
        <w:t xml:space="preserve"> </w:t>
      </w:r>
      <w:r>
        <w:t xml:space="preserve">is their separation, the height gap is generically cubic in</w:t>
      </w:r>
      <w:r>
        <w:t xml:space="preserve"> </w:t>
      </w:r>
      <m:oMath>
        <m:r>
          <m:t>r</m:t>
        </m:r>
      </m:oMath>
      <w:r>
        <w:t xml:space="preserve">:</w:t>
      </w:r>
    </w:p>
    <w:p>
      <w:pPr>
        <w:pStyle w:val="BodyText"/>
      </w:pPr>
      <m:oMathPara>
        <m:oMathParaPr>
          <m:jc m:val="center"/>
        </m:oMathParaPr>
        <m:oMath>
          <m:r>
            <m:t>f</m:t>
          </m:r>
          <m:d>
            <m:dPr>
              <m:begChr m:val="("/>
              <m:endChr m:val=")"/>
              <m:sepChr m:val=""/>
              <m:grow/>
            </m:dPr>
            <m:e>
              <m:r>
                <m:t>M</m:t>
              </m:r>
            </m:e>
          </m:d>
          <m:r>
            <m:rPr>
              <m:sty m:val="p"/>
            </m:rPr>
            <m:t>−</m:t>
          </m:r>
          <m:r>
            <m:t>f</m:t>
          </m:r>
          <m:d>
            <m:dPr>
              <m:begChr m:val="("/>
              <m:endChr m:val=")"/>
              <m:sepChr m:val=""/>
              <m:grow/>
            </m:dPr>
            <m:e>
              <m:r>
                <m:t>S</m:t>
              </m:r>
            </m:e>
          </m:d>
          <m:r>
            <m:rPr>
              <m:sty m:val="p"/>
            </m:rPr>
            <m:t>=</m:t>
          </m:r>
          <m:f>
            <m:fPr>
              <m:type m:val="bar"/>
            </m:fPr>
            <m:num>
              <m:r>
                <m:t>κ</m:t>
              </m:r>
              <m:sSup>
                <m:e>
                  <m:r>
                    <m:t>r</m:t>
                  </m:r>
                </m:e>
                <m:sup>
                  <m:r>
                    <m:t>3</m:t>
                  </m:r>
                </m:sup>
              </m:sSup>
            </m:num>
            <m:den>
              <m:r>
                <m:t>6</m:t>
              </m:r>
            </m:den>
          </m:f>
          <m:r>
            <m:rPr>
              <m:sty m:val="p"/>
            </m:rPr>
            <m:t>.</m:t>
          </m:r>
        </m:oMath>
      </m:oMathPara>
    </w:p>
    <w:p>
      <w:pPr>
        <w:pStyle w:val="FirstParagraph"/>
      </w:pPr>
      <w:r>
        <w:t xml:space="preserve">The two endpoint Hessians each have one soft eigenvalue of order</w:t>
      </w:r>
      <w:r>
        <w:t xml:space="preserve"> </w:t>
      </w:r>
      <m:oMath>
        <m:r>
          <m:t>r</m:t>
        </m:r>
      </m:oMath>
      <w:r>
        <w:t xml:space="preserve">, while their transverse blocks remain nondegenerate. Kac–Rice weights each critical point by an absolute Hessian determinant. The pair therefore contributes two powers of</w:t>
      </w:r>
      <w:r>
        <w:t xml:space="preserve"> </w:t>
      </w:r>
      <m:oMath>
        <m:r>
          <m:t>r</m:t>
        </m:r>
      </m:oMath>
      <w:r>
        <w:t xml:space="preserve"> </w:t>
      </w:r>
      <w:r>
        <w:t xml:space="preserve">from the endpoint determinants.</w:t>
      </w:r>
    </w:p>
    <w:p>
      <w:pPr>
        <w:pStyle w:val="BodyText"/>
      </w:pPr>
      <w:r>
        <w:t xml:space="preserve">The value and gradient constraints become singular as the endpoints collide. A corrected divided-difference coordinate system isolates this singularity. In dimension three its linear Jacobian contributes</w:t>
      </w:r>
      <w:r>
        <w:t xml:space="preserve"> </w:t>
      </w:r>
      <m:oMath>
        <m:sSup>
          <m:e>
            <m:r>
              <m:t>r</m:t>
            </m:r>
          </m:e>
          <m:sup>
            <m:r>
              <m:rPr>
                <m:sty m:val="p"/>
              </m:rPr>
              <m:t>−</m:t>
            </m:r>
            <m:r>
              <m:t>6</m:t>
            </m:r>
          </m:sup>
        </m:sSup>
      </m:oMath>
      <w:r>
        <w:t xml:space="preserve">. The remarkable cancellation in the table above leaves a universal</w:t>
      </w:r>
      <w:r>
        <w:t xml:space="preserve"> </w:t>
      </w:r>
      <m:oMath>
        <m:r>
          <m:t>r</m:t>
        </m:r>
        <m:r>
          <m:t> </m:t>
        </m:r>
        <m:r>
          <m:t>d</m:t>
        </m:r>
        <m:r>
          <m:t>r</m:t>
        </m:r>
      </m:oMath>
      <w:r>
        <w:t xml:space="preserve"> </w:t>
      </w:r>
      <w:r>
        <w:t xml:space="preserve">radial measure before lifetime pushforward.</w:t>
      </w:r>
    </w:p>
    <w:bookmarkEnd w:id="27"/>
    <w:bookmarkStart w:id="28" w:name="why-topology-is-not-automatic"/>
    <w:p>
      <w:pPr>
        <w:pStyle w:val="Heading2"/>
        <w:keepNext/>
      </w:pPr>
      <w:r>
        <w:t xml:space="preserve">2.3 Why topology is not automatic</w:t>
      </w:r>
    </w:p>
    <w:p>
      <w:pPr>
        <w:pStyle w:val="FirstParagraph"/>
      </w:pPr>
      <w:r>
        <w:t xml:space="preserve">Kac–Rice can count all nearby typed maximum–index-two-saddle pairs. Persistence counts only pairs selected by the global elder rule. A local pair might fail to be selected because of another critical point, because the outward branch returns to the same component, or because the two upper sectors already belong to the same component.</w:t>
      </w:r>
    </w:p>
    <w:p>
      <w:pPr>
        <w:pStyle w:val="BodyText"/>
      </w:pPr>
      <w:r>
        <w:t xml:space="preserve">The proof therefore requires more than a local Gaussian calculation. It needs a topological and dynamical selection theorem showing that failure is rare under the determinant-weighted contact Palm law. That is the most delicate part of the project and the part most in need of independent review.</w:t>
      </w:r>
    </w:p>
    <w:bookmarkEnd w:id="28"/>
    <w:bookmarkEnd w:id="29"/>
    <w:bookmarkStart w:id="33" w:name="precise-definitions-and-conventions"/>
    <w:p>
      <w:pPr>
        <w:pStyle w:val="Heading1"/>
        <w:keepNext/>
      </w:pPr>
      <w:r>
        <w:t xml:space="preserve">3. Precise definitions and conventions</w:t>
      </w:r>
    </w:p>
    <w:bookmarkStart w:id="30" w:name="genericity"/>
    <w:p>
      <w:pPr>
        <w:pStyle w:val="Heading2"/>
        <w:keepNext/>
      </w:pPr>
      <w:r>
        <w:t xml:space="preserve">3.1 Genericity</w:t>
      </w:r>
    </w:p>
    <w:p>
      <w:pPr>
        <w:pStyle w:val="FirstParagraph"/>
      </w:pPr>
      <w:r>
        <w:t xml:space="preserve">The manuscript argues that the field has entire periodic sample paths, is Morse almost surely, and has pairwise distinct critical values. Strict positivity of all Fourier weights gives nondegeneracy for finite families of derivative-evaluation distributions. Compactness supplies uniform covariance bounds away from the spatial diagonal.</w:t>
      </w:r>
    </w:p>
    <w:p>
      <w:pPr>
        <w:pStyle w:val="BodyText"/>
      </w:pPr>
      <w:r>
        <w:t xml:space="preserve">The genericity proof cites Adler–Taylor for the Morse property and uses a dimension-counting argument for distinct critical values. A reviewer should verify that the exact hypotheses of the cited results are satisfied and that the claimed derivative-distribution independence is correctly formulated.</w:t>
      </w:r>
    </w:p>
    <w:bookmarkEnd w:id="30"/>
    <w:bookmarkStart w:id="31" w:name="expected-lifetime-measure"/>
    <w:p>
      <w:pPr>
        <w:pStyle w:val="Heading2"/>
        <w:keepNext/>
      </w:pPr>
      <w:r>
        <w:t xml:space="preserve">3.2 Expected lifetime measure</w:t>
      </w:r>
    </w:p>
    <w:p>
      <w:pPr>
        <w:pStyle w:val="FirstParagraph"/>
      </w:pPr>
      <w:r>
        <w:t xml:space="preserve">Let</w:t>
      </w:r>
      <w:r>
        <w:t xml:space="preserve"> </w:t>
      </w:r>
      <m:oMath>
        <m:sSub>
          <m:e>
            <m:r>
              <m:t>M</m:t>
            </m:r>
          </m:e>
          <m:sub>
            <m:r>
              <m:rPr>
                <m:sty m:val="p"/>
              </m:rPr>
              <m:t>*</m:t>
            </m:r>
          </m:sub>
        </m:sSub>
      </m:oMath>
      <w:r>
        <w:t xml:space="preserve"> </w:t>
      </w:r>
      <w:r>
        <w:t xml:space="preserve">be the global maximum and</w:t>
      </w:r>
      <w:r>
        <w:t xml:space="preserve"> </w:t>
      </w:r>
      <m:oMath>
        <m:sSub>
          <m:e>
            <m:r>
              <m:t>D</m:t>
            </m:r>
          </m:e>
          <m:sub>
            <m:r>
              <m:t>f</m:t>
            </m:r>
          </m:sub>
        </m:sSub>
        <m:d>
          <m:dPr>
            <m:begChr m:val="("/>
            <m:endChr m:val=")"/>
            <m:sepChr m:val=""/>
            <m:grow/>
          </m:dPr>
          <m:e>
            <m:r>
              <m:t>M</m:t>
            </m:r>
          </m:e>
        </m:d>
      </m:oMath>
      <w:r>
        <w:t xml:space="preserve"> </w:t>
      </w:r>
      <w:r>
        <w:t xml:space="preserve">the elder-rule death saddle of a non-global maximum. Define</w:t>
      </w:r>
    </w:p>
    <w:p>
      <w:pPr>
        <w:pStyle w:val="BodyText"/>
      </w:pPr>
      <m:oMathPara>
        <m:oMathParaPr>
          <m:jc m:val="center"/>
        </m:oMathParaPr>
        <m:oMath>
          <m:sSub>
            <m:e>
              <m:r>
                <m:t>Λ</m:t>
              </m:r>
            </m:e>
            <m:sub>
              <m:r>
                <m:t>3</m:t>
              </m:r>
              <m:r>
                <m:rPr>
                  <m:sty m:val="p"/>
                </m:rPr>
                <m:t>,</m:t>
              </m:r>
              <m:r>
                <m:t>24</m:t>
              </m:r>
            </m:sub>
          </m:sSub>
          <m:d>
            <m:dPr>
              <m:begChr m:val="("/>
              <m:endChr m:val=")"/>
              <m:sepChr m:val=""/>
              <m:grow/>
            </m:dPr>
            <m:e>
              <m:r>
                <m:t>A</m:t>
              </m:r>
            </m:e>
          </m:d>
          <m:r>
            <m:rPr>
              <m:sty m:val="p"/>
            </m:rPr>
            <m:t>=</m:t>
          </m:r>
          <m:sSup>
            <m:e>
              <m:r>
                <m:t>24</m:t>
              </m:r>
            </m:e>
            <m:sup>
              <m:r>
                <m:rPr>
                  <m:sty m:val="p"/>
                </m:rPr>
                <m:t>−</m:t>
              </m:r>
              <m:r>
                <m:t>3</m:t>
              </m:r>
            </m:sup>
          </m:sSup>
          <m:r>
            <m:t> </m:t>
          </m:r>
          <m:r>
            <m:rPr>
              <m:sty m:val="p"/>
              <m:scr m:val="double-struck"/>
            </m:rPr>
            <m:t>E</m:t>
          </m:r>
          <m:nary>
            <m:naryPr>
              <m:chr m:val="∑"/>
              <m:limLoc m:val="undOvr"/>
              <m:subHide m:val="off"/>
              <m:supHide m:val="on"/>
            </m:naryPr>
            <m:sub>
              <m:r>
                <m:t>M</m:t>
              </m:r>
              <m:r>
                <m:rPr>
                  <m:sty m:val="p"/>
                </m:rPr>
                <m:t>≠</m:t>
              </m:r>
              <m:sSub>
                <m:e>
                  <m:r>
                    <m:t>M</m:t>
                  </m:r>
                </m:e>
                <m:sub>
                  <m:r>
                    <m:rPr>
                      <m:sty m:val="p"/>
                    </m:rPr>
                    <m:t>*</m:t>
                  </m:r>
                </m:sub>
              </m:sSub>
            </m:sub>
            <m:sup>
              <m:r>
                <m:t>​</m:t>
              </m:r>
            </m:sup>
            <m:e>
              <m:sSub>
                <m:e>
                  <m:r>
                    <m:rPr>
                      <m:sty m:val="b"/>
                    </m:rPr>
                    <m:t>1</m:t>
                  </m:r>
                </m:e>
                <m:sub>
                  <m:r>
                    <m:rPr>
                      <m:sty m:val="p"/>
                    </m:rPr>
                    <m:t>{</m:t>
                  </m:r>
                  <m:sSub>
                    <m:e>
                      <m:r>
                        <m:t>f</m:t>
                      </m:r>
                    </m:e>
                    <m:sub>
                      <m:r>
                        <m:t>24</m:t>
                      </m:r>
                    </m:sub>
                  </m:sSub>
                  <m:d>
                    <m:dPr>
                      <m:begChr m:val="("/>
                      <m:endChr m:val=")"/>
                      <m:sepChr m:val=""/>
                      <m:grow/>
                    </m:dPr>
                    <m:e>
                      <m:r>
                        <m:t>M</m:t>
                      </m:r>
                    </m:e>
                  </m:d>
                  <m:r>
                    <m:rPr>
                      <m:sty m:val="p"/>
                    </m:rPr>
                    <m:t>−</m:t>
                  </m:r>
                  <m:sSub>
                    <m:e>
                      <m:r>
                        <m:t>f</m:t>
                      </m:r>
                    </m:e>
                    <m:sub>
                      <m:r>
                        <m:t>24</m:t>
                      </m:r>
                    </m:sub>
                  </m:sSub>
                  <m:d>
                    <m:dPr>
                      <m:begChr m:val="("/>
                      <m:endChr m:val=")"/>
                      <m:sepChr m:val=""/>
                      <m:grow/>
                    </m:dPr>
                    <m:e>
                      <m:sSub>
                        <m:e>
                          <m:r>
                            <m:t>D</m:t>
                          </m:r>
                        </m:e>
                        <m:sub>
                          <m:r>
                            <m:t>f</m:t>
                          </m:r>
                        </m:sub>
                      </m:sSub>
                      <m:d>
                        <m:dPr>
                          <m:begChr m:val="("/>
                          <m:endChr m:val=")"/>
                          <m:sepChr m:val=""/>
                          <m:grow/>
                        </m:dPr>
                        <m:e>
                          <m:r>
                            <m:t>M</m:t>
                          </m:r>
                        </m:e>
                      </m:d>
                    </m:e>
                  </m:d>
                  <m:r>
                    <m:rPr>
                      <m:sty m:val="p"/>
                    </m:rPr>
                    <m:t>∈</m:t>
                  </m:r>
                  <m:r>
                    <m:t>A</m:t>
                  </m:r>
                  <m:r>
                    <m:rPr>
                      <m:sty m:val="p"/>
                    </m:rPr>
                    <m:t>}</m:t>
                  </m:r>
                </m:sub>
              </m:sSub>
            </m:e>
          </m:nary>
          <m:r>
            <m:rPr>
              <m:sty m:val="p"/>
            </m:rPr>
            <m:t>.</m:t>
          </m:r>
        </m:oMath>
      </m:oMathPara>
    </w:p>
    <w:p>
      <w:pPr>
        <w:pStyle w:val="FirstParagraph"/>
      </w:pPr>
      <w:r>
        <w:t xml:space="preserve">The prefactor</w:t>
      </w:r>
      <w:r>
        <w:t xml:space="preserve"> </w:t>
      </w:r>
      <m:oMath>
        <m:sSup>
          <m:e>
            <m:r>
              <m:t>24</m:t>
            </m:r>
          </m:e>
          <m:sup>
            <m:r>
              <m:rPr>
                <m:sty m:val="p"/>
              </m:rPr>
              <m:t>−</m:t>
            </m:r>
            <m:r>
              <m:t>3</m:t>
            </m:r>
          </m:sup>
        </m:sSup>
      </m:oMath>
      <w:r>
        <w:t xml:space="preserve"> </w:t>
      </w:r>
      <w:r>
        <w:t xml:space="preserve">converts the expected total torus count to ordinary volume-specific intensity. In a stationary midpoint integral,</w:t>
      </w:r>
    </w:p>
    <w:p>
      <w:pPr>
        <w:pStyle w:val="BodyText"/>
      </w:pPr>
      <m:oMathPara>
        <m:oMathParaPr>
          <m:jc m:val="center"/>
        </m:oMathParaPr>
        <m:oMath>
          <m:sSup>
            <m:e>
              <m:r>
                <m:t>24</m:t>
              </m:r>
            </m:e>
            <m:sup>
              <m:r>
                <m:rPr>
                  <m:sty m:val="p"/>
                </m:rPr>
                <m:t>−</m:t>
              </m:r>
              <m:r>
                <m:t>3</m:t>
              </m:r>
            </m:sup>
          </m:sSup>
          <m:nary>
            <m:naryPr>
              <m:chr m:val="∫"/>
              <m:limLoc m:val="subSup"/>
              <m:subHide m:val="off"/>
              <m:supHide m:val="on"/>
            </m:naryPr>
            <m:sub>
              <m:sSubSup>
                <m:e>
                  <m:r>
                    <m:rPr>
                      <m:sty m:val="p"/>
                      <m:scr m:val="double-struck"/>
                    </m:rPr>
                    <m:t>T</m:t>
                  </m:r>
                </m:e>
                <m:sub>
                  <m:r>
                    <m:t>24</m:t>
                  </m:r>
                </m:sub>
                <m:sup>
                  <m:r>
                    <m:t>3</m:t>
                  </m:r>
                </m:sup>
              </m:sSubSup>
            </m:sub>
            <m:sup>
              <m:r>
                <m:t>​</m:t>
              </m:r>
            </m:sup>
            <m:e>
              <m:r>
                <m:t>d</m:t>
              </m:r>
            </m:e>
          </m:nary>
          <m:r>
            <m:t>x</m:t>
          </m:r>
          <m:r>
            <m:rPr>
              <m:sty m:val="p"/>
            </m:rPr>
            <m:t>=</m:t>
          </m:r>
          <m:r>
            <m:t>1</m:t>
          </m:r>
          <m:r>
            <m:rPr>
              <m:sty m:val="p"/>
            </m:rPr>
            <m:t>.</m:t>
          </m:r>
        </m:oMath>
      </m:oMathPara>
    </w:p>
    <w:p>
      <w:pPr>
        <w:pStyle w:val="FirstParagraph"/>
      </w:pPr>
      <w:r>
        <w:t xml:space="preserve">The revised manuscript proves absolute continuity by dominating the selected pair measure with the all-typed two-point Kac–Rice measure away from the diagonal and taking a countable increasing union. It separately constructs a Borel elder mark and specifies the near-plus-far Kac–Rice representative of the Radon–Nikodym derivative to which the candidate asymptotic applies.</w:t>
      </w:r>
    </w:p>
    <w:bookmarkEnd w:id="31"/>
    <w:bookmarkStart w:id="32" w:name="typed-ordered-pairs-and-multiplicity"/>
    <w:p>
      <w:pPr>
        <w:pStyle w:val="Heading2"/>
        <w:keepNext/>
      </w:pPr>
      <w:r>
        <w:t xml:space="preserve">3.3 Typed ordered pairs and multiplicity</w:t>
      </w:r>
    </w:p>
    <w:p>
      <w:pPr>
        <w:pStyle w:val="FirstParagraph"/>
      </w:pPr>
      <w:r>
        <w:t xml:space="preserve">For</w:t>
      </w:r>
      <w:r>
        <w:t xml:space="preserve"> </w:t>
      </w:r>
      <m:oMath>
        <m:r>
          <m:t>0</m:t>
        </m:r>
        <m:r>
          <m:rPr>
            <m:sty m:val="p"/>
          </m:rPr>
          <m:t>&lt;</m:t>
        </m:r>
        <m:r>
          <m:t>r</m:t>
        </m:r>
        <m:r>
          <m:rPr>
            <m:sty m:val="p"/>
          </m:rPr>
          <m:t>&lt;</m:t>
        </m:r>
        <m:r>
          <m:t>12</m:t>
        </m:r>
      </m:oMath>
      <w:r>
        <w:t xml:space="preserve">, write</w:t>
      </w:r>
    </w:p>
    <w:p>
      <w:pPr>
        <w:pStyle w:val="BodyText"/>
      </w:pPr>
      <m:oMathPara>
        <m:oMathParaPr>
          <m:jc m:val="center"/>
        </m:oMathParaPr>
        <m:oMath>
          <m:r>
            <m:t>M</m:t>
          </m:r>
          <m:r>
            <m:rPr>
              <m:sty m:val="p"/>
            </m:rPr>
            <m:t>=</m:t>
          </m:r>
          <m:r>
            <m:t>x</m:t>
          </m:r>
          <m:r>
            <m:rPr>
              <m:sty m:val="p"/>
            </m:rPr>
            <m:t>−</m:t>
          </m:r>
          <m:f>
            <m:fPr>
              <m:type m:val="bar"/>
            </m:fPr>
            <m:num>
              <m:r>
                <m:t>r</m:t>
              </m:r>
            </m:num>
            <m:den>
              <m:r>
                <m:t>2</m:t>
              </m:r>
            </m:den>
          </m:f>
          <m:r>
            <m:t>t</m:t>
          </m:r>
          <m:r>
            <m:rPr>
              <m:sty m:val="p"/>
            </m:rPr>
            <m:t>,</m:t>
          </m:r>
          <m:r>
            <m:t>  </m:t>
          </m:r>
          <m:r>
            <m:t>S</m:t>
          </m:r>
          <m:r>
            <m:rPr>
              <m:sty m:val="p"/>
            </m:rPr>
            <m:t>=</m:t>
          </m:r>
          <m:r>
            <m:t>x</m:t>
          </m:r>
          <m:r>
            <m:rPr>
              <m:sty m:val="p"/>
            </m:rPr>
            <m:t>+</m:t>
          </m:r>
          <m:f>
            <m:fPr>
              <m:type m:val="bar"/>
            </m:fPr>
            <m:num>
              <m:r>
                <m:t>r</m:t>
              </m:r>
            </m:num>
            <m:den>
              <m:r>
                <m:t>2</m:t>
              </m:r>
            </m:den>
          </m:f>
          <m:r>
            <m:t>t</m:t>
          </m:r>
          <m:r>
            <m:rPr>
              <m:sty m:val="p"/>
            </m:rPr>
            <m:t>,</m:t>
          </m:r>
          <m:r>
            <m:t>  </m:t>
          </m:r>
          <m:r>
            <m:t>t</m:t>
          </m:r>
          <m:r>
            <m:rPr>
              <m:sty m:val="p"/>
            </m:rPr>
            <m:t>∈</m:t>
          </m:r>
          <m:sSup>
            <m:e>
              <m:r>
                <m:t>S</m:t>
              </m:r>
            </m:e>
            <m:sup>
              <m:r>
                <m:t>2</m:t>
              </m:r>
            </m:sup>
          </m:sSup>
          <m:r>
            <m:rPr>
              <m:sty m:val="p"/>
            </m:rPr>
            <m:t>.</m:t>
          </m:r>
        </m:oMath>
      </m:oMathPara>
    </w:p>
    <w:p>
      <w:pPr>
        <w:pStyle w:val="FirstParagraph"/>
      </w:pPr>
      <w:r>
        <w:t xml:space="preserve">The midpoint/displacement map has determinant one, so</w:t>
      </w:r>
    </w:p>
    <w:p>
      <w:pPr>
        <w:pStyle w:val="BodyText"/>
      </w:pPr>
      <m:oMathPara>
        <m:oMathParaPr>
          <m:jc m:val="center"/>
        </m:oMathParaPr>
        <m:oMath>
          <m:r>
            <m:t>d</m:t>
          </m:r>
          <m:r>
            <m:t>M</m:t>
          </m:r>
          <m:r>
            <m:t> </m:t>
          </m:r>
          <m:r>
            <m:t>d</m:t>
          </m:r>
          <m:r>
            <m:t>S</m:t>
          </m:r>
          <m:r>
            <m:rPr>
              <m:sty m:val="p"/>
            </m:rPr>
            <m:t>=</m:t>
          </m:r>
          <m:r>
            <m:t>d</m:t>
          </m:r>
          <m:r>
            <m:t>x</m:t>
          </m:r>
          <m:r>
            <m:t> </m:t>
          </m:r>
          <m:sSup>
            <m:e>
              <m:r>
                <m:t>r</m:t>
              </m:r>
            </m:e>
            <m:sup>
              <m:r>
                <m:t>2</m:t>
              </m:r>
            </m:sup>
          </m:sSup>
          <m:r>
            <m:t>d</m:t>
          </m:r>
          <m:r>
            <m:t>r</m:t>
          </m:r>
          <m:r>
            <m:t> </m:t>
          </m:r>
          <m:r>
            <m:t>d</m:t>
          </m:r>
          <m:sSub>
            <m:e>
              <m:r>
                <m:t>σ</m:t>
              </m:r>
            </m:e>
            <m:sub>
              <m:r>
                <m:t>2</m:t>
              </m:r>
            </m:sub>
          </m:sSub>
          <m:d>
            <m:dPr>
              <m:begChr m:val="("/>
              <m:endChr m:val=")"/>
              <m:sepChr m:val=""/>
              <m:grow/>
            </m:dPr>
            <m:e>
              <m:r>
                <m:t>t</m:t>
              </m:r>
            </m:e>
          </m:d>
          <m:r>
            <m:rPr>
              <m:sty m:val="p"/>
            </m:rPr>
            <m:t>.</m:t>
          </m:r>
        </m:oMath>
      </m:oMathPara>
    </w:p>
    <w:p>
      <w:pPr>
        <w:pStyle w:val="FirstParagraph"/>
      </w:pPr>
      <w:r>
        <w:t xml:space="preserve">The antipode</w:t>
      </w:r>
      <w:r>
        <w:t xml:space="preserve"> </w:t>
      </w:r>
      <m:oMath>
        <m:r>
          <m:rPr>
            <m:sty m:val="p"/>
          </m:rPr>
          <m:t>−</m:t>
        </m:r>
        <m:r>
          <m:t>t</m:t>
        </m:r>
      </m:oMath>
      <w:r>
        <w:t xml:space="preserve"> </w:t>
      </w:r>
      <w:r>
        <w:t xml:space="preserve">exchanges</w:t>
      </w:r>
      <w:r>
        <w:t xml:space="preserve"> </w:t>
      </w:r>
      <m:oMath>
        <m:r>
          <m:t>M</m:t>
        </m:r>
      </m:oMath>
      <w:r>
        <w:t xml:space="preserve"> </w:t>
      </w:r>
      <w:r>
        <w:t xml:space="preserve">and</w:t>
      </w:r>
      <w:r>
        <w:t xml:space="preserve"> </w:t>
      </w:r>
      <m:oMath>
        <m:r>
          <m:t>S</m:t>
        </m:r>
      </m:oMath>
      <w:r>
        <w:t xml:space="preserve">. Because the domain is the typed ordered space</w:t>
      </w:r>
      <w:r>
        <w:t xml:space="preserve"> </w:t>
      </w:r>
      <m:oMath>
        <m:r>
          <m:rPr>
            <m:sty m:val="p"/>
          </m:rPr>
          <m:t>M</m:t>
        </m:r>
        <m:r>
          <m:rPr>
            <m:sty m:val="p"/>
          </m:rPr>
          <m:t>a</m:t>
        </m:r>
        <m:r>
          <m:rPr>
            <m:sty m:val="p"/>
          </m:rPr>
          <m:t>x</m:t>
        </m:r>
        <m:r>
          <m:rPr>
            <m:sty m:val="p"/>
          </m:rPr>
          <m:t>×</m:t>
        </m:r>
        <m:sSub>
          <m:e>
            <m:r>
              <m:rPr>
                <m:sty m:val="p"/>
              </m:rPr>
              <m:t>S</m:t>
            </m:r>
            <m:r>
              <m:rPr>
                <m:sty m:val="p"/>
              </m:rPr>
              <m:t>a</m:t>
            </m:r>
            <m:r>
              <m:rPr>
                <m:sty m:val="p"/>
              </m:rPr>
              <m:t>d</m:t>
            </m:r>
          </m:e>
          <m:sub>
            <m:r>
              <m:t>2</m:t>
            </m:r>
          </m:sub>
        </m:sSub>
      </m:oMath>
      <w:r>
        <w:t xml:space="preserve">, it is not a duplicate of the same atom. No factor</w:t>
      </w:r>
      <w:r>
        <w:t xml:space="preserve"> </w:t>
      </w:r>
      <m:oMath>
        <m:r>
          <m:t>1</m:t>
        </m:r>
        <m:r>
          <m:rPr>
            <m:sty m:val="p"/>
          </m:rPr>
          <m:t>/</m:t>
        </m:r>
        <m:r>
          <m:t>2</m:t>
        </m:r>
      </m:oMath>
      <w:r>
        <w:t xml:space="preserve"> </w:t>
      </w:r>
      <w:r>
        <w:t xml:space="preserve">is inserted.</w:t>
      </w:r>
    </w:p>
    <w:p>
      <w:pPr>
        <w:pStyle w:val="BodyText"/>
      </w:pPr>
      <w:r>
        <w:t xml:space="preserve">An index-two superlevel merge lowers</w:t>
      </w:r>
      <w:r>
        <w:t xml:space="preserve"> </w:t>
      </w:r>
      <m:oMath>
        <m:sSub>
          <m:e>
            <m:r>
              <m:t>β</m:t>
            </m:r>
          </m:e>
          <m:sub>
            <m:r>
              <m:t>0</m:t>
            </m:r>
          </m:sub>
        </m:sSub>
      </m:oMath>
      <w:r>
        <w:t xml:space="preserve"> </w:t>
      </w:r>
      <w:r>
        <w:t xml:space="preserve">by one and kills exactly one younger component. The pair process counts the critical-point pair, not unstable half-branches. Even if two branches exhibit a relation to the same maximum, no factor two is introduced.</w:t>
      </w:r>
    </w:p>
    <w:bookmarkEnd w:id="32"/>
    <w:bookmarkEnd w:id="33"/>
    <w:bookmarkStart w:id="37" w:name="exact-local-kacrice-mechanism"/>
    <w:p>
      <w:pPr>
        <w:pStyle w:val="Heading1"/>
        <w:keepNext/>
      </w:pPr>
      <w:r>
        <w:t xml:space="preserve">4. Exact local Kac–Rice mechanism</w:t>
      </w:r>
    </w:p>
    <w:bookmarkStart w:id="34" w:name="corrected-pins"/>
    <w:p>
      <w:pPr>
        <w:pStyle w:val="Heading2"/>
        <w:keepNext/>
      </w:pPr>
      <w:r>
        <w:t xml:space="preserve">4.1 Corrected pins</w:t>
      </w:r>
    </w:p>
    <w:p>
      <w:pPr>
        <w:pStyle w:val="FirstParagraph"/>
      </w:pPr>
      <w:r>
        <w:t xml:space="preserve">Impose</w:t>
      </w:r>
    </w:p>
    <w:p>
      <w:pPr>
        <w:pStyle w:val="BodyText"/>
      </w:pPr>
      <m:oMathPara>
        <m:oMathParaPr>
          <m:jc m:val="center"/>
        </m:oMathParaPr>
        <m:oMath>
          <m:r>
            <m:t>f</m:t>
          </m:r>
          <m:d>
            <m:dPr>
              <m:begChr m:val="("/>
              <m:endChr m:val=")"/>
              <m:sepChr m:val=""/>
              <m:grow/>
            </m:dPr>
            <m:e>
              <m:r>
                <m:t>M</m:t>
              </m:r>
            </m:e>
          </m:d>
          <m:r>
            <m:rPr>
              <m:sty m:val="p"/>
            </m:rPr>
            <m:t>=</m:t>
          </m:r>
          <m:r>
            <m:t>b</m:t>
          </m:r>
          <m:r>
            <m:rPr>
              <m:sty m:val="p"/>
            </m:rPr>
            <m:t>,</m:t>
          </m:r>
          <m:r>
            <m:t>  </m:t>
          </m:r>
          <m:r>
            <m:t>f</m:t>
          </m:r>
          <m:d>
            <m:dPr>
              <m:begChr m:val="("/>
              <m:endChr m:val=")"/>
              <m:sepChr m:val=""/>
              <m:grow/>
            </m:dPr>
            <m:e>
              <m:r>
                <m:t>S</m:t>
              </m:r>
            </m:e>
          </m:d>
          <m:r>
            <m:rPr>
              <m:sty m:val="p"/>
            </m:rPr>
            <m:t>=</m:t>
          </m:r>
          <m:r>
            <m:t>b</m:t>
          </m:r>
          <m:r>
            <m:rPr>
              <m:sty m:val="p"/>
            </m:rPr>
            <m:t>−</m:t>
          </m:r>
          <m:f>
            <m:fPr>
              <m:type m:val="bar"/>
            </m:fPr>
            <m:num>
              <m:r>
                <m:t>κ</m:t>
              </m:r>
              <m:sSup>
                <m:e>
                  <m:r>
                    <m:t>r</m:t>
                  </m:r>
                </m:e>
                <m:sup>
                  <m:r>
                    <m:t>3</m:t>
                  </m:r>
                </m:sup>
              </m:sSup>
            </m:num>
            <m:den>
              <m:r>
                <m:t>6</m:t>
              </m:r>
            </m:den>
          </m:f>
          <m:r>
            <m:rPr>
              <m:sty m:val="p"/>
            </m:rPr>
            <m:t>,</m:t>
          </m:r>
          <m:r>
            <m:t>  </m:t>
          </m:r>
          <m:r>
            <m:rPr>
              <m:sty m:val="p"/>
            </m:rPr>
            <m:t>∇</m:t>
          </m:r>
          <m:r>
            <m:t>f</m:t>
          </m:r>
          <m:d>
            <m:dPr>
              <m:begChr m:val="("/>
              <m:endChr m:val=")"/>
              <m:sepChr m:val=""/>
              <m:grow/>
            </m:dPr>
            <m:e>
              <m:r>
                <m:t>M</m:t>
              </m:r>
            </m:e>
          </m:d>
          <m:r>
            <m:rPr>
              <m:sty m:val="p"/>
            </m:rPr>
            <m:t>=</m:t>
          </m:r>
          <m:r>
            <m:rPr>
              <m:sty m:val="p"/>
            </m:rPr>
            <m:t>∇</m:t>
          </m:r>
          <m:r>
            <m:t>f</m:t>
          </m:r>
          <m:d>
            <m:dPr>
              <m:begChr m:val="("/>
              <m:endChr m:val=")"/>
              <m:sepChr m:val=""/>
              <m:grow/>
            </m:dPr>
            <m:e>
              <m:r>
                <m:t>S</m:t>
              </m:r>
            </m:e>
          </m:d>
          <m:r>
            <m:rPr>
              <m:sty m:val="p"/>
            </m:rPr>
            <m:t>=</m:t>
          </m:r>
          <m:r>
            <m:t>0</m:t>
          </m:r>
          <m:r>
            <m:rPr>
              <m:sty m:val="p"/>
            </m:rPr>
            <m:t>,</m:t>
          </m:r>
          <m:r>
            <m:t>  </m:t>
          </m:r>
          <m:r>
            <m:t>κ</m:t>
          </m:r>
          <m:r>
            <m:rPr>
              <m:sty m:val="p"/>
            </m:rPr>
            <m:t>&gt;</m:t>
          </m:r>
          <m:r>
            <m:t>0</m:t>
          </m:r>
          <m:r>
            <m:rPr>
              <m:sty m:val="p"/>
            </m:rPr>
            <m:t>.</m:t>
          </m:r>
        </m:oMath>
      </m:oMathPara>
    </w:p>
    <w:p>
      <w:pPr>
        <w:pStyle w:val="FirstParagraph"/>
      </w:pPr>
      <w:r>
        <w:t xml:space="preserve">The corrected divided-difference coordinates are</w:t>
      </w:r>
    </w:p>
    <w:p>
      <w:pPr>
        <w:pStyle w:val="BodyText"/>
      </w:pPr>
      <m:oMathPara>
        <m:oMathParaPr>
          <m:jc m:val="center"/>
        </m:oMathParaPr>
        <m:oMath>
          <m:sSup>
            <m:e>
              <m:r>
                <m:t>V</m:t>
              </m:r>
            </m:e>
            <m:sup>
              <m:r>
                <m:rPr>
                  <m:sty m:val="p"/>
                </m:rPr>
                <m:t>+</m:t>
              </m:r>
            </m:sup>
          </m:sSup>
          <m:r>
            <m:rPr>
              <m:sty m:val="p"/>
            </m:rPr>
            <m:t>=</m:t>
          </m:r>
          <m:f>
            <m:fPr>
              <m:type m:val="bar"/>
            </m:fPr>
            <m:num>
              <m:r>
                <m:t>f</m:t>
              </m:r>
              <m:d>
                <m:dPr>
                  <m:begChr m:val="("/>
                  <m:endChr m:val=")"/>
                  <m:sepChr m:val=""/>
                  <m:grow/>
                </m:dPr>
                <m:e>
                  <m:r>
                    <m:t>S</m:t>
                  </m:r>
                </m:e>
              </m:d>
              <m:r>
                <m:rPr>
                  <m:sty m:val="p"/>
                </m:rPr>
                <m:t>+</m:t>
              </m:r>
              <m:r>
                <m:t>f</m:t>
              </m:r>
              <m:d>
                <m:dPr>
                  <m:begChr m:val="("/>
                  <m:endChr m:val=")"/>
                  <m:sepChr m:val=""/>
                  <m:grow/>
                </m:dPr>
                <m:e>
                  <m:r>
                    <m:t>M</m:t>
                  </m:r>
                </m:e>
              </m:d>
            </m:num>
            <m:den>
              <m:r>
                <m:t>2</m:t>
              </m:r>
            </m:den>
          </m:f>
          <m:r>
            <m:rPr>
              <m:sty m:val="p"/>
            </m:rPr>
            <m:t>,</m:t>
          </m:r>
        </m:oMath>
      </m:oMathPara>
    </w:p>
    <w:p>
      <w:pPr>
        <w:pStyle w:val="FirstParagraph"/>
      </w:pPr>
      <m:oMathPara>
        <m:oMathParaPr>
          <m:jc m:val="center"/>
        </m:oMathParaPr>
        <m:oMath>
          <m:sSubSup>
            <m:e>
              <m:r>
                <m:t>V</m:t>
              </m:r>
            </m:e>
            <m:sub>
              <m:r>
                <m:rPr>
                  <m:sty m:val="p"/>
                </m:rPr>
                <m:t>c</m:t>
              </m:r>
              <m:r>
                <m:rPr>
                  <m:sty m:val="p"/>
                </m:rPr>
                <m:t>o</m:t>
              </m:r>
              <m:r>
                <m:rPr>
                  <m:sty m:val="p"/>
                </m:rPr>
                <m:t>r</m:t>
              </m:r>
              <m:r>
                <m:rPr>
                  <m:sty m:val="p"/>
                </m:rPr>
                <m:t>r</m:t>
              </m:r>
            </m:sub>
            <m:sup>
              <m:r>
                <m:rPr>
                  <m:sty m:val="p"/>
                </m:rPr>
                <m:t>−</m:t>
              </m:r>
            </m:sup>
          </m:sSubSup>
          <m:r>
            <m:rPr>
              <m:sty m:val="p"/>
            </m:rPr>
            <m:t>=</m:t>
          </m:r>
          <m:f>
            <m:fPr>
              <m:type m:val="bar"/>
            </m:fPr>
            <m:num>
              <m:r>
                <m:t>f</m:t>
              </m:r>
              <m:d>
                <m:dPr>
                  <m:begChr m:val="("/>
                  <m:endChr m:val=")"/>
                  <m:sepChr m:val=""/>
                  <m:grow/>
                </m:dPr>
                <m:e>
                  <m:r>
                    <m:t>S</m:t>
                  </m:r>
                </m:e>
              </m:d>
              <m:r>
                <m:rPr>
                  <m:sty m:val="p"/>
                </m:rPr>
                <m:t>−</m:t>
              </m:r>
              <m:r>
                <m:t>f</m:t>
              </m:r>
              <m:d>
                <m:dPr>
                  <m:begChr m:val="("/>
                  <m:endChr m:val=")"/>
                  <m:sepChr m:val=""/>
                  <m:grow/>
                </m:dPr>
                <m:e>
                  <m:r>
                    <m:t>M</m:t>
                  </m:r>
                </m:e>
              </m:d>
              <m:r>
                <m:rPr>
                  <m:sty m:val="p"/>
                </m:rPr>
                <m:t>−</m:t>
              </m:r>
              <m:f>
                <m:fPr>
                  <m:type m:val="bar"/>
                </m:fPr>
                <m:num>
                  <m:r>
                    <m:t>r</m:t>
                  </m:r>
                </m:num>
                <m:den>
                  <m:r>
                    <m:t>2</m:t>
                  </m:r>
                </m:den>
              </m:f>
              <m:d>
                <m:dPr>
                  <m:begChr m:val="("/>
                  <m:endChr m:val=")"/>
                  <m:sepChr m:val=""/>
                  <m:grow/>
                </m:dPr>
                <m:e>
                  <m:sSub>
                    <m:e>
                      <m:r>
                        <m:rPr>
                          <m:sty m:val="p"/>
                        </m:rPr>
                        <m:t>∂</m:t>
                      </m:r>
                    </m:e>
                    <m:sub>
                      <m:r>
                        <m:t>t</m:t>
                      </m:r>
                    </m:sub>
                  </m:sSub>
                  <m:r>
                    <m:t>f</m:t>
                  </m:r>
                  <m:d>
                    <m:dPr>
                      <m:begChr m:val="("/>
                      <m:endChr m:val=")"/>
                      <m:sepChr m:val=""/>
                      <m:grow/>
                    </m:dPr>
                    <m:e>
                      <m:r>
                        <m:t>S</m:t>
                      </m:r>
                    </m:e>
                  </m:d>
                  <m:r>
                    <m:rPr>
                      <m:sty m:val="p"/>
                    </m:rPr>
                    <m:t>+</m:t>
                  </m:r>
                  <m:sSub>
                    <m:e>
                      <m:r>
                        <m:rPr>
                          <m:sty m:val="p"/>
                        </m:rPr>
                        <m:t>∂</m:t>
                      </m:r>
                    </m:e>
                    <m:sub>
                      <m:r>
                        <m:t>t</m:t>
                      </m:r>
                    </m:sub>
                  </m:sSub>
                  <m:r>
                    <m:t>f</m:t>
                  </m:r>
                  <m:d>
                    <m:dPr>
                      <m:begChr m:val="("/>
                      <m:endChr m:val=")"/>
                      <m:sepChr m:val=""/>
                      <m:grow/>
                    </m:dPr>
                    <m:e>
                      <m:r>
                        <m:t>M</m:t>
                      </m:r>
                    </m:e>
                  </m:d>
                </m:e>
              </m:d>
            </m:num>
            <m:den>
              <m:sSup>
                <m:e>
                  <m:r>
                    <m:t>r</m:t>
                  </m:r>
                </m:e>
                <m:sup>
                  <m:r>
                    <m:t>3</m:t>
                  </m:r>
                </m:sup>
              </m:sSup>
            </m:den>
          </m:f>
          <m:r>
            <m:rPr>
              <m:sty m:val="p"/>
            </m:rPr>
            <m:t>,</m:t>
          </m:r>
        </m:oMath>
      </m:oMathPara>
    </w:p>
    <w:p>
      <w:pPr>
        <w:pStyle w:val="FirstParagraph"/>
      </w:pPr>
      <w:r>
        <w:t xml:space="preserve">and, for</w:t>
      </w:r>
      <w:r>
        <w:t xml:space="preserve"> </w:t>
      </w:r>
      <m:oMath>
        <m:r>
          <m:t>e</m:t>
        </m:r>
        <m:r>
          <m:rPr>
            <m:sty m:val="p"/>
          </m:rPr>
          <m:t>∈</m:t>
        </m:r>
        <m:r>
          <m:rPr>
            <m:sty m:val="p"/>
          </m:rPr>
          <m:t>{</m:t>
        </m:r>
        <m:r>
          <m:t>t</m:t>
        </m:r>
        <m:r>
          <m:rPr>
            <m:sty m:val="p"/>
          </m:rPr>
          <m:t>,</m:t>
        </m:r>
        <m:sSub>
          <m:e>
            <m:r>
              <m:t>n</m:t>
            </m:r>
          </m:e>
          <m:sub>
            <m:r>
              <m:t>1</m:t>
            </m:r>
          </m:sub>
        </m:sSub>
        <m:r>
          <m:rPr>
            <m:sty m:val="p"/>
          </m:rPr>
          <m:t>,</m:t>
        </m:r>
        <m:sSub>
          <m:e>
            <m:r>
              <m:t>n</m:t>
            </m:r>
          </m:e>
          <m:sub>
            <m:r>
              <m:t>2</m:t>
            </m:r>
          </m:sub>
        </m:sSub>
        <m:r>
          <m:rPr>
            <m:sty m:val="p"/>
          </m:rPr>
          <m:t>}</m:t>
        </m:r>
      </m:oMath>
      <w:r>
        <w:t xml:space="preserve">,</w:t>
      </w:r>
    </w:p>
    <w:p>
      <w:pPr>
        <w:pStyle w:val="BodyText"/>
      </w:pPr>
      <m:oMathPara>
        <m:oMathParaPr>
          <m:jc m:val="center"/>
        </m:oMathParaPr>
        <m:oMath>
          <m:sSubSup>
            <m:e>
              <m:r>
                <m:t>G</m:t>
              </m:r>
            </m:e>
            <m:sub>
              <m:r>
                <m:t>e</m:t>
              </m:r>
            </m:sub>
            <m:sup>
              <m:r>
                <m:rPr>
                  <m:sty m:val="p"/>
                </m:rPr>
                <m:t>+</m:t>
              </m:r>
            </m:sup>
          </m:sSubSup>
          <m:r>
            <m:rPr>
              <m:sty m:val="p"/>
            </m:rPr>
            <m:t>=</m:t>
          </m:r>
          <m:f>
            <m:fPr>
              <m:type m:val="bar"/>
            </m:fPr>
            <m:num>
              <m:sSub>
                <m:e>
                  <m:r>
                    <m:rPr>
                      <m:sty m:val="p"/>
                    </m:rPr>
                    <m:t>∂</m:t>
                  </m:r>
                </m:e>
                <m:sub>
                  <m:r>
                    <m:t>e</m:t>
                  </m:r>
                </m:sub>
              </m:sSub>
              <m:r>
                <m:t>f</m:t>
              </m:r>
              <m:d>
                <m:dPr>
                  <m:begChr m:val="("/>
                  <m:endChr m:val=")"/>
                  <m:sepChr m:val=""/>
                  <m:grow/>
                </m:dPr>
                <m:e>
                  <m:r>
                    <m:t>S</m:t>
                  </m:r>
                </m:e>
              </m:d>
              <m:r>
                <m:rPr>
                  <m:sty m:val="p"/>
                </m:rPr>
                <m:t>+</m:t>
              </m:r>
              <m:sSub>
                <m:e>
                  <m:r>
                    <m:rPr>
                      <m:sty m:val="p"/>
                    </m:rPr>
                    <m:t>∂</m:t>
                  </m:r>
                </m:e>
                <m:sub>
                  <m:r>
                    <m:t>e</m:t>
                  </m:r>
                </m:sub>
              </m:sSub>
              <m:r>
                <m:t>f</m:t>
              </m:r>
              <m:d>
                <m:dPr>
                  <m:begChr m:val="("/>
                  <m:endChr m:val=")"/>
                  <m:sepChr m:val=""/>
                  <m:grow/>
                </m:dPr>
                <m:e>
                  <m:r>
                    <m:t>M</m:t>
                  </m:r>
                </m:e>
              </m:d>
            </m:num>
            <m:den>
              <m:r>
                <m:t>2</m:t>
              </m:r>
            </m:den>
          </m:f>
          <m:r>
            <m:rPr>
              <m:sty m:val="p"/>
            </m:rPr>
            <m:t>,</m:t>
          </m:r>
          <m:r>
            <m:t>  </m:t>
          </m:r>
          <m:sSubSup>
            <m:e>
              <m:r>
                <m:t>G</m:t>
              </m:r>
            </m:e>
            <m:sub>
              <m:r>
                <m:t>e</m:t>
              </m:r>
            </m:sub>
            <m:sup>
              <m:r>
                <m:rPr>
                  <m:sty m:val="p"/>
                </m:rPr>
                <m:t>−</m:t>
              </m:r>
            </m:sup>
          </m:sSubSup>
          <m:r>
            <m:rPr>
              <m:sty m:val="p"/>
            </m:rPr>
            <m:t>=</m:t>
          </m:r>
          <m:f>
            <m:fPr>
              <m:type m:val="bar"/>
            </m:fPr>
            <m:num>
              <m:sSub>
                <m:e>
                  <m:r>
                    <m:rPr>
                      <m:sty m:val="p"/>
                    </m:rPr>
                    <m:t>∂</m:t>
                  </m:r>
                </m:e>
                <m:sub>
                  <m:r>
                    <m:t>e</m:t>
                  </m:r>
                </m:sub>
              </m:sSub>
              <m:r>
                <m:t>f</m:t>
              </m:r>
              <m:d>
                <m:dPr>
                  <m:begChr m:val="("/>
                  <m:endChr m:val=")"/>
                  <m:sepChr m:val=""/>
                  <m:grow/>
                </m:dPr>
                <m:e>
                  <m:r>
                    <m:t>S</m:t>
                  </m:r>
                </m:e>
              </m:d>
              <m:r>
                <m:rPr>
                  <m:sty m:val="p"/>
                </m:rPr>
                <m:t>−</m:t>
              </m:r>
              <m:sSub>
                <m:e>
                  <m:r>
                    <m:rPr>
                      <m:sty m:val="p"/>
                    </m:rPr>
                    <m:t>∂</m:t>
                  </m:r>
                </m:e>
                <m:sub>
                  <m:r>
                    <m:t>e</m:t>
                  </m:r>
                </m:sub>
              </m:sSub>
              <m:r>
                <m:t>f</m:t>
              </m:r>
              <m:d>
                <m:dPr>
                  <m:begChr m:val="("/>
                  <m:endChr m:val=")"/>
                  <m:sepChr m:val=""/>
                  <m:grow/>
                </m:dPr>
                <m:e>
                  <m:r>
                    <m:t>M</m:t>
                  </m:r>
                </m:e>
              </m:d>
            </m:num>
            <m:den>
              <m:r>
                <m:t>r</m:t>
              </m:r>
            </m:den>
          </m:f>
          <m:r>
            <m:rPr>
              <m:sty m:val="p"/>
            </m:rPr>
            <m:t>.</m:t>
          </m:r>
        </m:oMath>
      </m:oMathPara>
    </w:p>
    <w:p>
      <w:pPr>
        <w:pStyle w:val="FirstParagraph"/>
      </w:pPr>
      <w:r>
        <w:t xml:space="preserve">The raw-to-corrected linear determinant is</w:t>
      </w:r>
      <w:r>
        <w:t xml:space="preserve"> </w:t>
      </w:r>
      <m:oMath>
        <m:sSup>
          <m:e>
            <m:r>
              <m:t>r</m:t>
            </m:r>
          </m:e>
          <m:sup>
            <m:r>
              <m:rPr>
                <m:sty m:val="p"/>
              </m:rPr>
              <m:t>−</m:t>
            </m:r>
            <m:r>
              <m:t>6</m:t>
            </m:r>
          </m:sup>
        </m:sSup>
      </m:oMath>
      <w:r>
        <w:t xml:space="preserve">. The tangential-gradient correction in (4.3) is off the determinant diagonal and should not create another factor.</w:t>
      </w:r>
    </w:p>
    <w:bookmarkEnd w:id="34"/>
    <w:bookmarkStart w:id="35" w:name="endpoint-determinants"/>
    <w:p>
      <w:pPr>
        <w:pStyle w:val="Heading2"/>
        <w:keepNext/>
      </w:pPr>
      <w:r>
        <w:t xml:space="preserve">4.2 Endpoint determinants</w:t>
      </w:r>
    </w:p>
    <w:p>
      <w:pPr>
        <w:pStyle w:val="FirstParagraph"/>
      </w:pPr>
      <w:r>
        <w:t xml:space="preserve">Conditionally on the pins, one axial eigenvalue at each endpoint is soft. The determinant factorization has the form</w:t>
      </w:r>
    </w:p>
    <w:p>
      <w:pPr>
        <w:pStyle w:val="BodyText"/>
      </w:pPr>
      <m:oMathPara>
        <m:oMathParaPr>
          <m:jc m:val="center"/>
        </m:oMathParaPr>
        <m:oMath>
          <m:r>
            <m:rPr>
              <m:sty m:val="p"/>
            </m:rPr>
            <m:t>det</m:t>
          </m:r>
          <m:sSub>
            <m:e>
              <m:r>
                <m:t>H</m:t>
              </m:r>
            </m:e>
            <m:sub>
              <m:r>
                <m:t>M</m:t>
              </m:r>
            </m:sub>
          </m:sSub>
          <m:r>
            <m:rPr>
              <m:sty m:val="p"/>
            </m:rPr>
            <m:t>=</m:t>
          </m:r>
          <m:r>
            <m:t>r</m:t>
          </m:r>
          <m:sSub>
            <m:e>
              <m:r>
                <m:t>D</m:t>
              </m:r>
            </m:e>
            <m:sub>
              <m:r>
                <m:t>M</m:t>
              </m:r>
            </m:sub>
          </m:sSub>
          <m:r>
            <m:rPr>
              <m:sty m:val="p"/>
            </m:rPr>
            <m:t>,</m:t>
          </m:r>
          <m:r>
            <m:t>  </m:t>
          </m:r>
          <m:r>
            <m:rPr>
              <m:sty m:val="p"/>
            </m:rPr>
            <m:t>det</m:t>
          </m:r>
          <m:sSub>
            <m:e>
              <m:r>
                <m:t>H</m:t>
              </m:r>
            </m:e>
            <m:sub>
              <m:r>
                <m:t>S</m:t>
              </m:r>
            </m:sub>
          </m:sSub>
          <m:r>
            <m:rPr>
              <m:sty m:val="p"/>
            </m:rPr>
            <m:t>=</m:t>
          </m:r>
          <m:r>
            <m:t>r</m:t>
          </m:r>
          <m:sSub>
            <m:e>
              <m:r>
                <m:t>D</m:t>
              </m:r>
            </m:e>
            <m:sub>
              <m:r>
                <m:t>S</m:t>
              </m:r>
            </m:sub>
          </m:sSub>
          <m:r>
            <m:rPr>
              <m:sty m:val="p"/>
            </m:rPr>
            <m:t>,</m:t>
          </m:r>
        </m:oMath>
      </m:oMathPara>
    </w:p>
    <w:p>
      <w:pPr>
        <w:pStyle w:val="FirstParagraph"/>
      </w:pPr>
      <w:r>
        <w:t xml:space="preserve">with bounded conditional Gaussian moments on the good contact region. The product contributes</w:t>
      </w:r>
      <w:r>
        <w:t xml:space="preserve"> </w:t>
      </w:r>
      <m:oMath>
        <m:sSup>
          <m:e>
            <m:r>
              <m:t>r</m:t>
            </m:r>
          </m:e>
          <m:sup>
            <m:r>
              <m:t>2</m:t>
            </m:r>
          </m:sup>
        </m:sSup>
      </m:oMath>
      <w:r>
        <w:t xml:space="preserve">.</w:t>
      </w:r>
    </w:p>
    <w:bookmarkEnd w:id="35"/>
    <w:bookmarkStart w:id="36" w:name="exact-radial-ledger"/>
    <w:p>
      <w:pPr>
        <w:pStyle w:val="Heading2"/>
        <w:keepNext/>
      </w:pPr>
      <w:r>
        <w:t xml:space="preserve">4.3 Exact radial ledger</w:t>
      </w:r>
    </w:p>
    <w:p>
      <w:pPr>
        <w:pStyle w:val="FirstParagraph"/>
      </w:pPr>
      <w:r>
        <w:t xml:space="preserve">Multiplying the gap Jacobian, pin density, endpoint weights, and pair measure gives</w:t>
      </w:r>
    </w:p>
    <w:p>
      <w:pPr>
        <w:pStyle w:val="BodyText"/>
      </w:pPr>
      <m:oMathPara>
        <m:oMathParaPr>
          <m:jc m:val="center"/>
        </m:oMathParaPr>
        <m:oMath>
          <m:f>
            <m:fPr>
              <m:type m:val="bar"/>
            </m:fPr>
            <m:num>
              <m:sSup>
                <m:e>
                  <m:r>
                    <m:t>r</m:t>
                  </m:r>
                </m:e>
                <m:sup>
                  <m:r>
                    <m:t>3</m:t>
                  </m:r>
                </m:sup>
              </m:sSup>
            </m:num>
            <m:den>
              <m:r>
                <m:t>6</m:t>
              </m:r>
            </m:den>
          </m:f>
          <m:r>
            <m:t> </m:t>
          </m:r>
          <m:sSup>
            <m:e>
              <m:r>
                <m:t>r</m:t>
              </m:r>
            </m:e>
            <m:sup>
              <m:r>
                <m:rPr>
                  <m:sty m:val="p"/>
                </m:rPr>
                <m:t>−</m:t>
              </m:r>
              <m:r>
                <m:t>6</m:t>
              </m:r>
            </m:sup>
          </m:sSup>
          <m:r>
            <m:t> </m:t>
          </m:r>
          <m:sSup>
            <m:e>
              <m:r>
                <m:t>r</m:t>
              </m:r>
            </m:e>
            <m:sup>
              <m:r>
                <m:t>2</m:t>
              </m:r>
            </m:sup>
          </m:sSup>
          <m:r>
            <m:t> </m:t>
          </m:r>
          <m:sSup>
            <m:e>
              <m:r>
                <m:t>r</m:t>
              </m:r>
            </m:e>
            <m:sup>
              <m:r>
                <m:t>2</m:t>
              </m:r>
            </m:sup>
          </m:sSup>
          <m:r>
            <m:t>d</m:t>
          </m:r>
          <m:r>
            <m:t>r</m:t>
          </m:r>
          <m:r>
            <m:rPr>
              <m:sty m:val="p"/>
            </m:rPr>
            <m:t>=</m:t>
          </m:r>
          <m:f>
            <m:fPr>
              <m:type m:val="bar"/>
            </m:fPr>
            <m:num>
              <m:r>
                <m:t>1</m:t>
              </m:r>
            </m:num>
            <m:den>
              <m:r>
                <m:t>6</m:t>
              </m:r>
            </m:den>
          </m:f>
          <m:r>
            <m:t>r</m:t>
          </m:r>
          <m:r>
            <m:t> </m:t>
          </m:r>
          <m:r>
            <m:t>d</m:t>
          </m:r>
          <m:r>
            <m:t>r</m:t>
          </m:r>
          <m:r>
            <m:rPr>
              <m:sty m:val="p"/>
            </m:rPr>
            <m:t>.</m:t>
          </m:r>
        </m:oMath>
      </m:oMathPara>
    </w:p>
    <w:p>
      <w:pPr>
        <w:pStyle w:val="FirstParagraph"/>
      </w:pPr>
      <w:r>
        <w:t xml:space="preserve">At fixed</w:t>
      </w:r>
      <w:r>
        <w:t xml:space="preserve"> </w:t>
      </w:r>
      <m:oMath>
        <m:r>
          <m:t>κ</m:t>
        </m:r>
      </m:oMath>
      <w:r>
        <w:t xml:space="preserve">, the relation</w:t>
      </w:r>
      <w:r>
        <w:t xml:space="preserve"> </w:t>
      </w:r>
      <m:oMath>
        <m:r>
          <m:rPr>
            <m:sty m:val="p"/>
          </m:rPr>
          <m:t>ℓ</m:t>
        </m:r>
        <m:r>
          <m:rPr>
            <m:sty m:val="p"/>
          </m:rPr>
          <m:t>=</m:t>
        </m:r>
        <m:r>
          <m:t>κ</m:t>
        </m:r>
        <m:sSup>
          <m:e>
            <m:r>
              <m:t>r</m:t>
            </m:r>
          </m:e>
          <m:sup>
            <m:r>
              <m:t>3</m:t>
            </m:r>
          </m:sup>
        </m:sSup>
        <m:r>
          <m:rPr>
            <m:sty m:val="p"/>
          </m:rPr>
          <m:t>/</m:t>
        </m:r>
        <m:r>
          <m:t>6</m:t>
        </m:r>
      </m:oMath>
      <w:r>
        <w:t xml:space="preserve"> </w:t>
      </w:r>
      <w:r>
        <w:t xml:space="preserve">gives</w:t>
      </w:r>
    </w:p>
    <w:p>
      <w:pPr>
        <w:pStyle w:val="BodyText"/>
      </w:pPr>
      <m:oMathPara>
        <m:oMathParaPr>
          <m:jc m:val="center"/>
        </m:oMathParaPr>
        <m:oMath>
          <m:r>
            <m:t>r</m:t>
          </m:r>
          <m:r>
            <m:t> </m:t>
          </m:r>
          <m:r>
            <m:t>d</m:t>
          </m:r>
          <m:r>
            <m:t>r</m:t>
          </m:r>
          <m:r>
            <m:rPr>
              <m:sty m:val="p"/>
            </m:rPr>
            <m:t>=</m:t>
          </m:r>
          <m:f>
            <m:fPr>
              <m:type m:val="bar"/>
            </m:fPr>
            <m:num>
              <m:sSup>
                <m:e>
                  <m:r>
                    <m:t>6</m:t>
                  </m:r>
                </m:e>
                <m:sup>
                  <m:r>
                    <m:t>2</m:t>
                  </m:r>
                  <m:r>
                    <m:rPr>
                      <m:sty m:val="p"/>
                    </m:rPr>
                    <m:t>/</m:t>
                  </m:r>
                  <m:r>
                    <m:t>3</m:t>
                  </m:r>
                </m:sup>
              </m:sSup>
            </m:num>
            <m:den>
              <m:r>
                <m:t>3</m:t>
              </m:r>
            </m:den>
          </m:f>
          <m:sSup>
            <m:e>
              <m:r>
                <m:t>κ</m:t>
              </m:r>
            </m:e>
            <m:sup>
              <m:r>
                <m:rPr>
                  <m:sty m:val="p"/>
                </m:rPr>
                <m:t>−</m:t>
              </m:r>
              <m:r>
                <m:t>2</m:t>
              </m:r>
              <m:r>
                <m:rPr>
                  <m:sty m:val="p"/>
                </m:rPr>
                <m:t>/</m:t>
              </m:r>
              <m:r>
                <m:t>3</m:t>
              </m:r>
            </m:sup>
          </m:sSup>
          <m:sSup>
            <m:e>
              <m:r>
                <m:rPr>
                  <m:sty m:val="p"/>
                </m:rPr>
                <m:t>ℓ</m:t>
              </m:r>
            </m:e>
            <m:sup>
              <m:r>
                <m:rPr>
                  <m:sty m:val="p"/>
                </m:rPr>
                <m:t>−</m:t>
              </m:r>
              <m:r>
                <m:t>1</m:t>
              </m:r>
              <m:r>
                <m:rPr>
                  <m:sty m:val="p"/>
                </m:rPr>
                <m:t>/</m:t>
              </m:r>
              <m:r>
                <m:t>3</m:t>
              </m:r>
            </m:sup>
          </m:sSup>
          <m:r>
            <m:t>d</m:t>
          </m:r>
          <m:r>
            <m:rPr>
              <m:sty m:val="p"/>
            </m:rPr>
            <m:t>ℓ</m:t>
          </m:r>
          <m:r>
            <m:rPr>
              <m:sty m:val="p"/>
            </m:rPr>
            <m:t>.</m:t>
          </m:r>
        </m:oMath>
      </m:oMathPara>
    </w:p>
    <w:p>
      <w:pPr>
        <w:pStyle w:val="FirstParagraph"/>
      </w:pPr>
      <w:r>
        <w:t xml:space="preserve">The combined Kac–Rice/lifetime scalar before the limiting Gaussian integrals is therefore</w:t>
      </w:r>
      <w:r>
        <w:t xml:space="preserve"> </w:t>
      </w:r>
      <m:oMath>
        <m:sSup>
          <m:e>
            <m:r>
              <m:t>6</m:t>
            </m:r>
          </m:e>
          <m:sup>
            <m:r>
              <m:t>2</m:t>
            </m:r>
            <m:r>
              <m:rPr>
                <m:sty m:val="p"/>
              </m:rPr>
              <m:t>/</m:t>
            </m:r>
            <m:r>
              <m:t>3</m:t>
            </m:r>
          </m:sup>
        </m:sSup>
        <m:r>
          <m:rPr>
            <m:sty m:val="p"/>
          </m:rPr>
          <m:t>/</m:t>
        </m:r>
        <m:r>
          <m:t>18</m:t>
        </m:r>
      </m:oMath>
      <w:r>
        <w:t xml:space="preserve">.</w:t>
      </w:r>
    </w:p>
    <w:bookmarkEnd w:id="36"/>
    <w:bookmarkEnd w:id="37"/>
    <w:bookmarkStart w:id="38" w:name="X3fba357230369291357f759bda31c8e5fe284a9"/>
    <w:p>
      <w:pPr>
        <w:pStyle w:val="Heading1"/>
        <w:keepNext/>
      </w:pPr>
      <w:r>
        <w:t xml:space="preserve">5. Exact near-density pushforward inserted in the revision</w:t>
      </w:r>
    </w:p>
    <w:p>
      <w:pPr>
        <w:pStyle w:val="FirstParagraph"/>
      </w:pPr>
      <w:r>
        <w:t xml:space="preserve">The following formula is now Lemma 3.3 of the revised manuscript. It is included here so a reviewer can audit the factors independently.</w:t>
      </w:r>
    </w:p>
    <w:p>
      <w:pPr>
        <w:pStyle w:val="BodyText"/>
      </w:pPr>
      <w:r>
        <w:t xml:space="preserve">Fix</w:t>
      </w:r>
      <w:r>
        <w:t xml:space="preserve"> </w:t>
      </w:r>
      <m:oMath>
        <m:r>
          <m:t>0</m:t>
        </m:r>
        <m:r>
          <m:rPr>
            <m:sty m:val="p"/>
          </m:rPr>
          <m:t>&lt;</m:t>
        </m:r>
        <m:r>
          <m:t>ρ</m:t>
        </m:r>
        <m:r>
          <m:rPr>
            <m:sty m:val="p"/>
          </m:rPr>
          <m:t>&lt;</m:t>
        </m:r>
        <m:r>
          <m:t>12</m:t>
        </m:r>
      </m:oMath>
      <w:r>
        <w:t xml:space="preserve">. Let</w:t>
      </w:r>
    </w:p>
    <w:p>
      <w:pPr>
        <w:pStyle w:val="BodyText"/>
      </w:pPr>
      <m:oMathPara>
        <m:oMathParaPr>
          <m:jc m:val="center"/>
        </m:oMathParaPr>
        <m:oMath>
          <m:sSub>
            <m:e>
              <m:r>
                <m:t>Π</m:t>
              </m:r>
            </m:e>
            <m:sub>
              <m:r>
                <m:t>r</m:t>
              </m:r>
              <m:r>
                <m:rPr>
                  <m:sty m:val="p"/>
                </m:rPr>
                <m:t>,</m:t>
              </m:r>
              <m:r>
                <m:t>x</m:t>
              </m:r>
              <m:r>
                <m:rPr>
                  <m:sty m:val="p"/>
                </m:rPr>
                <m:t>,</m:t>
              </m:r>
              <m:r>
                <m:t>t</m:t>
              </m:r>
            </m:sub>
          </m:sSub>
          <m:r>
            <m:rPr>
              <m:sty m:val="p"/>
            </m:rPr>
            <m:t>=</m:t>
          </m:r>
          <m:d>
            <m:dPr>
              <m:begChr m:val="("/>
              <m:endChr m:val=")"/>
              <m:sepChr m:val=""/>
              <m:grow/>
            </m:dPr>
            <m:e>
              <m:r>
                <m:t>f</m:t>
              </m:r>
              <m:d>
                <m:dPr>
                  <m:begChr m:val="("/>
                  <m:endChr m:val=")"/>
                  <m:sepChr m:val=""/>
                  <m:grow/>
                </m:dPr>
                <m:e>
                  <m:r>
                    <m:t>M</m:t>
                  </m:r>
                </m:e>
              </m:d>
              <m:r>
                <m:rPr>
                  <m:sty m:val="p"/>
                </m:rPr>
                <m:t>,</m:t>
              </m:r>
              <m:r>
                <m:t>f</m:t>
              </m:r>
              <m:d>
                <m:dPr>
                  <m:begChr m:val="("/>
                  <m:endChr m:val=")"/>
                  <m:sepChr m:val=""/>
                  <m:grow/>
                </m:dPr>
                <m:e>
                  <m:r>
                    <m:t>S</m:t>
                  </m:r>
                </m:e>
              </m:d>
              <m:r>
                <m:rPr>
                  <m:sty m:val="p"/>
                </m:rPr>
                <m:t>,</m:t>
              </m:r>
              <m:r>
                <m:rPr>
                  <m:sty m:val="p"/>
                </m:rPr>
                <m:t>∇</m:t>
              </m:r>
              <m:r>
                <m:t>f</m:t>
              </m:r>
              <m:d>
                <m:dPr>
                  <m:begChr m:val="("/>
                  <m:endChr m:val=")"/>
                  <m:sepChr m:val=""/>
                  <m:grow/>
                </m:dPr>
                <m:e>
                  <m:r>
                    <m:t>M</m:t>
                  </m:r>
                </m:e>
              </m:d>
              <m:r>
                <m:rPr>
                  <m:sty m:val="p"/>
                </m:rPr>
                <m:t>,</m:t>
              </m:r>
              <m:r>
                <m:rPr>
                  <m:sty m:val="p"/>
                </m:rPr>
                <m:t>∇</m:t>
              </m:r>
              <m:r>
                <m:t>f</m:t>
              </m:r>
              <m:d>
                <m:dPr>
                  <m:begChr m:val="("/>
                  <m:endChr m:val=")"/>
                  <m:sepChr m:val=""/>
                  <m:grow/>
                </m:dPr>
                <m:e>
                  <m:r>
                    <m:t>S</m:t>
                  </m:r>
                </m:e>
              </m:d>
            </m:e>
          </m:d>
        </m:oMath>
      </m:oMathPara>
    </w:p>
    <w:p>
      <w:pPr>
        <w:pStyle w:val="FirstParagraph"/>
      </w:pPr>
      <w:r>
        <w:t xml:space="preserve">and</w:t>
      </w:r>
    </w:p>
    <w:p>
      <w:pPr>
        <w:pStyle w:val="BodyText"/>
      </w:pPr>
      <m:oMathPara>
        <m:oMathParaPr>
          <m:jc m:val="center"/>
        </m:oMathParaPr>
        <m:oMath>
          <m:sSub>
            <m:e>
              <m:r>
                <m:t>z</m:t>
              </m:r>
            </m:e>
            <m:sub>
              <m:r>
                <m:t>r</m:t>
              </m:r>
            </m:sub>
          </m:sSub>
          <m:d>
            <m:dPr>
              <m:begChr m:val="("/>
              <m:endChr m:val=")"/>
              <m:sepChr m:val=""/>
              <m:grow/>
            </m:dPr>
            <m:e>
              <m:r>
                <m:t>b</m:t>
              </m:r>
              <m:r>
                <m:rPr>
                  <m:sty m:val="p"/>
                </m:rPr>
                <m:t>,</m:t>
              </m:r>
              <m:r>
                <m:t>κ</m:t>
              </m:r>
            </m:e>
          </m:d>
          <m:r>
            <m:rPr>
              <m:sty m:val="p"/>
            </m:rPr>
            <m:t>=</m:t>
          </m:r>
          <m:d>
            <m:dPr>
              <m:begChr m:val="("/>
              <m:endChr m:val=")"/>
              <m:sepChr m:val=""/>
              <m:grow/>
            </m:dPr>
            <m:e>
              <m:r>
                <m:t>b</m:t>
              </m:r>
              <m:r>
                <m:rPr>
                  <m:sty m:val="p"/>
                </m:rPr>
                <m:t>,</m:t>
              </m:r>
              <m:r>
                <m:t>b</m:t>
              </m:r>
              <m:r>
                <m:rPr>
                  <m:sty m:val="p"/>
                </m:rPr>
                <m:t>−</m:t>
              </m:r>
              <m:f>
                <m:fPr>
                  <m:type m:val="bar"/>
                </m:fPr>
                <m:num>
                  <m:r>
                    <m:t>κ</m:t>
                  </m:r>
                  <m:sSup>
                    <m:e>
                      <m:r>
                        <m:t>r</m:t>
                      </m:r>
                    </m:e>
                    <m:sup>
                      <m:r>
                        <m:t>3</m:t>
                      </m:r>
                    </m:sup>
                  </m:sSup>
                </m:num>
                <m:den>
                  <m:r>
                    <m:t>6</m:t>
                  </m:r>
                </m:den>
              </m:f>
              <m:r>
                <m:rPr>
                  <m:sty m:val="p"/>
                </m:rPr>
                <m:t>,</m:t>
              </m:r>
              <m:r>
                <m:t>0</m:t>
              </m:r>
              <m:r>
                <m:rPr>
                  <m:sty m:val="p"/>
                </m:rPr>
                <m:t>,</m:t>
              </m:r>
              <m:r>
                <m:t>0</m:t>
              </m:r>
            </m:e>
          </m:d>
          <m:r>
            <m:rPr>
              <m:sty m:val="p"/>
            </m:rPr>
            <m:t>.</m:t>
          </m:r>
        </m:oMath>
      </m:oMathPara>
    </w:p>
    <w:p>
      <w:pPr>
        <w:pStyle w:val="FirstParagraph"/>
      </w:pPr>
      <w:r>
        <w:t xml:space="preserve">Define</w:t>
      </w:r>
    </w:p>
    <w:p>
      <w:pPr>
        <w:pStyle w:val="BodyText"/>
      </w:pPr>
      <m:oMathPara>
        <m:oMathParaPr>
          <m:jc m:val="center"/>
        </m:oMathParaPr>
        <m:oMath>
          <m:sSub>
            <m:e>
              <m:r>
                <m:t>W</m:t>
              </m:r>
            </m:e>
            <m:sub>
              <m:r>
                <m:t>r</m:t>
              </m:r>
            </m:sub>
          </m:sSub>
          <m:r>
            <m:rPr>
              <m:sty m:val="p"/>
            </m:rPr>
            <m:t>=</m:t>
          </m:r>
          <m:d>
            <m:dPr>
              <m:begChr m:val="|"/>
              <m:endChr m:val="|"/>
              <m:sepChr m:val=""/>
              <m:grow/>
            </m:dPr>
            <m:e>
              <m:r>
                <m:rPr>
                  <m:sty m:val="p"/>
                </m:rPr>
                <m:t>det</m:t>
              </m:r>
              <m:sSub>
                <m:e>
                  <m:r>
                    <m:t>H</m:t>
                  </m:r>
                </m:e>
                <m:sub>
                  <m:r>
                    <m:t>M</m:t>
                  </m:r>
                </m:sub>
              </m:sSub>
            </m:e>
          </m:d>
          <m:r>
            <m:t> </m:t>
          </m:r>
          <m:d>
            <m:dPr>
              <m:begChr m:val="|"/>
              <m:endChr m:val="|"/>
              <m:sepChr m:val=""/>
              <m:grow/>
            </m:dPr>
            <m:e>
              <m:r>
                <m:rPr>
                  <m:sty m:val="p"/>
                </m:rPr>
                <m:t>det</m:t>
              </m:r>
              <m:sSub>
                <m:e>
                  <m:r>
                    <m:t>H</m:t>
                  </m:r>
                </m:e>
                <m:sub>
                  <m:r>
                    <m:t>S</m:t>
                  </m:r>
                </m:sub>
              </m:sSub>
            </m:e>
          </m:d>
          <m:sSub>
            <m:e>
              <m:r>
                <m:rPr>
                  <m:sty m:val="b"/>
                </m:rPr>
                <m:t>1</m:t>
              </m:r>
            </m:e>
            <m:sub>
              <m:r>
                <m:rPr>
                  <m:sty m:val="p"/>
                </m:rPr>
                <m:t>{</m:t>
              </m:r>
              <m:sSub>
                <m:e>
                  <m:r>
                    <m:t>H</m:t>
                  </m:r>
                </m:e>
                <m:sub>
                  <m:r>
                    <m:t>M</m:t>
                  </m:r>
                </m:sub>
              </m:sSub>
              <m:r>
                <m:rPr>
                  <m:sty m:val="p"/>
                </m:rPr>
                <m:t>≺</m:t>
              </m:r>
              <m:r>
                <m:t>0</m:t>
              </m:r>
              <m:r>
                <m:rPr>
                  <m:sty m:val="p"/>
                </m:rPr>
                <m:t>}</m:t>
              </m:r>
            </m:sub>
          </m:sSub>
          <m:sSub>
            <m:e>
              <m:r>
                <m:rPr>
                  <m:sty m:val="b"/>
                </m:rPr>
                <m:t>1</m:t>
              </m:r>
            </m:e>
            <m:sub>
              <m:r>
                <m:rPr>
                  <m:sty m:val="p"/>
                </m:rPr>
                <m:t>{</m:t>
              </m:r>
              <m:r>
                <m:rPr>
                  <m:sty m:val="p"/>
                </m:rPr>
                <m:t>ind</m:t>
              </m:r>
              <m:d>
                <m:dPr>
                  <m:begChr m:val="("/>
                  <m:endChr m:val=")"/>
                  <m:sepChr m:val=""/>
                  <m:grow/>
                </m:dPr>
                <m:e>
                  <m:sSub>
                    <m:e>
                      <m:r>
                        <m:t>H</m:t>
                      </m:r>
                    </m:e>
                    <m:sub>
                      <m:r>
                        <m:t>S</m:t>
                      </m:r>
                    </m:sub>
                  </m:sSub>
                </m:e>
              </m:d>
              <m:r>
                <m:rPr>
                  <m:sty m:val="p"/>
                </m:rPr>
                <m:t>=</m:t>
              </m:r>
              <m:r>
                <m:t>2</m:t>
              </m:r>
              <m:r>
                <m:rPr>
                  <m:sty m:val="p"/>
                </m:rPr>
                <m:t>}</m:t>
              </m:r>
            </m:sub>
          </m:sSub>
          <m:r>
            <m:rPr>
              <m:sty m:val="p"/>
            </m:rPr>
            <m:t>.</m:t>
          </m:r>
        </m:oMath>
      </m:oMathPara>
    </w:p>
    <w:p>
      <w:pPr>
        <w:pStyle w:val="FirstParagraph"/>
      </w:pPr>
      <w:r>
        <w:t xml:space="preserve">Let</w:t>
      </w:r>
      <w:r>
        <w:t xml:space="preserve"> </w:t>
      </w:r>
      <m:oMath>
        <m:r>
          <m:rPr>
            <m:sty m:val="p"/>
            <m:scr m:val="fraktur"/>
          </m:rPr>
          <m:t>e</m:t>
        </m:r>
        <m:d>
          <m:dPr>
            <m:begChr m:val="("/>
            <m:endChr m:val=")"/>
            <m:sepChr m:val=""/>
            <m:grow/>
          </m:dPr>
          <m:e>
            <m:r>
              <m:t>f</m:t>
            </m:r>
            <m:r>
              <m:rPr>
                <m:sty m:val="p"/>
              </m:rPr>
              <m:t>;</m:t>
            </m:r>
            <m:r>
              <m:t>M</m:t>
            </m:r>
            <m:r>
              <m:rPr>
                <m:sty m:val="p"/>
              </m:rPr>
              <m:t>,</m:t>
            </m:r>
            <m:r>
              <m:t>S</m:t>
            </m:r>
          </m:e>
        </m:d>
      </m:oMath>
      <w:r>
        <w:t xml:space="preserve"> </w:t>
      </w:r>
      <w:r>
        <w:t xml:space="preserve">be the elder-pair indicator defined in Section 6. The selected typed Kac–Rice factor is</w:t>
      </w:r>
    </w:p>
    <w:p>
      <w:pPr>
        <w:pStyle w:val="BodyText"/>
      </w:pPr>
      <m:oMathPara>
        <m:oMathParaPr>
          <m:jc m:val="center"/>
        </m:oMathParaPr>
        <m:oMath>
          <m:sSubSup>
            <m:e>
              <m:r>
                <m:rPr>
                  <m:sty m:val="p"/>
                  <m:scr m:val="script"/>
                </m:rPr>
                <m:t>K</m:t>
              </m:r>
            </m:e>
            <m:sub>
              <m:r>
                <m:t>r</m:t>
              </m:r>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rPr>
              <m:sty m:val="p"/>
            </m:rPr>
            <m:t>=</m:t>
          </m:r>
          <m:sSub>
            <m:e>
              <m:r>
                <m:t>p</m:t>
              </m:r>
            </m:e>
            <m:sub>
              <m:sSub>
                <m:e>
                  <m:r>
                    <m:t>Π</m:t>
                  </m:r>
                </m:e>
                <m:sub>
                  <m:r>
                    <m:t>r</m:t>
                  </m:r>
                  <m:r>
                    <m:rPr>
                      <m:sty m:val="p"/>
                    </m:rPr>
                    <m:t>,</m:t>
                  </m:r>
                  <m:r>
                    <m:t>x</m:t>
                  </m:r>
                  <m:r>
                    <m:rPr>
                      <m:sty m:val="p"/>
                    </m:rPr>
                    <m:t>,</m:t>
                  </m:r>
                  <m:r>
                    <m:t>t</m:t>
                  </m:r>
                </m:sub>
              </m:sSub>
            </m:sub>
          </m:sSub>
          <m:d>
            <m:dPr>
              <m:begChr m:val="("/>
              <m:endChr m:val=")"/>
              <m:sepChr m:val=""/>
              <m:grow/>
            </m:dPr>
            <m:e>
              <m:sSub>
                <m:e>
                  <m:r>
                    <m:t>z</m:t>
                  </m:r>
                </m:e>
                <m:sub>
                  <m:r>
                    <m:t>r</m:t>
                  </m:r>
                </m:sub>
              </m:sSub>
              <m:d>
                <m:dPr>
                  <m:begChr m:val="("/>
                  <m:endChr m:val=")"/>
                  <m:sepChr m:val=""/>
                  <m:grow/>
                </m:dPr>
                <m:e>
                  <m:r>
                    <m:t>b</m:t>
                  </m:r>
                  <m:r>
                    <m:rPr>
                      <m:sty m:val="p"/>
                    </m:rPr>
                    <m:t>,</m:t>
                  </m:r>
                  <m:r>
                    <m:t>κ</m:t>
                  </m:r>
                </m:e>
              </m:d>
            </m:e>
          </m:d>
          <m:r>
            <m:rPr>
              <m:sty m:val="p"/>
              <m:scr m:val="double-struck"/>
            </m:rPr>
            <m:t>E</m:t>
          </m:r>
          <m:r>
            <m:t>​</m:t>
          </m:r>
          <m:d>
            <m:dPr>
              <m:begChr m:val="["/>
              <m:endChr m:val="]"/>
              <m:sepChr m:val=""/>
              <m:grow/>
            </m:dPr>
            <m:e>
              <m:sSub>
                <m:e>
                  <m:r>
                    <m:t>W</m:t>
                  </m:r>
                </m:e>
                <m:sub>
                  <m:r>
                    <m:t>r</m:t>
                  </m:r>
                </m:sub>
              </m:sSub>
              <m:r>
                <m:rPr>
                  <m:sty m:val="p"/>
                  <m:scr m:val="fraktur"/>
                </m:rPr>
                <m:t>e</m:t>
              </m:r>
              <m:d>
                <m:dPr>
                  <m:begChr m:val="("/>
                  <m:endChr m:val=")"/>
                  <m:sepChr m:val=""/>
                  <m:grow/>
                </m:dPr>
                <m:e>
                  <m:r>
                    <m:t>f</m:t>
                  </m:r>
                  <m:r>
                    <m:rPr>
                      <m:sty m:val="p"/>
                    </m:rPr>
                    <m:t>;</m:t>
                  </m:r>
                  <m:r>
                    <m:t>M</m:t>
                  </m:r>
                  <m:r>
                    <m:rPr>
                      <m:sty m:val="p"/>
                    </m:rPr>
                    <m:t>,</m:t>
                  </m:r>
                  <m:r>
                    <m:t>S</m:t>
                  </m:r>
                </m:e>
              </m:d>
              <m:r>
                <m:rPr>
                  <m:sty m:val="p"/>
                </m:rPr>
                <m:t>∣</m:t>
              </m:r>
              <m:sSub>
                <m:e>
                  <m:r>
                    <m:t>Π</m:t>
                  </m:r>
                </m:e>
                <m:sub>
                  <m:r>
                    <m:t>r</m:t>
                  </m:r>
                  <m:r>
                    <m:rPr>
                      <m:sty m:val="p"/>
                    </m:rPr>
                    <m:t>,</m:t>
                  </m:r>
                  <m:r>
                    <m:t>x</m:t>
                  </m:r>
                  <m:r>
                    <m:rPr>
                      <m:sty m:val="p"/>
                    </m:rPr>
                    <m:t>,</m:t>
                  </m:r>
                  <m:r>
                    <m:t>t</m:t>
                  </m:r>
                </m:sub>
              </m:sSub>
              <m:r>
                <m:rPr>
                  <m:sty m:val="p"/>
                </m:rPr>
                <m:t>=</m:t>
              </m:r>
              <m:sSub>
                <m:e>
                  <m:r>
                    <m:t>z</m:t>
                  </m:r>
                </m:e>
                <m:sub>
                  <m:r>
                    <m:t>r</m:t>
                  </m:r>
                </m:sub>
              </m:sSub>
              <m:d>
                <m:dPr>
                  <m:begChr m:val="("/>
                  <m:endChr m:val=")"/>
                  <m:sepChr m:val=""/>
                  <m:grow/>
                </m:dPr>
                <m:e>
                  <m:r>
                    <m:t>b</m:t>
                  </m:r>
                  <m:r>
                    <m:rPr>
                      <m:sty m:val="p"/>
                    </m:rPr>
                    <m:t>,</m:t>
                  </m:r>
                  <m:r>
                    <m:t>κ</m:t>
                  </m:r>
                </m:e>
              </m:d>
            </m:e>
          </m:d>
          <m:r>
            <m:rPr>
              <m:sty m:val="p"/>
            </m:rPr>
            <m:t>.</m:t>
          </m:r>
        </m:oMath>
      </m:oMathPara>
    </w:p>
    <w:p>
      <w:pPr>
        <w:pStyle w:val="FirstParagraph"/>
      </w:pPr>
      <w:r>
        <w:t xml:space="preserve">For every nonnegative test function</w:t>
      </w:r>
      <w:r>
        <w:t xml:space="preserve"> </w:t>
      </w:r>
      <m:oMath>
        <m:r>
          <m:t>φ</m:t>
        </m:r>
      </m:oMath>
      <w:r>
        <w:t xml:space="preserve">, Lemma 3.3 applies marked Kac–Rice and the exact changes of variables to give</w:t>
      </w:r>
    </w:p>
    <w:p>
      <w:pPr>
        <w:pStyle w:val="BodyText"/>
      </w:pPr>
      <m:oMathPara>
        <m:oMathParaPr>
          <m:jc m:val="center"/>
        </m:oMathParaPr>
        <m:oMath>
          <m:m>
            <m:mPr>
              <m:baseJc m:val="center"/>
              <m:plcHide m:val="on"/>
              <m:mcs>
                <m:mc>
                  <m:mcPr>
                    <m:mcJc m:val="center"/>
                    <m:count m:val="1"/>
                  </m:mcPr>
                </m:mc>
              </m:mcs>
            </m:mPr>
            <m:mr>
              <m:e>
                <m:nary>
                  <m:naryPr>
                    <m:chr m:val="∫"/>
                    <m:limLoc m:val="subSup"/>
                    <m:subHide m:val="off"/>
                    <m:supHide m:val="off"/>
                  </m:naryPr>
                  <m:sub>
                    <m:r>
                      <m:t>0</m:t>
                    </m:r>
                  </m:sub>
                  <m:sup>
                    <m:r>
                      <m:rPr>
                        <m:sty m:val="p"/>
                      </m:rPr>
                      <m:t>∞</m:t>
                    </m:r>
                  </m:sup>
                  <m:e>
                    <m:r>
                      <m:t>φ</m:t>
                    </m:r>
                  </m:e>
                </m:nary>
                <m:d>
                  <m:dPr>
                    <m:begChr m:val="("/>
                    <m:endChr m:val=")"/>
                    <m:sepChr m:val=""/>
                    <m:grow/>
                  </m:dPr>
                  <m:e>
                    <m:r>
                      <m:rPr>
                        <m:sty m:val="p"/>
                      </m:rPr>
                      <m:t>ℓ</m:t>
                    </m:r>
                  </m:e>
                </m:d>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t>d</m:t>
                </m:r>
                <m:r>
                  <m:rPr>
                    <m:sty m:val="p"/>
                  </m:rPr>
                  <m:t>ℓ</m:t>
                </m:r>
                <m:r>
                  <m:rPr>
                    <m:sty m:val="p"/>
                  </m:rPr>
                  <m:t>=</m:t>
                </m:r>
                <m:r>
                  <m:t>​</m:t>
                </m:r>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0</m:t>
                            </m:r>
                          </m:sub>
                          <m:sup>
                            <m:r>
                              <m:t>ρ</m:t>
                            </m:r>
                          </m:sup>
                          <m:e>
                            <m:nary>
                              <m:naryPr>
                                <m:chr m:val="∫"/>
                                <m:limLoc m:val="subSup"/>
                                <m:subHide m:val="off"/>
                                <m:supHide m:val="off"/>
                              </m:naryPr>
                              <m:sub>
                                <m:r>
                                  <m:t>0</m:t>
                                </m:r>
                              </m:sub>
                              <m:sup>
                                <m:r>
                                  <m:rPr>
                                    <m:sty m:val="p"/>
                                  </m:rPr>
                                  <m:t>∞</m:t>
                                </m:r>
                              </m:sup>
                              <m:e>
                                <m:r>
                                  <m:t>φ</m:t>
                                </m:r>
                              </m:e>
                            </m:nary>
                          </m:e>
                        </m:nary>
                      </m:e>
                    </m:nary>
                  </m:e>
                </m:nary>
                <m:r>
                  <m:t>​</m:t>
                </m:r>
                <m:d>
                  <m:dPr>
                    <m:begChr m:val="("/>
                    <m:endChr m:val=")"/>
                    <m:sepChr m:val=""/>
                    <m:grow/>
                  </m:dPr>
                  <m:e>
                    <m:f>
                      <m:fPr>
                        <m:type m:val="bar"/>
                      </m:fPr>
                      <m:num>
                        <m:r>
                          <m:t>κ</m:t>
                        </m:r>
                        <m:sSup>
                          <m:e>
                            <m:r>
                              <m:t>r</m:t>
                            </m:r>
                          </m:e>
                          <m:sup>
                            <m:r>
                              <m:t>3</m:t>
                            </m:r>
                          </m:sup>
                        </m:sSup>
                      </m:num>
                      <m:den>
                        <m:r>
                          <m:t>6</m:t>
                        </m:r>
                      </m:den>
                    </m:f>
                  </m:e>
                </m:d>
              </m:e>
            </m:mr>
            <m:mr>
              <m:e>
                <m:r>
                  <m:t> </m:t>
                </m:r>
                <m:r>
                  <m:rPr>
                    <m:sty m:val="p"/>
                  </m:rPr>
                  <m:t>×</m:t>
                </m:r>
                <m:f>
                  <m:fPr>
                    <m:type m:val="bar"/>
                  </m:fPr>
                  <m:num>
                    <m:sSup>
                      <m:e>
                        <m:r>
                          <m:t>r</m:t>
                        </m:r>
                      </m:e>
                      <m:sup>
                        <m:r>
                          <m:t>5</m:t>
                        </m:r>
                      </m:sup>
                    </m:sSup>
                  </m:num>
                  <m:den>
                    <m:r>
                      <m:t>6</m:t>
                    </m:r>
                  </m:den>
                </m:f>
                <m:sSubSup>
                  <m:e>
                    <m:r>
                      <m:rPr>
                        <m:sty m:val="p"/>
                        <m:scr m:val="script"/>
                      </m:rPr>
                      <m:t>K</m:t>
                    </m:r>
                  </m:e>
                  <m:sub>
                    <m:r>
                      <m:t>r</m:t>
                    </m:r>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r</m:t>
                </m:r>
                <m:r>
                  <m:t> </m:t>
                </m:r>
                <m:r>
                  <m:t>d</m:t>
                </m:r>
                <m:r>
                  <m:t>b</m:t>
                </m:r>
                <m:r>
                  <m:t> </m:t>
                </m:r>
                <m:r>
                  <m:t>d</m:t>
                </m:r>
                <m:sSub>
                  <m:e>
                    <m:r>
                      <m:t>σ</m:t>
                    </m:r>
                  </m:e>
                  <m:sub>
                    <m:r>
                      <m:t>2</m:t>
                    </m:r>
                  </m:sub>
                </m:sSub>
                <m:d>
                  <m:dPr>
                    <m:begChr m:val="("/>
                    <m:endChr m:val=")"/>
                    <m:sepChr m:val=""/>
                    <m:grow/>
                  </m:dPr>
                  <m:e>
                    <m:r>
                      <m:t>t</m:t>
                    </m:r>
                  </m:e>
                </m:d>
                <m:r>
                  <m:rPr>
                    <m:sty m:val="p"/>
                  </m:rPr>
                  <m:t>.</m:t>
                </m:r>
              </m:e>
            </m:mr>
          </m:m>
        </m:oMath>
      </m:oMathPara>
    </w:p>
    <w:p>
      <w:pPr>
        <w:pStyle w:val="FirstParagraph"/>
      </w:pPr>
      <w:r>
        <w:t xml:space="preserve">Set</w:t>
      </w:r>
    </w:p>
    <w:p>
      <w:pPr>
        <w:pStyle w:val="BodyText"/>
      </w:pPr>
      <m:oMathPara>
        <m:oMathParaPr>
          <m:jc m:val="center"/>
        </m:oMathParaPr>
        <m:oMath>
          <m:sSub>
            <m:e>
              <m:r>
                <m:t>r</m:t>
              </m:r>
            </m:e>
            <m:sub>
              <m:r>
                <m:rPr>
                  <m:sty m:val="p"/>
                </m:rPr>
                <m:t>ℓ</m:t>
              </m:r>
            </m:sub>
          </m:sSub>
          <m:d>
            <m:dPr>
              <m:begChr m:val="("/>
              <m:endChr m:val=")"/>
              <m:sepChr m:val=""/>
              <m:grow/>
            </m:dPr>
            <m:e>
              <m:r>
                <m:t>κ</m:t>
              </m:r>
            </m:e>
          </m:d>
          <m:r>
            <m:rPr>
              <m:sty m:val="p"/>
            </m:rPr>
            <m:t>=</m:t>
          </m:r>
          <m:sSup>
            <m:e>
              <m:d>
                <m:dPr>
                  <m:begChr m:val="("/>
                  <m:endChr m:val=")"/>
                  <m:sepChr m:val=""/>
                  <m:grow/>
                </m:dPr>
                <m:e>
                  <m:f>
                    <m:fPr>
                      <m:type m:val="bar"/>
                    </m:fPr>
                    <m:num>
                      <m:r>
                        <m:t>6</m:t>
                      </m:r>
                      <m:r>
                        <m:rPr>
                          <m:sty m:val="p"/>
                        </m:rPr>
                        <m:t>ℓ</m:t>
                      </m:r>
                    </m:num>
                    <m:den>
                      <m:r>
                        <m:t>κ</m:t>
                      </m:r>
                    </m:den>
                  </m:f>
                </m:e>
              </m:d>
            </m:e>
            <m:sup>
              <m:r>
                <m:t>1</m:t>
              </m:r>
              <m:r>
                <m:rPr>
                  <m:sty m:val="p"/>
                </m:rPr>
                <m:t>/</m:t>
              </m:r>
              <m:r>
                <m:t>3</m:t>
              </m:r>
            </m:sup>
          </m:sSup>
          <m:r>
            <m:rPr>
              <m:sty m:val="p"/>
            </m:rPr>
            <m:t>.</m:t>
          </m:r>
        </m:oMath>
      </m:oMathPara>
    </w:p>
    <w:p>
      <w:pPr>
        <w:pStyle w:val="FirstParagraph"/>
      </w:pPr>
      <w:r>
        <w:t xml:space="preserve">Then the exact density representative is</w:t>
      </w:r>
    </w:p>
    <w:p>
      <w:pPr>
        <w:pStyle w:val="BodyText"/>
      </w:pPr>
      <m:oMathPara>
        <m:oMathParaPr>
          <m:jc m:val="center"/>
        </m:oMathParaPr>
        <m:oMath>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rPr>
              <m:sty m:val="p"/>
            </m:rPr>
            <m:t>=</m:t>
          </m:r>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6</m:t>
                      </m:r>
                      <m:r>
                        <m:rPr>
                          <m:sty m:val="p"/>
                        </m:rPr>
                        <m:t>ℓ</m:t>
                      </m:r>
                      <m:r>
                        <m:rPr>
                          <m:sty m:val="p"/>
                        </m:rPr>
                        <m:t>/</m:t>
                      </m:r>
                      <m:sSup>
                        <m:e>
                          <m:r>
                            <m:t>ρ</m:t>
                          </m:r>
                        </m:e>
                        <m:sup>
                          <m:r>
                            <m:t>3</m:t>
                          </m:r>
                        </m:sup>
                      </m:sSup>
                    </m:sub>
                    <m:sup>
                      <m:r>
                        <m:rPr>
                          <m:sty m:val="p"/>
                        </m:rPr>
                        <m:t>∞</m:t>
                      </m:r>
                    </m:sup>
                    <m:e>
                      <m:f>
                        <m:fPr>
                          <m:type m:val="bar"/>
                        </m:fPr>
                        <m:num>
                          <m:r>
                            <m:t>2</m:t>
                          </m:r>
                          <m:r>
                            <m:rPr>
                              <m:sty m:val="p"/>
                            </m:rPr>
                            <m:t>ℓ</m:t>
                          </m:r>
                        </m:num>
                        <m:den>
                          <m:sSup>
                            <m:e>
                              <m:r>
                                <m:t>κ</m:t>
                              </m:r>
                            </m:e>
                            <m:sup>
                              <m:r>
                                <m:t>2</m:t>
                              </m:r>
                            </m:sup>
                          </m:sSup>
                        </m:den>
                      </m:f>
                    </m:e>
                  </m:nary>
                </m:e>
              </m:nary>
            </m:e>
          </m:nary>
          <m:sSubSup>
            <m:e>
              <m:r>
                <m:rPr>
                  <m:sty m:val="p"/>
                  <m:scr m:val="script"/>
                </m:rPr>
                <m:t>K</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r>
            <m:rPr>
              <m:sty m:val="p"/>
            </m:rPr>
            <m:t>.</m:t>
          </m:r>
        </m:oMath>
      </m:oMathPara>
    </w:p>
    <w:p>
      <w:pPr>
        <w:pStyle w:val="FirstParagraph"/>
      </w:pPr>
      <w:r>
        <w:t xml:space="preserve">In dimension three define the rescaled contact integrand</w:t>
      </w:r>
    </w:p>
    <w:p>
      <w:pPr>
        <w:pStyle w:val="BodyText"/>
      </w:pPr>
      <m:oMathPara>
        <m:oMathParaPr>
          <m:jc m:val="center"/>
        </m:oMathParaPr>
        <m:oMath>
          <m:sSubSup>
            <m:e>
              <m:r>
                <m:rPr>
                  <m:sty m:val="p"/>
                  <m:scr m:val="script"/>
                </m:rPr>
                <m:t>G</m:t>
              </m:r>
            </m:e>
            <m:sub>
              <m:r>
                <m:t>r</m:t>
              </m:r>
            </m:sub>
            <m:sup>
              <m:r>
                <m:rPr>
                  <m:sty m:val="p"/>
                </m:rPr>
                <m:t>s</m:t>
              </m:r>
              <m:r>
                <m:rPr>
                  <m:sty m:val="p"/>
                </m:rPr>
                <m:t>e</m:t>
              </m:r>
              <m:r>
                <m:rPr>
                  <m:sty m:val="p"/>
                </m:rPr>
                <m:t>l</m:t>
              </m:r>
            </m:sup>
          </m:sSubSup>
          <m:r>
            <m:rPr>
              <m:sty m:val="p"/>
            </m:rPr>
            <m:t>=</m:t>
          </m:r>
          <m:sSup>
            <m:e>
              <m:r>
                <m:t>r</m:t>
              </m:r>
            </m:e>
            <m:sup>
              <m:r>
                <m:t>4</m:t>
              </m:r>
            </m:sup>
          </m:sSup>
          <m:sSubSup>
            <m:e>
              <m:r>
                <m:rPr>
                  <m:sty m:val="p"/>
                  <m:scr m:val="script"/>
                </m:rPr>
                <m:t>K</m:t>
              </m:r>
            </m:e>
            <m:sub>
              <m:r>
                <m:t>r</m:t>
              </m:r>
            </m:sub>
            <m:sup>
              <m:r>
                <m:rPr>
                  <m:sty m:val="p"/>
                </m:rPr>
                <m:t>s</m:t>
              </m:r>
              <m:r>
                <m:rPr>
                  <m:sty m:val="p"/>
                </m:rPr>
                <m:t>e</m:t>
              </m:r>
              <m:r>
                <m:rPr>
                  <m:sty m:val="p"/>
                </m:rPr>
                <m:t>l</m:t>
              </m:r>
            </m:sup>
          </m:sSubSup>
          <m:r>
            <m:rPr>
              <m:sty m:val="p"/>
            </m:rPr>
            <m:t>.</m:t>
          </m:r>
        </m:oMath>
      </m:oMathPara>
    </w:p>
    <w:p>
      <w:pPr>
        <w:pStyle w:val="FirstParagraph"/>
      </w:pPr>
      <w:r>
        <w:t xml:space="preserve">Equation (5.7) becomes</w:t>
      </w:r>
    </w:p>
    <w:p>
      <w:pPr>
        <w:pStyle w:val="BodyText"/>
      </w:pPr>
      <m:oMathPara>
        <m:oMathParaPr>
          <m:jc m:val="center"/>
        </m:oMathParaPr>
        <m:oMath>
          <m:m>
            <m:mPr>
              <m:baseJc m:val="center"/>
              <m:plcHide m:val="on"/>
              <m:mcs>
                <m:mc>
                  <m:mcPr>
                    <m:mcJc m:val="center"/>
                    <m:count m:val="1"/>
                  </m:mcPr>
                </m:mc>
              </m:mcs>
            </m:mPr>
            <m:mr>
              <m:e>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rPr>
                    <m:sty m:val="p"/>
                  </m:rPr>
                  <m:t>=</m:t>
                </m:r>
                <m:r>
                  <m:t>​</m:t>
                </m:r>
                <m:f>
                  <m:fPr>
                    <m:type m:val="bar"/>
                  </m:fPr>
                  <m:num>
                    <m:sSup>
                      <m:e>
                        <m:r>
                          <m:t>6</m:t>
                        </m:r>
                      </m:e>
                      <m:sup>
                        <m:r>
                          <m:t>2</m:t>
                        </m:r>
                        <m:r>
                          <m:rPr>
                            <m:sty m:val="p"/>
                          </m:rPr>
                          <m:t>/</m:t>
                        </m:r>
                        <m:r>
                          <m:t>3</m:t>
                        </m:r>
                      </m:sup>
                    </m:sSup>
                  </m:num>
                  <m:den>
                    <m:r>
                      <m:t>18</m:t>
                    </m:r>
                  </m:den>
                </m:f>
                <m:sSup>
                  <m:e>
                    <m:r>
                      <m:rPr>
                        <m:sty m:val="p"/>
                      </m:rPr>
                      <m:t>ℓ</m:t>
                    </m:r>
                  </m:e>
                  <m:sup>
                    <m:r>
                      <m:rPr>
                        <m:sty m:val="p"/>
                      </m:rPr>
                      <m:t>−</m:t>
                    </m:r>
                    <m:r>
                      <m:t>1</m:t>
                    </m:r>
                    <m:r>
                      <m:rPr>
                        <m:sty m:val="p"/>
                      </m:rPr>
                      <m:t>/</m:t>
                    </m:r>
                    <m:r>
                      <m:t>3</m:t>
                    </m:r>
                  </m:sup>
                </m:sSup>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6</m:t>
                            </m:r>
                            <m:r>
                              <m:rPr>
                                <m:sty m:val="p"/>
                              </m:rPr>
                              <m:t>ℓ</m:t>
                            </m:r>
                            <m:r>
                              <m:rPr>
                                <m:sty m:val="p"/>
                              </m:rPr>
                              <m:t>/</m:t>
                            </m:r>
                            <m:sSup>
                              <m:e>
                                <m:r>
                                  <m:t>ρ</m:t>
                                </m:r>
                              </m:e>
                              <m:sup>
                                <m:r>
                                  <m:t>3</m:t>
                                </m:r>
                              </m:sup>
                            </m:sSup>
                          </m:sub>
                          <m:sup>
                            <m:r>
                              <m:rPr>
                                <m:sty m:val="p"/>
                              </m:rPr>
                              <m:t>∞</m:t>
                            </m:r>
                          </m:sup>
                          <m:e>
                            <m:sSup>
                              <m:e>
                                <m:r>
                                  <m:t>κ</m:t>
                                </m:r>
                              </m:e>
                              <m:sup>
                                <m:r>
                                  <m:rPr>
                                    <m:sty m:val="p"/>
                                  </m:rPr>
                                  <m:t>−</m:t>
                                </m:r>
                                <m:r>
                                  <m:t>2</m:t>
                                </m:r>
                                <m:r>
                                  <m:rPr>
                                    <m:sty m:val="p"/>
                                  </m:rPr>
                                  <m:t>/</m:t>
                                </m:r>
                                <m:r>
                                  <m:t>3</m:t>
                                </m:r>
                              </m:sup>
                            </m:sSup>
                          </m:e>
                        </m:nary>
                      </m:e>
                    </m:nary>
                  </m:e>
                </m:nary>
              </m:e>
            </m:mr>
            <m:mr>
              <m:e>
                <m:r>
                  <m:t> </m:t>
                </m:r>
                <m:r>
                  <m:rPr>
                    <m:sty m:val="p"/>
                  </m:rPr>
                  <m:t>×</m:t>
                </m:r>
                <m:sSubSup>
                  <m:e>
                    <m:r>
                      <m:rPr>
                        <m:sty m:val="p"/>
                        <m:scr m:val="script"/>
                      </m:rPr>
                      <m:t>G</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r>
                  <m:rPr>
                    <m:sty m:val="p"/>
                  </m:rPr>
                  <m:t>.</m:t>
                </m:r>
              </m:e>
            </m:mr>
          </m:m>
        </m:oMath>
      </m:oMathPara>
    </w:p>
    <w:p>
      <w:pPr>
        <w:pStyle w:val="FirstParagraph"/>
      </w:pPr>
      <w:r>
        <w:t xml:space="preserve">To turn (5.9) into the asserted asymptotic, the proof must establish:</w:t>
      </w:r>
    </w:p>
    <w:p>
      <w:pPr>
        <w:numPr>
          <w:ilvl w:val="0"/>
          <w:numId w:val="1001"/>
        </w:numPr>
      </w:pPr>
      <w:r>
        <w:t xml:space="preserve">Convergence of</w:t>
      </w:r>
      <w:r>
        <w:t xml:space="preserve"> </w:t>
      </w:r>
      <m:oMath>
        <m:sSubSup>
          <m:e>
            <m:r>
              <m:rPr>
                <m:sty m:val="p"/>
                <m:scr m:val="script"/>
              </m:rPr>
              <m:t>G</m:t>
            </m:r>
          </m:e>
          <m:sub>
            <m:r>
              <m:t>r</m:t>
            </m:r>
          </m:sub>
          <m:sup>
            <m:r>
              <m:rPr>
                <m:sty m:val="p"/>
              </m:rPr>
              <m:t>a</m:t>
            </m:r>
            <m:r>
              <m:rPr>
                <m:sty m:val="p"/>
              </m:rPr>
              <m:t>l</m:t>
            </m:r>
            <m:r>
              <m:rPr>
                <m:sty m:val="p"/>
              </m:rPr>
              <m:t>l</m:t>
            </m:r>
          </m:sup>
        </m:sSubSup>
      </m:oMath>
      <w:r>
        <w:t xml:space="preserve"> </w:t>
      </w:r>
      <w:r>
        <w:t xml:space="preserve">to the limiting contact integrand.</w:t>
      </w:r>
    </w:p>
    <w:p>
      <w:pPr>
        <w:numPr>
          <w:ilvl w:val="0"/>
          <w:numId w:val="1001"/>
        </w:numPr>
      </w:pPr>
      <w:r>
        <w:t xml:space="preserve">One integrable majorant after multiplication by</w:t>
      </w:r>
      <w:r>
        <w:t xml:space="preserve"> </w:t>
      </w:r>
      <m:oMath>
        <m:sSup>
          <m:e>
            <m:r>
              <m:t>κ</m:t>
            </m:r>
          </m:e>
          <m:sup>
            <m:r>
              <m:rPr>
                <m:sty m:val="p"/>
              </m:rPr>
              <m:t>−</m:t>
            </m:r>
            <m:r>
              <m:t>2</m:t>
            </m:r>
            <m:r>
              <m:rPr>
                <m:sty m:val="p"/>
              </m:rPr>
              <m:t>/</m:t>
            </m:r>
            <m:r>
              <m:t>3</m:t>
            </m:r>
          </m:sup>
        </m:sSup>
      </m:oMath>
      <w:r>
        <w:t xml:space="preserve">, including</w:t>
      </w:r>
      <w:r>
        <w:t xml:space="preserve"> </w:t>
      </w:r>
      <m:oMath>
        <m:r>
          <m:t>κ</m:t>
        </m:r>
        <m:r>
          <m:rPr>
            <m:sty m:val="p"/>
          </m:rPr>
          <m:t>↓</m:t>
        </m:r>
        <m:r>
          <m:t>0</m:t>
        </m:r>
      </m:oMath>
      <w:r>
        <w:t xml:space="preserve">.</w:t>
      </w:r>
    </w:p>
    <w:p>
      <w:pPr>
        <w:numPr>
          <w:ilvl w:val="0"/>
          <w:numId w:val="1001"/>
        </w:numPr>
      </w:pPr>
      <w:r>
        <w:t xml:space="preserve">Equality of the selected and all-typed limiting integrands.</w:t>
      </w:r>
    </w:p>
    <w:p>
      <w:pPr>
        <w:numPr>
          <w:ilvl w:val="0"/>
          <w:numId w:val="1001"/>
        </w:numPr>
      </w:pPr>
      <w:r>
        <w:t xml:space="preserve">A separate bound for elder pairs whose own separation is at least</w:t>
      </w:r>
      <w:r>
        <w:t xml:space="preserve"> </w:t>
      </w:r>
      <m:oMath>
        <m:r>
          <m:t>ρ</m:t>
        </m:r>
      </m:oMath>
      <w:r>
        <w:t xml:space="preserve">.</w:t>
      </w:r>
    </w:p>
    <w:p>
      <w:pPr>
        <w:pStyle w:val="FirstParagraph"/>
      </w:pPr>
      <w:r>
        <w:t xml:space="preserve">Items 1, 2, and 4 are isolated in the manuscript. Lemmas 3.4a–3.4c reduce Item 3, up to</w:t>
      </w:r>
      <w:r>
        <w:t xml:space="preserve"> </w:t>
      </w:r>
      <m:oMath>
        <m:r>
          <m:t>O</m:t>
        </m:r>
        <m:d>
          <m:dPr>
            <m:begChr m:val="("/>
            <m:endChr m:val=")"/>
            <m:sepChr m:val=""/>
            <m:grow/>
          </m:dPr>
          <m:e>
            <m:sSup>
              <m:e>
                <m:r>
                  <m:t>r</m:t>
                </m:r>
              </m:e>
              <m:sup>
                <m:r>
                  <m:t>3</m:t>
                </m:r>
              </m:sup>
            </m:sSup>
          </m:e>
        </m:d>
      </m:oMath>
      <w:r>
        <w:t xml:space="preserve">, to the unresolved collar and singular-near earlier-death witness estimates; hence the full selection estimate</w:t>
      </w:r>
      <w:r>
        <w:t xml:space="preserve"> </w:t>
      </w:r>
      <m:oMath>
        <m:r>
          <m:t>1</m:t>
        </m:r>
        <m:r>
          <m:rPr>
            <m:sty m:val="p"/>
          </m:rPr>
          <m:t>−</m:t>
        </m:r>
        <m:sSub>
          <m:e>
            <m:r>
              <m:t>p</m:t>
            </m:r>
          </m:e>
          <m:sub>
            <m:r>
              <m:t>r</m:t>
            </m:r>
          </m:sub>
        </m:sSub>
        <m:r>
          <m:rPr>
            <m:sty m:val="p"/>
          </m:rPr>
          <m:t>=</m:t>
        </m:r>
        <m:r>
          <m:t>O</m:t>
        </m:r>
        <m:d>
          <m:dPr>
            <m:begChr m:val="("/>
            <m:endChr m:val=")"/>
            <m:sepChr m:val=""/>
            <m:grow/>
          </m:dPr>
          <m:e>
            <m:sSup>
              <m:e>
                <m:r>
                  <m:t>r</m:t>
                </m:r>
              </m:e>
              <m:sup>
                <m:r>
                  <m:t>3</m:t>
                </m:r>
              </m:sup>
            </m:sSup>
          </m:e>
        </m:d>
      </m:oMath>
      <w:r>
        <w:t xml:space="preserve"> </w:t>
      </w:r>
      <w:r>
        <w:t xml:space="preserve">remains open.</w:t>
      </w:r>
    </w:p>
    <w:bookmarkEnd w:id="38"/>
    <w:bookmarkStart w:id="39" w:name="Xab8fe7cd070f4b171b3551a7ac4598cef4e9fa3"/>
    <w:p>
      <w:pPr>
        <w:pStyle w:val="Heading1"/>
        <w:keepNext/>
      </w:pPr>
      <w:r>
        <w:t xml:space="preserve">6. Palm law and Borel elder mark inserted in the revision</w:t>
      </w:r>
    </w:p>
    <w:p>
      <w:pPr>
        <w:pStyle w:val="FirstParagraph"/>
      </w:pPr>
      <w:r>
        <w:t xml:space="preserve">The determinant-weighted Palm law below is now defined in Section 3.2 of the manuscript. Lemma 1.2a supplies a countable-basis construction of the elder mark and proves its Borel measurability on the Morse, distinct-critical-value locus. This is a new repair submitted for independent checking, not prior external validation.</w:t>
      </w:r>
    </w:p>
    <w:p>
      <w:pPr>
        <w:pStyle w:val="BodyText"/>
      </w:pPr>
      <w:r>
        <w:t xml:space="preserve">Let</w:t>
      </w:r>
    </w:p>
    <w:p>
      <w:pPr>
        <w:pStyle w:val="BodyText"/>
      </w:pPr>
      <m:oMathPara>
        <m:oMathParaPr>
          <m:jc m:val="center"/>
        </m:oMathParaPr>
        <m:oMath>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r>
                <m:rPr>
                  <m:sty m:val="p"/>
                </m:rPr>
                <m:t>⋅</m:t>
              </m:r>
            </m:e>
          </m:d>
          <m:r>
            <m:rPr>
              <m:sty m:val="p"/>
            </m:rPr>
            <m:t>=</m:t>
          </m:r>
          <m:r>
            <m:rPr>
              <m:sty m:val="p"/>
              <m:scr m:val="double-struck"/>
            </m:rPr>
            <m:t>E</m:t>
          </m:r>
          <m:d>
            <m:dPr>
              <m:begChr m:val="["/>
              <m:endChr m:val="]"/>
              <m:sepChr m:val=""/>
              <m:grow/>
            </m:dPr>
            <m:e>
              <m:r>
                <m:rPr>
                  <m:sty m:val="p"/>
                </m:rPr>
                <m:t>⋅</m:t>
              </m:r>
              <m:r>
                <m:rPr>
                  <m:sty m:val="p"/>
                </m:rPr>
                <m:t>∣</m:t>
              </m:r>
              <m:sSub>
                <m:e>
                  <m:r>
                    <m:t>Π</m:t>
                  </m:r>
                </m:e>
                <m:sub>
                  <m:r>
                    <m:t>r</m:t>
                  </m:r>
                  <m:r>
                    <m:rPr>
                      <m:sty m:val="p"/>
                    </m:rPr>
                    <m:t>,</m:t>
                  </m:r>
                  <m:r>
                    <m:t>x</m:t>
                  </m:r>
                  <m:r>
                    <m:rPr>
                      <m:sty m:val="p"/>
                    </m:rPr>
                    <m:t>,</m:t>
                  </m:r>
                  <m:r>
                    <m:t>t</m:t>
                  </m:r>
                </m:sub>
              </m:sSub>
              <m:r>
                <m:rPr>
                  <m:sty m:val="p"/>
                </m:rPr>
                <m:t>=</m:t>
              </m:r>
              <m:sSub>
                <m:e>
                  <m:r>
                    <m:t>z</m:t>
                  </m:r>
                </m:e>
                <m:sub>
                  <m:r>
                    <m:t>r</m:t>
                  </m:r>
                </m:sub>
              </m:sSub>
              <m:d>
                <m:dPr>
                  <m:begChr m:val="("/>
                  <m:endChr m:val=")"/>
                  <m:sepChr m:val=""/>
                  <m:grow/>
                </m:dPr>
                <m:e>
                  <m:r>
                    <m:t>b</m:t>
                  </m:r>
                  <m:r>
                    <m:rPr>
                      <m:sty m:val="p"/>
                    </m:rPr>
                    <m:t>,</m:t>
                  </m:r>
                  <m:r>
                    <m:t>κ</m:t>
                  </m:r>
                </m:e>
              </m:d>
            </m:e>
          </m:d>
        </m:oMath>
      </m:oMathPara>
    </w:p>
    <w:p>
      <w:pPr>
        <w:pStyle w:val="FirstParagraph"/>
      </w:pPr>
      <w:r>
        <w:t xml:space="preserve">denote the regular conditional Gaussian law given the affine value and gradient pins. Put</w:t>
      </w:r>
    </w:p>
    <w:p>
      <w:pPr>
        <w:pStyle w:val="BodyText"/>
      </w:pPr>
      <m:oMathPara>
        <m:oMathParaPr>
          <m:jc m:val="center"/>
        </m:oMathParaPr>
        <m:oMath>
          <m:sSub>
            <m:e>
              <m:r>
                <m:t>Z</m:t>
              </m:r>
            </m:e>
            <m:sub>
              <m:r>
                <m:t>r</m:t>
              </m:r>
            </m:sub>
          </m:sSub>
          <m:d>
            <m:dPr>
              <m:begChr m:val="("/>
              <m:endChr m:val=")"/>
              <m:sepChr m:val=""/>
              <m:grow/>
            </m:dPr>
            <m:e>
              <m:r>
                <m:t>t</m:t>
              </m:r>
              <m:r>
                <m:rPr>
                  <m:sty m:val="p"/>
                </m:rPr>
                <m:t>,</m:t>
              </m:r>
              <m:r>
                <m:t>b</m:t>
              </m:r>
              <m:r>
                <m:rPr>
                  <m:sty m:val="p"/>
                </m:rPr>
                <m:t>,</m:t>
              </m:r>
              <m:r>
                <m:t>κ</m:t>
              </m:r>
            </m:e>
          </m:d>
          <m:r>
            <m:rPr>
              <m:sty m:val="p"/>
            </m:rPr>
            <m:t>=</m:t>
          </m:r>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e>
          </m:d>
          <m:r>
            <m:rPr>
              <m:sty m:val="p"/>
            </m:rPr>
            <m:t>.</m:t>
          </m:r>
        </m:oMath>
      </m:oMathPara>
    </w:p>
    <w:p>
      <w:pPr>
        <w:pStyle w:val="FirstParagraph"/>
      </w:pPr>
      <w:r>
        <w:t xml:space="preserve">The all-typed determinant-weighted Palm law is defined by</w:t>
      </w:r>
    </w:p>
    <w:p>
      <w:pPr>
        <w:pStyle w:val="BodyText"/>
      </w:pPr>
      <m:oMathPara>
        <m:oMathParaPr>
          <m:jc m:val="center"/>
        </m:oMathParaPr>
        <m:oMath>
          <m:sSubSup>
            <m:e>
              <m:r>
                <m:rPr>
                  <m:sty m:val="p"/>
                  <m:scr m:val="double-struck"/>
                </m:rPr>
                <m:t>E</m:t>
              </m:r>
            </m:e>
            <m:sub>
              <m:r>
                <m:t>r</m:t>
              </m:r>
              <m:r>
                <m:rPr>
                  <m:sty m:val="p"/>
                </m:rPr>
                <m:t>,</m:t>
              </m:r>
              <m:r>
                <m:t>t</m:t>
              </m:r>
              <m:r>
                <m:rPr>
                  <m:sty m:val="p"/>
                </m:rPr>
                <m:t>,</m:t>
              </m:r>
              <m:r>
                <m:t>b</m:t>
              </m:r>
              <m:r>
                <m:rPr>
                  <m:sty m:val="p"/>
                </m:rPr>
                <m:t>,</m:t>
              </m:r>
              <m:r>
                <m:t>κ</m:t>
              </m:r>
            </m:sub>
            <m:sup>
              <m:r>
                <m:t>M</m:t>
              </m:r>
              <m:r>
                <m:t>S</m:t>
              </m:r>
            </m:sup>
          </m:sSubSup>
          <m:d>
            <m:dPr>
              <m:begChr m:val="["/>
              <m:endChr m:val="]"/>
              <m:sepChr m:val=""/>
              <m:grow/>
            </m:dPr>
            <m:e>
              <m:r>
                <m:t>F</m:t>
              </m:r>
            </m:e>
          </m:d>
          <m:r>
            <m:rPr>
              <m:sty m:val="p"/>
            </m:rPr>
            <m:t>=</m:t>
          </m:r>
          <m:f>
            <m:fPr>
              <m:type m:val="bar"/>
            </m:fPr>
            <m:num>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r>
                    <m:t>F</m:t>
                  </m:r>
                </m:e>
              </m:d>
            </m:num>
            <m:den>
              <m:sSub>
                <m:e>
                  <m:r>
                    <m:t>Z</m:t>
                  </m:r>
                </m:e>
                <m:sub>
                  <m:r>
                    <m:t>r</m:t>
                  </m:r>
                </m:sub>
              </m:sSub>
              <m:d>
                <m:dPr>
                  <m:begChr m:val="("/>
                  <m:endChr m:val=")"/>
                  <m:sepChr m:val=""/>
                  <m:grow/>
                </m:dPr>
                <m:e>
                  <m:r>
                    <m:t>t</m:t>
                  </m:r>
                  <m:r>
                    <m:rPr>
                      <m:sty m:val="p"/>
                    </m:rPr>
                    <m:t>,</m:t>
                  </m:r>
                  <m:r>
                    <m:t>b</m:t>
                  </m:r>
                  <m:r>
                    <m:rPr>
                      <m:sty m:val="p"/>
                    </m:rPr>
                    <m:t>,</m:t>
                  </m:r>
                  <m:r>
                    <m:t>κ</m:t>
                  </m:r>
                </m:e>
              </m:d>
            </m:den>
          </m:f>
          <m:r>
            <m:rPr>
              <m:sty m:val="p"/>
            </m:rPr>
            <m:t>.</m:t>
          </m:r>
        </m:oMath>
      </m:oMathPara>
    </w:p>
    <w:p>
      <w:pPr>
        <w:pStyle w:val="FirstParagraph"/>
      </w:pPr>
      <w:r>
        <w:t xml:space="preserve">Neither adjacency nor persistence selection is part of this base law.</w:t>
      </w:r>
    </w:p>
    <w:p>
      <w:pPr>
        <w:pStyle w:val="BodyText"/>
      </w:pPr>
      <w:r>
        <w:t xml:space="preserve">For a Morse function with distinct critical values, let</w:t>
      </w:r>
      <w:r>
        <w:t xml:space="preserve"> </w:t>
      </w:r>
      <m:oMath>
        <m:r>
          <m:t>h</m:t>
        </m:r>
        <m:r>
          <m:rPr>
            <m:sty m:val="p"/>
          </m:rPr>
          <m:t>=</m:t>
        </m:r>
        <m:r>
          <m:t>f</m:t>
        </m:r>
        <m:d>
          <m:dPr>
            <m:begChr m:val="("/>
            <m:endChr m:val=")"/>
            <m:sepChr m:val=""/>
            <m:grow/>
          </m:dPr>
          <m:e>
            <m:r>
              <m:t>S</m:t>
            </m:r>
          </m:e>
        </m:d>
      </m:oMath>
      <w:r>
        <w:t xml:space="preserve">. Immediately above</w:t>
      </w:r>
      <w:r>
        <w:t xml:space="preserve"> </w:t>
      </w:r>
      <m:oMath>
        <m:r>
          <m:t>h</m:t>
        </m:r>
      </m:oMath>
      <w:r>
        <w:t xml:space="preserve">, the two upper local sectors adjacent to the index-two saddle lie in superlevel components</w:t>
      </w:r>
      <w:r>
        <w:t xml:space="preserve"> </w:t>
      </w:r>
      <m:oMath>
        <m:sSub>
          <m:e>
            <m:r>
              <m:t>C</m:t>
            </m:r>
          </m:e>
          <m:sub>
            <m:r>
              <m:t>1</m:t>
            </m:r>
          </m:sub>
        </m:sSub>
        <m:d>
          <m:dPr>
            <m:begChr m:val="("/>
            <m:endChr m:val=")"/>
            <m:sepChr m:val=""/>
            <m:grow/>
          </m:dPr>
          <m:e>
            <m:r>
              <m:t>S</m:t>
            </m:r>
          </m:e>
        </m:d>
      </m:oMath>
      <w:r>
        <w:t xml:space="preserve"> </w:t>
      </w:r>
      <w:r>
        <w:t xml:space="preserve">and</w:t>
      </w:r>
      <w:r>
        <w:t xml:space="preserve"> </w:t>
      </w:r>
      <m:oMath>
        <m:sSub>
          <m:e>
            <m:r>
              <m:t>C</m:t>
            </m:r>
          </m:e>
          <m:sub>
            <m:r>
              <m:t>2</m:t>
            </m:r>
          </m:sub>
        </m:sSub>
        <m:d>
          <m:dPr>
            <m:begChr m:val="("/>
            <m:endChr m:val=")"/>
            <m:sepChr m:val=""/>
            <m:grow/>
          </m:dPr>
          <m:e>
            <m:r>
              <m:t>S</m:t>
            </m:r>
          </m:e>
        </m:d>
      </m:oMath>
      <w:r>
        <w:t xml:space="preserve">. If the components coincide, the handle does not kill an</w:t>
      </w:r>
      <w:r>
        <w:t xml:space="preserve"> </w:t>
      </w:r>
      <m:oMath>
        <m:sSub>
          <m:e>
            <m:r>
              <m:t>H</m:t>
            </m:r>
          </m:e>
          <m:sub>
            <m:r>
              <m:t>0</m:t>
            </m:r>
          </m:sub>
        </m:sSub>
      </m:oMath>
      <w:r>
        <w:t xml:space="preserve"> </w:t>
      </w:r>
      <w:r>
        <w:t xml:space="preserve">class. If they differ, each has a unique birth maximum, and the elder rule kills the component with the lower birth maximum.</w:t>
      </w:r>
    </w:p>
    <w:p>
      <w:pPr>
        <w:pStyle w:val="BodyText"/>
      </w:pPr>
      <w:r>
        <w:t xml:space="preserve">Define</w:t>
      </w:r>
      <w:r>
        <w:t xml:space="preserve"> </w:t>
      </w:r>
      <m:oMath>
        <m:r>
          <m:rPr>
            <m:sty m:val="p"/>
            <m:scr m:val="fraktur"/>
          </m:rPr>
          <m:t>e</m:t>
        </m:r>
        <m:d>
          <m:dPr>
            <m:begChr m:val="("/>
            <m:endChr m:val=")"/>
            <m:sepChr m:val=""/>
            <m:grow/>
          </m:dPr>
          <m:e>
            <m:r>
              <m:t>f</m:t>
            </m:r>
            <m:r>
              <m:rPr>
                <m:sty m:val="p"/>
              </m:rPr>
              <m:t>;</m:t>
            </m:r>
            <m:r>
              <m:t>M</m:t>
            </m:r>
            <m:r>
              <m:rPr>
                <m:sty m:val="p"/>
              </m:rPr>
              <m:t>,</m:t>
            </m:r>
            <m:r>
              <m:t>S</m:t>
            </m:r>
          </m:e>
        </m:d>
        <m:r>
          <m:rPr>
            <m:sty m:val="p"/>
          </m:rPr>
          <m:t>=</m:t>
        </m:r>
        <m:r>
          <m:t>1</m:t>
        </m:r>
      </m:oMath>
      <w:r>
        <w:t xml:space="preserve"> </w:t>
      </w:r>
      <w:r>
        <w:t xml:space="preserve">precisely when:</w:t>
      </w:r>
    </w:p>
    <w:p>
      <w:pPr>
        <w:numPr>
          <w:ilvl w:val="0"/>
          <w:numId w:val="1002"/>
        </w:numPr>
        <w:pStyle w:val="Compact"/>
      </w:pPr>
      <m:oMath>
        <m:sSub>
          <m:e>
            <m:r>
              <m:t>C</m:t>
            </m:r>
          </m:e>
          <m:sub>
            <m:r>
              <m:t>1</m:t>
            </m:r>
          </m:sub>
        </m:sSub>
        <m:d>
          <m:dPr>
            <m:begChr m:val="("/>
            <m:endChr m:val=")"/>
            <m:sepChr m:val=""/>
            <m:grow/>
          </m:dPr>
          <m:e>
            <m:r>
              <m:t>S</m:t>
            </m:r>
          </m:e>
        </m:d>
        <m:r>
          <m:rPr>
            <m:sty m:val="p"/>
          </m:rPr>
          <m:t>≠</m:t>
        </m:r>
        <m:sSub>
          <m:e>
            <m:r>
              <m:t>C</m:t>
            </m:r>
          </m:e>
          <m:sub>
            <m:r>
              <m:t>2</m:t>
            </m:r>
          </m:sub>
        </m:sSub>
        <m:d>
          <m:dPr>
            <m:begChr m:val="("/>
            <m:endChr m:val=")"/>
            <m:sepChr m:val=""/>
            <m:grow/>
          </m:dPr>
          <m:e>
            <m:r>
              <m:t>S</m:t>
            </m:r>
          </m:e>
        </m:d>
      </m:oMath>
      <w:r>
        <w:t xml:space="preserve">;</w:t>
      </w:r>
    </w:p>
    <w:p>
      <w:pPr>
        <w:numPr>
          <w:ilvl w:val="0"/>
          <w:numId w:val="1002"/>
        </w:numPr>
        <w:pStyle w:val="Compact"/>
      </w:pPr>
      <m:oMath>
        <m:r>
          <m:t>M</m:t>
        </m:r>
      </m:oMath>
      <w:r>
        <w:t xml:space="preserve"> </w:t>
      </w:r>
      <w:r>
        <w:t xml:space="preserve">is the birth maximum of one of the two components; and</w:t>
      </w:r>
    </w:p>
    <w:p>
      <w:pPr>
        <w:numPr>
          <w:ilvl w:val="0"/>
          <w:numId w:val="1002"/>
        </w:numPr>
        <w:pStyle w:val="Compact"/>
      </w:pPr>
      <w:r>
        <w:t xml:space="preserve">the birth value at</w:t>
      </w:r>
      <w:r>
        <w:t xml:space="preserve"> </w:t>
      </w:r>
      <m:oMath>
        <m:r>
          <m:t>M</m:t>
        </m:r>
      </m:oMath>
      <w:r>
        <w:t xml:space="preserve"> </w:t>
      </w:r>
      <w:r>
        <w:t xml:space="preserve">is the smaller of the two birth values.</w:t>
      </w:r>
    </w:p>
    <w:p>
      <w:pPr>
        <w:pStyle w:val="FirstParagraph"/>
      </w:pPr>
      <w:r>
        <w:t xml:space="preserve">Otherwise set</w:t>
      </w:r>
      <w:r>
        <w:t xml:space="preserve"> </w:t>
      </w:r>
      <m:oMath>
        <m:r>
          <m:rPr>
            <m:sty m:val="p"/>
            <m:scr m:val="fraktur"/>
          </m:rPr>
          <m:t>e</m:t>
        </m:r>
        <m:d>
          <m:dPr>
            <m:begChr m:val="("/>
            <m:endChr m:val=")"/>
            <m:sepChr m:val=""/>
            <m:grow/>
          </m:dPr>
          <m:e>
            <m:r>
              <m:t>f</m:t>
            </m:r>
            <m:r>
              <m:rPr>
                <m:sty m:val="p"/>
              </m:rPr>
              <m:t>;</m:t>
            </m:r>
            <m:r>
              <m:t>M</m:t>
            </m:r>
            <m:r>
              <m:rPr>
                <m:sty m:val="p"/>
              </m:rPr>
              <m:t>,</m:t>
            </m:r>
            <m:r>
              <m:t>S</m:t>
            </m:r>
          </m:e>
        </m:d>
        <m:r>
          <m:rPr>
            <m:sty m:val="p"/>
          </m:rPr>
          <m:t>=</m:t>
        </m:r>
        <m:r>
          <m:t>0</m:t>
        </m:r>
      </m:oMath>
      <w:r>
        <w:t xml:space="preserve">. The intended selection probability is</w:t>
      </w:r>
    </w:p>
    <w:p>
      <w:pPr>
        <w:pStyle w:val="BodyText"/>
      </w:pPr>
      <m:oMathPara>
        <m:oMathParaPr>
          <m:jc m:val="center"/>
        </m:oMathParaPr>
        <m:oMath>
          <m:sSub>
            <m:e>
              <m:r>
                <m:t>p</m:t>
              </m:r>
            </m:e>
            <m:sub>
              <m:r>
                <m:t>r</m:t>
              </m:r>
            </m:sub>
          </m:sSub>
          <m:d>
            <m:dPr>
              <m:begChr m:val="("/>
              <m:endChr m:val=")"/>
              <m:sepChr m:val=""/>
              <m:grow/>
            </m:dPr>
            <m:e>
              <m:r>
                <m:t>t</m:t>
              </m:r>
              <m:r>
                <m:rPr>
                  <m:sty m:val="p"/>
                </m:rPr>
                <m:t>,</m:t>
              </m:r>
              <m:r>
                <m:t>b</m:t>
              </m:r>
              <m:r>
                <m:rPr>
                  <m:sty m:val="p"/>
                </m:rPr>
                <m:t>,</m:t>
              </m:r>
              <m:r>
                <m:t>κ</m:t>
              </m:r>
            </m:e>
          </m:d>
          <m:r>
            <m:rPr>
              <m:sty m:val="p"/>
            </m:rPr>
            <m:t>=</m:t>
          </m:r>
          <m:sSubSup>
            <m:e>
              <m:r>
                <m:rPr>
                  <m:sty m:val="p"/>
                  <m:scr m:val="double-struck"/>
                </m:rPr>
                <m:t>E</m:t>
              </m:r>
            </m:e>
            <m:sub>
              <m:r>
                <m:t>r</m:t>
              </m:r>
              <m:r>
                <m:rPr>
                  <m:sty m:val="p"/>
                </m:rPr>
                <m:t>,</m:t>
              </m:r>
              <m:r>
                <m:t>t</m:t>
              </m:r>
              <m:r>
                <m:rPr>
                  <m:sty m:val="p"/>
                </m:rPr>
                <m:t>,</m:t>
              </m:r>
              <m:r>
                <m:t>b</m:t>
              </m:r>
              <m:r>
                <m:rPr>
                  <m:sty m:val="p"/>
                </m:rPr>
                <m:t>,</m:t>
              </m:r>
              <m:r>
                <m:t>κ</m:t>
              </m:r>
            </m:sub>
            <m:sup>
              <m:r>
                <m:t>M</m:t>
              </m:r>
              <m:r>
                <m:t>S</m:t>
              </m:r>
            </m:sup>
          </m:sSubSup>
          <m:d>
            <m:dPr>
              <m:begChr m:val="["/>
              <m:endChr m:val="]"/>
              <m:sepChr m:val=""/>
              <m:grow/>
            </m:dPr>
            <m:e>
              <m:r>
                <m:rPr>
                  <m:sty m:val="p"/>
                  <m:scr m:val="fraktur"/>
                </m:rPr>
                <m:t>e</m:t>
              </m:r>
              <m:d>
                <m:dPr>
                  <m:begChr m:val="("/>
                  <m:endChr m:val=")"/>
                  <m:sepChr m:val=""/>
                  <m:grow/>
                </m:dPr>
                <m:e>
                  <m:r>
                    <m:t>f</m:t>
                  </m:r>
                  <m:r>
                    <m:rPr>
                      <m:sty m:val="p"/>
                    </m:rPr>
                    <m:t>;</m:t>
                  </m:r>
                  <m:r>
                    <m:t>M</m:t>
                  </m:r>
                  <m:r>
                    <m:rPr>
                      <m:sty m:val="p"/>
                    </m:rPr>
                    <m:t>,</m:t>
                  </m:r>
                  <m:r>
                    <m:t>S</m:t>
                  </m:r>
                </m:e>
              </m:d>
            </m:e>
          </m:d>
          <m:r>
            <m:rPr>
              <m:sty m:val="p"/>
            </m:rPr>
            <m:t>.</m:t>
          </m:r>
        </m:oMath>
      </m:oMathPara>
    </w:p>
    <w:p>
      <w:pPr>
        <w:pStyle w:val="FirstParagraph"/>
      </w:pPr>
      <w:r>
        <w:t xml:space="preserve">Thus</w:t>
      </w:r>
    </w:p>
    <w:p>
      <w:pPr>
        <w:pStyle w:val="BodyText"/>
      </w:pPr>
      <m:oMathPara>
        <m:oMathParaPr>
          <m:jc m:val="center"/>
        </m:oMathParaPr>
        <m:oMath>
          <m:sSubSup>
            <m:e>
              <m:r>
                <m:rPr>
                  <m:sty m:val="p"/>
                  <m:scr m:val="script"/>
                </m:rPr>
                <m:t>K</m:t>
              </m:r>
            </m:e>
            <m:sub>
              <m:r>
                <m:t>r</m:t>
              </m:r>
            </m:sub>
            <m:sup>
              <m:r>
                <m:rPr>
                  <m:sty m:val="p"/>
                </m:rPr>
                <m:t>s</m:t>
              </m:r>
              <m:r>
                <m:rPr>
                  <m:sty m:val="p"/>
                </m:rPr>
                <m:t>e</m:t>
              </m:r>
              <m:r>
                <m:rPr>
                  <m:sty m:val="p"/>
                </m:rPr>
                <m:t>l</m:t>
              </m:r>
            </m:sup>
          </m:sSubSup>
          <m:r>
            <m:rPr>
              <m:sty m:val="p"/>
            </m:rPr>
            <m:t>=</m:t>
          </m:r>
          <m:sSub>
            <m:e>
              <m:r>
                <m:t>p</m:t>
              </m:r>
            </m:e>
            <m:sub>
              <m:r>
                <m:t>r</m:t>
              </m:r>
            </m:sub>
          </m:sSub>
          <m:sSubSup>
            <m:e>
              <m:r>
                <m:rPr>
                  <m:sty m:val="p"/>
                  <m:scr m:val="script"/>
                </m:rPr>
                <m:t>K</m:t>
              </m:r>
            </m:e>
            <m:sub>
              <m:r>
                <m:t>r</m:t>
              </m:r>
            </m:sub>
            <m:sup>
              <m:r>
                <m:rPr>
                  <m:sty m:val="p"/>
                </m:rPr>
                <m:t>a</m:t>
              </m:r>
              <m:r>
                <m:rPr>
                  <m:sty m:val="p"/>
                </m:rPr>
                <m:t>l</m:t>
              </m:r>
              <m:r>
                <m:rPr>
                  <m:sty m:val="p"/>
                </m:rPr>
                <m:t>l</m:t>
              </m:r>
            </m:sup>
          </m:sSubSup>
          <m:r>
            <m:rPr>
              <m:sty m:val="p"/>
            </m:rPr>
            <m:t>.</m:t>
          </m:r>
        </m:oMath>
      </m:oMathPara>
    </w:p>
    <w:p>
      <w:pPr>
        <w:pStyle w:val="FirstParagraph"/>
      </w:pPr>
      <w:r>
        <w:t xml:space="preserve">The revised construction characterizes the mark by a countable family of connectivity tests in the open superlevel sets immediately above and below</w:t>
      </w:r>
      <w:r>
        <w:t xml:space="preserve"> </w:t>
      </w:r>
      <m:oMath>
        <m:r>
          <m:t>f</m:t>
        </m:r>
        <m:d>
          <m:dPr>
            <m:begChr m:val="("/>
            <m:endChr m:val=")"/>
            <m:sepChr m:val=""/>
            <m:grow/>
          </m:dPr>
          <m:e>
            <m:r>
              <m:t>S</m:t>
            </m:r>
          </m:e>
        </m:d>
      </m:oMath>
      <w:r>
        <w:t xml:space="preserve">. A reviewer should check its equivalence with the finite elder pairing via the Morse deformation lemma and local index-two handle model.</w:t>
      </w:r>
    </w:p>
    <w:bookmarkEnd w:id="39"/>
    <w:bookmarkStart w:id="42" w:name="separate-nearfar-pair-contribution"/>
    <w:p>
      <w:pPr>
        <w:pStyle w:val="Heading1"/>
        <w:keepNext/>
      </w:pPr>
      <w:r>
        <w:t xml:space="preserve">7. Separate near/far pair contribution</w:t>
      </w:r>
    </w:p>
    <w:bookmarkStart w:id="40" w:name="the-distinction"/>
    <w:p>
      <w:pPr>
        <w:pStyle w:val="Heading2"/>
        <w:keepNext/>
      </w:pPr>
      <w:r>
        <w:t xml:space="preserve">7.1 The distinction</w:t>
      </w:r>
    </w:p>
    <w:p>
      <w:pPr>
        <w:pStyle w:val="FirstParagraph"/>
      </w:pPr>
      <w:r>
        <w:t xml:space="preserve">The technical appendix’s object</w:t>
      </w:r>
      <w:r>
        <w:t xml:space="preserve"> </w:t>
      </w:r>
      <m:oMath>
        <m:sSub>
          <m:e>
            <m:r>
              <m:t>N</m:t>
            </m:r>
          </m:e>
          <m:sub>
            <m:r>
              <m:rPr>
                <m:sty m:val="p"/>
              </m:rPr>
              <m:t>f</m:t>
            </m:r>
            <m:r>
              <m:rPr>
                <m:sty m:val="p"/>
              </m:rPr>
              <m:t>a</m:t>
            </m:r>
            <m:r>
              <m:rPr>
                <m:sty m:val="p"/>
              </m:rPr>
              <m:t>r</m:t>
            </m:r>
          </m:sub>
        </m:sSub>
      </m:oMath>
      <w:r>
        <w:t xml:space="preserve"> </w:t>
      </w:r>
      <w:r>
        <w:t xml:space="preserve">counts a remote third-critical-point witness conditional on an already specified near maximum–saddle contact. It helps bound failure of local elder selection. It does not bound the contribution of actual elder-paired maximum–saddle pairs whose own separation is bounded away from zero.</w:t>
      </w:r>
    </w:p>
    <w:p>
      <w:pPr>
        <w:pStyle w:val="BodyText"/>
      </w:pPr>
      <w:r>
        <w:t xml:space="preserve">The full density should be decomposed as</w:t>
      </w:r>
    </w:p>
    <w:p>
      <w:pPr>
        <w:pStyle w:val="BodyText"/>
      </w:pPr>
      <m:oMathPara>
        <m:oMathParaPr>
          <m:jc m:val="center"/>
        </m:oMathParaPr>
        <m:oMath>
          <m:sSub>
            <m:e>
              <m:r>
                <m:t>ν</m:t>
              </m:r>
            </m:e>
            <m:sub>
              <m:r>
                <m:t>3</m:t>
              </m:r>
              <m:r>
                <m:rPr>
                  <m:sty m:val="p"/>
                </m:rPr>
                <m:t>,</m:t>
              </m:r>
              <m:r>
                <m:t>24</m:t>
              </m:r>
            </m:sub>
          </m:sSub>
          <m:d>
            <m:dPr>
              <m:begChr m:val="("/>
              <m:endChr m:val=")"/>
              <m:sepChr m:val=""/>
              <m:grow/>
            </m:dPr>
            <m:e>
              <m:r>
                <m:rPr>
                  <m:sty m:val="p"/>
                </m:rPr>
                <m:t>ℓ</m:t>
              </m:r>
            </m:e>
          </m:d>
          <m:r>
            <m:rPr>
              <m:sty m:val="p"/>
            </m:rPr>
            <m:t>=</m:t>
          </m:r>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rPr>
              <m:sty m:val="p"/>
            </m:rPr>
            <m:t>+</m:t>
          </m:r>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m:t>
          </m:r>
        </m:oMath>
      </m:oMathPara>
    </w:p>
    <w:bookmarkEnd w:id="40"/>
    <w:bookmarkStart w:id="41" w:name="X4e036acb904e2b58baece04fbfc0e89b9e24221"/>
    <w:p>
      <w:pPr>
        <w:pStyle w:val="Heading2"/>
        <w:keepNext/>
      </w:pPr>
      <w:r>
        <w:t xml:space="preserve">7.2 Off-diagonal lemma inserted in the revision</w:t>
      </w:r>
    </w:p>
    <w:p>
      <w:pPr>
        <w:pStyle w:val="FirstParagraph"/>
      </w:pPr>
      <w:r>
        <w:t xml:space="preserve">For fixed</w:t>
      </w:r>
      <w:r>
        <w:t xml:space="preserve"> </w:t>
      </w:r>
      <m:oMath>
        <m:r>
          <m:t>0</m:t>
        </m:r>
        <m:r>
          <m:rPr>
            <m:sty m:val="p"/>
          </m:rPr>
          <m:t>&lt;</m:t>
        </m:r>
        <m:r>
          <m:t>ρ</m:t>
        </m:r>
        <m:r>
          <m:rPr>
            <m:sty m:val="p"/>
          </m:rPr>
          <m:t>&lt;</m:t>
        </m:r>
        <m:r>
          <m:t>12</m:t>
        </m:r>
      </m:oMath>
      <w:r>
        <w:t xml:space="preserve">, define</w:t>
      </w:r>
    </w:p>
    <w:p>
      <w:pPr>
        <w:pStyle w:val="BodyText"/>
      </w:pPr>
      <m:oMathPara>
        <m:oMathParaPr>
          <m:jc m:val="center"/>
        </m:oMathParaPr>
        <m:oMath>
          <m:sSub>
            <m:e>
              <m:r>
                <m:t>D</m:t>
              </m:r>
            </m:e>
            <m:sub>
              <m:r>
                <m:t>ρ</m:t>
              </m:r>
            </m:sub>
          </m:sSub>
          <m:r>
            <m:rPr>
              <m:sty m:val="p"/>
            </m:rPr>
            <m:t>=</m:t>
          </m:r>
          <m:r>
            <m:rPr>
              <m:sty m:val="p"/>
            </m:rPr>
            <m:t>{</m:t>
          </m:r>
          <m:d>
            <m:dPr>
              <m:begChr m:val="("/>
              <m:endChr m:val=")"/>
              <m:sepChr m:val=""/>
              <m:grow/>
            </m:dPr>
            <m:e>
              <m:r>
                <m:t>x</m:t>
              </m:r>
              <m:r>
                <m:rPr>
                  <m:sty m:val="p"/>
                </m:rPr>
                <m:t>,</m:t>
              </m:r>
              <m:r>
                <m:t>y</m:t>
              </m:r>
            </m:e>
          </m:d>
          <m:r>
            <m:rPr>
              <m:sty m:val="p"/>
            </m:rPr>
            <m:t>∈</m:t>
          </m:r>
          <m:sSup>
            <m:e>
              <m:d>
                <m:dPr>
                  <m:begChr m:val="("/>
                  <m:endChr m:val=")"/>
                  <m:sepChr m:val=""/>
                  <m:grow/>
                </m:dPr>
                <m:e>
                  <m:sSubSup>
                    <m:e>
                      <m:r>
                        <m:rPr>
                          <m:sty m:val="p"/>
                          <m:scr m:val="double-struck"/>
                        </m:rPr>
                        <m:t>T</m:t>
                      </m:r>
                    </m:e>
                    <m:sub>
                      <m:r>
                        <m:t>24</m:t>
                      </m:r>
                    </m:sub>
                    <m:sup>
                      <m:r>
                        <m:t>3</m:t>
                      </m:r>
                    </m:sup>
                  </m:sSubSup>
                </m:e>
              </m:d>
            </m:e>
            <m:sup>
              <m:r>
                <m:t>2</m:t>
              </m:r>
            </m:sup>
          </m:sSup>
          <m:r>
            <m:rPr>
              <m:sty m:val="p"/>
            </m:rPr>
            <m:t>:</m:t>
          </m:r>
          <m:r>
            <m:t>d</m:t>
          </m:r>
          <m:d>
            <m:dPr>
              <m:begChr m:val="("/>
              <m:endChr m:val=")"/>
              <m:sepChr m:val=""/>
              <m:grow/>
            </m:dPr>
            <m:e>
              <m:r>
                <m:t>x</m:t>
              </m:r>
              <m:r>
                <m:rPr>
                  <m:sty m:val="p"/>
                </m:rPr>
                <m:t>,</m:t>
              </m:r>
              <m:r>
                <m:t>y</m:t>
              </m:r>
            </m:e>
          </m:d>
          <m:r>
            <m:rPr>
              <m:sty m:val="p"/>
            </m:rPr>
            <m:t>≥</m:t>
          </m:r>
          <m:r>
            <m:t>ρ</m:t>
          </m:r>
          <m:r>
            <m:rPr>
              <m:sty m:val="p"/>
            </m:rPr>
            <m:t>}</m:t>
          </m:r>
          <m:r>
            <m:rPr>
              <m:sty m:val="p"/>
            </m:rPr>
            <m:t>.</m:t>
          </m:r>
        </m:oMath>
      </m:oMathPara>
    </w:p>
    <w:p>
      <w:pPr>
        <w:pStyle w:val="FirstParagraph"/>
      </w:pPr>
      <w:r>
        <w:t xml:space="preserve">Lemma 3.5b of the revised manuscript states:</w:t>
      </w:r>
    </w:p>
    <w:p>
      <w:pPr>
        <w:pStyle w:val="BlockText"/>
      </w:pPr>
      <w:r>
        <w:t xml:space="preserve">For each finite</w:t>
      </w:r>
      <w:r>
        <w:t xml:space="preserve"> </w:t>
      </w:r>
      <m:oMath>
        <m:sSub>
          <m:e>
            <m:r>
              <m:rPr>
                <m:sty m:val="p"/>
              </m:rPr>
              <m:t>ℓ</m:t>
            </m:r>
          </m:e>
          <m:sub>
            <m:r>
              <m:t>0</m:t>
            </m:r>
          </m:sub>
        </m:sSub>
      </m:oMath>
      <w:r>
        <w:t xml:space="preserve">, the off-diagonal elder-pair lifetime density satisfies</w:t>
      </w:r>
      <w:r>
        <w:t xml:space="preserve"> </w:t>
      </w:r>
      <m:oMath>
        <m:sSub>
          <m:e>
            <m:r>
              <m:rPr>
                <m:sty m:val="p"/>
              </m:rPr>
              <m:t>sup</m:t>
            </m:r>
          </m:e>
          <m:sub>
            <m:r>
              <m:t>0</m:t>
            </m:r>
            <m:r>
              <m:rPr>
                <m:sty m:val="p"/>
              </m:rPr>
              <m:t>&lt;</m:t>
            </m:r>
            <m:r>
              <m:rPr>
                <m:sty m:val="p"/>
              </m:rPr>
              <m:t>ℓ</m:t>
            </m:r>
            <m:r>
              <m:rPr>
                <m:sty m:val="p"/>
              </m:rPr>
              <m:t>≤</m:t>
            </m:r>
            <m:sSub>
              <m:e>
                <m:r>
                  <m:rPr>
                    <m:sty m:val="p"/>
                  </m:rPr>
                  <m:t>ℓ</m:t>
                </m:r>
              </m:e>
              <m:sub>
                <m:r>
                  <m:t>0</m:t>
                </m:r>
              </m:sub>
            </m:sSub>
          </m:sub>
        </m:sSub>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&lt;</m:t>
        </m:r>
        <m:r>
          <m:rPr>
            <m:sty m:val="p"/>
          </m:rPr>
          <m:t>∞</m:t>
        </m:r>
      </m:oMath>
      <w:r>
        <w:t xml:space="preserve">. Hence</w:t>
      </w:r>
      <w:r>
        <w:t xml:space="preserve"> </w:t>
      </w:r>
      <m:oMath>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m:t>
        </m:r>
        <m:r>
          <m:t>o</m:t>
        </m:r>
        <m:d>
          <m:dPr>
            <m:begChr m:val="("/>
            <m:endChr m:val=")"/>
            <m:sepChr m:val=""/>
            <m:grow/>
          </m:dPr>
          <m:e>
            <m:sSup>
              <m:e>
                <m:r>
                  <m:rPr>
                    <m:sty m:val="p"/>
                  </m:rPr>
                  <m:t>ℓ</m:t>
                </m:r>
              </m:e>
              <m:sup>
                <m:r>
                  <m:rPr>
                    <m:sty m:val="p"/>
                  </m:rPr>
                  <m:t>−</m:t>
                </m:r>
                <m:r>
                  <m:t>1</m:t>
                </m:r>
                <m:r>
                  <m:rPr>
                    <m:sty m:val="p"/>
                  </m:rPr>
                  <m:t>/</m:t>
                </m:r>
                <m:r>
                  <m:t>3</m:t>
                </m:r>
              </m:sup>
            </m:sSup>
          </m:e>
        </m:d>
      </m:oMath>
      <w:r>
        <w:t xml:space="preserve">.</w:t>
      </w:r>
    </w:p>
    <w:p>
      <w:pPr>
        <w:pStyle w:val="FirstParagraph"/>
      </w:pPr>
      <w:r>
        <w:t xml:space="preserve">The proof uses marked two-point Kac–Rice with</w:t>
      </w:r>
    </w:p>
    <w:p>
      <w:pPr>
        <w:pStyle w:val="BodyText"/>
      </w:pPr>
      <m:oMathPara>
        <m:oMathParaPr>
          <m:jc m:val="center"/>
        </m:oMathParaPr>
        <m:oMath>
          <m:sSub>
            <m:e>
              <m:r>
                <m:t>Ξ</m:t>
              </m:r>
            </m:e>
            <m:sub>
              <m:r>
                <m:t>x</m:t>
              </m:r>
              <m:r>
                <m:rPr>
                  <m:sty m:val="p"/>
                </m:rPr>
                <m:t>,</m:t>
              </m:r>
              <m:r>
                <m:t>y</m:t>
              </m:r>
            </m:sub>
          </m:sSub>
          <m:r>
            <m:rPr>
              <m:sty m:val="p"/>
            </m:rPr>
            <m:t>=</m:t>
          </m:r>
          <m:d>
            <m:dPr>
              <m:begChr m:val="("/>
              <m:endChr m:val=")"/>
              <m:sepChr m:val=""/>
              <m:grow/>
            </m:dPr>
            <m:e>
              <m:r>
                <m:t>f</m:t>
              </m:r>
              <m:d>
                <m:dPr>
                  <m:begChr m:val="("/>
                  <m:endChr m:val=")"/>
                  <m:sepChr m:val=""/>
                  <m:grow/>
                </m:dPr>
                <m:e>
                  <m:r>
                    <m:t>x</m:t>
                  </m:r>
                </m:e>
              </m:d>
              <m:r>
                <m:rPr>
                  <m:sty m:val="p"/>
                </m:rPr>
                <m:t>,</m:t>
              </m:r>
              <m:r>
                <m:t>f</m:t>
              </m:r>
              <m:d>
                <m:dPr>
                  <m:begChr m:val="("/>
                  <m:endChr m:val=")"/>
                  <m:sepChr m:val=""/>
                  <m:grow/>
                </m:dPr>
                <m:e>
                  <m:r>
                    <m:t>y</m:t>
                  </m:r>
                </m:e>
              </m:d>
              <m:r>
                <m:rPr>
                  <m:sty m:val="p"/>
                </m:rPr>
                <m:t>,</m:t>
              </m:r>
              <m:r>
                <m:rPr>
                  <m:sty m:val="p"/>
                </m:rPr>
                <m:t>∇</m:t>
              </m:r>
              <m:r>
                <m:t>f</m:t>
              </m:r>
              <m:d>
                <m:dPr>
                  <m:begChr m:val="("/>
                  <m:endChr m:val=")"/>
                  <m:sepChr m:val=""/>
                  <m:grow/>
                </m:dPr>
                <m:e>
                  <m:r>
                    <m:t>x</m:t>
                  </m:r>
                </m:e>
              </m:d>
              <m:r>
                <m:rPr>
                  <m:sty m:val="p"/>
                </m:rPr>
                <m:t>,</m:t>
              </m:r>
              <m:r>
                <m:rPr>
                  <m:sty m:val="p"/>
                </m:rPr>
                <m:t>∇</m:t>
              </m:r>
              <m:r>
                <m:t>f</m:t>
              </m:r>
              <m:d>
                <m:dPr>
                  <m:begChr m:val="("/>
                  <m:endChr m:val=")"/>
                  <m:sepChr m:val=""/>
                  <m:grow/>
                </m:dPr>
                <m:e>
                  <m:r>
                    <m:t>y</m:t>
                  </m:r>
                </m:e>
              </m:d>
            </m:e>
          </m:d>
          <m:r>
            <m:rPr>
              <m:sty m:val="p"/>
            </m:rPr>
            <m:t>.</m:t>
          </m:r>
        </m:oMath>
      </m:oMathPara>
    </w:p>
    <w:p>
      <w:pPr>
        <w:pStyle w:val="FirstParagraph"/>
      </w:pPr>
      <w:r>
        <w:t xml:space="preserve">Complete positive Fourier support makes</w:t>
      </w:r>
      <w:r>
        <w:t xml:space="preserve"> </w:t>
      </w:r>
      <m:oMath>
        <m:sSub>
          <m:e>
            <m:r>
              <m:t>Ξ</m:t>
            </m:r>
          </m:e>
          <m:sub>
            <m:r>
              <m:t>x</m:t>
            </m:r>
            <m:r>
              <m:rPr>
                <m:sty m:val="p"/>
              </m:rPr>
              <m:t>,</m:t>
            </m:r>
            <m:r>
              <m:t>y</m:t>
            </m:r>
          </m:sub>
        </m:sSub>
      </m:oMath>
      <w:r>
        <w:t xml:space="preserve"> </w:t>
      </w:r>
      <w:r>
        <w:t xml:space="preserve">nondegenerate for</w:t>
      </w:r>
      <w:r>
        <w:t xml:space="preserve"> </w:t>
      </w:r>
      <m:oMath>
        <m:r>
          <m:t>x</m:t>
        </m:r>
        <m:r>
          <m:rPr>
            <m:sty m:val="p"/>
          </m:rPr>
          <m:t>≠</m:t>
        </m:r>
        <m:r>
          <m:t>y</m:t>
        </m:r>
      </m:oMath>
      <w:r>
        <w:t xml:space="preserve">, and compactness of</w:t>
      </w:r>
      <w:r>
        <w:t xml:space="preserve"> </w:t>
      </w:r>
      <m:oMath>
        <m:sSub>
          <m:e>
            <m:r>
              <m:t>D</m:t>
            </m:r>
          </m:e>
          <m:sub>
            <m:r>
              <m:t>ρ</m:t>
            </m:r>
          </m:sub>
        </m:sSub>
      </m:oMath>
      <w:r>
        <w:t xml:space="preserve"> </w:t>
      </w:r>
      <w:r>
        <w:t xml:space="preserve">gives uniform covariance bounds. Conditional Hessian means are affine in</w:t>
      </w:r>
      <w:r>
        <w:t xml:space="preserve"> </w:t>
      </w:r>
      <m:oMath>
        <m:d>
          <m:dPr>
            <m:begChr m:val="("/>
            <m:endChr m:val=")"/>
            <m:sepChr m:val=""/>
            <m:grow/>
          </m:dPr>
          <m:e>
            <m:r>
              <m:t>b</m:t>
            </m:r>
            <m:r>
              <m:rPr>
                <m:sty m:val="p"/>
              </m:rPr>
              <m:t>,</m:t>
            </m:r>
            <m:r>
              <m:t>b</m:t>
            </m:r>
            <m:r>
              <m:rPr>
                <m:sty m:val="p"/>
              </m:rPr>
              <m:t>−</m:t>
            </m:r>
            <m:r>
              <m:rPr>
                <m:sty m:val="p"/>
              </m:rPr>
              <m:t>ℓ</m:t>
            </m:r>
          </m:e>
        </m:d>
      </m:oMath>
      <w:r>
        <w:t xml:space="preserve">, conditional covariances are uniformly bounded, and the elder mark is at most one. A Gaussian regression bound of the form</w:t>
      </w:r>
    </w:p>
    <w:p>
      <w:pPr>
        <w:pStyle w:val="BodyText"/>
      </w:pPr>
      <m:oMathPara>
        <m:oMathParaPr>
          <m:jc m:val="center"/>
        </m:oMathParaPr>
        <m:oMath>
          <m:sSub>
            <m:e>
              <m:r>
                <m:t>C</m:t>
              </m:r>
            </m:e>
            <m:sub>
              <m:r>
                <m:t>ρ</m:t>
              </m:r>
            </m:sub>
          </m:sSub>
          <m:sSup>
            <m:e>
              <m:d>
                <m:dPr>
                  <m:begChr m:val="("/>
                  <m:endChr m:val=")"/>
                  <m:sepChr m:val=""/>
                  <m:grow/>
                </m:dPr>
                <m:e>
                  <m:r>
                    <m:t>1</m:t>
                  </m:r>
                  <m:r>
                    <m:rPr>
                      <m:sty m:val="p"/>
                    </m:rPr>
                    <m:t>+</m:t>
                  </m:r>
                  <m:d>
                    <m:dPr>
                      <m:begChr m:val="|"/>
                      <m:endChr m:val="|"/>
                      <m:sepChr m:val=""/>
                      <m:grow/>
                    </m:dPr>
                    <m:e>
                      <m:r>
                        <m:t>b</m:t>
                      </m:r>
                    </m:e>
                  </m:d>
                  <m:r>
                    <m:rPr>
                      <m:sty m:val="p"/>
                    </m:rPr>
                    <m:t>+</m:t>
                  </m:r>
                  <m:sSub>
                    <m:e>
                      <m:r>
                        <m:rPr>
                          <m:sty m:val="p"/>
                        </m:rPr>
                        <m:t>ℓ</m:t>
                      </m:r>
                    </m:e>
                    <m:sub>
                      <m:r>
                        <m:t>0</m:t>
                      </m:r>
                    </m:sub>
                  </m:sSub>
                </m:e>
              </m:d>
            </m:e>
            <m:sup>
              <m:r>
                <m:t>N</m:t>
              </m:r>
            </m:sup>
          </m:sSup>
          <m:sSup>
            <m:e>
              <m:r>
                <m:t>e</m:t>
              </m:r>
            </m:e>
            <m:sup>
              <m:r>
                <m:rPr>
                  <m:sty m:val="p"/>
                </m:rPr>
                <m:t>−</m:t>
              </m:r>
              <m:sSub>
                <m:e>
                  <m:r>
                    <m:t>c</m:t>
                  </m:r>
                </m:e>
                <m:sub>
                  <m:r>
                    <m:t>ρ</m:t>
                  </m:r>
                </m:sub>
              </m:sSub>
              <m:sSup>
                <m:e>
                  <m:r>
                    <m:t>b</m:t>
                  </m:r>
                </m:e>
                <m:sup>
                  <m:r>
                    <m:t>2</m:t>
                  </m:r>
                </m:sup>
              </m:sSup>
            </m:sup>
          </m:sSup>
        </m:oMath>
      </m:oMathPara>
    </w:p>
    <w:p>
      <w:pPr>
        <w:pStyle w:val="FirstParagraph"/>
      </w:pPr>
      <w:r>
        <w:t xml:space="preserve">is integrable in</w:t>
      </w:r>
      <w:r>
        <w:t xml:space="preserve"> </w:t>
      </w:r>
      <m:oMath>
        <m:r>
          <m:t>b</m:t>
        </m:r>
      </m:oMath>
      <w:r>
        <w:t xml:space="preserve">, while</w:t>
      </w:r>
      <w:r>
        <w:t xml:space="preserve"> </w:t>
      </w:r>
      <m:oMath>
        <m:sSub>
          <m:e>
            <m:r>
              <m:t>D</m:t>
            </m:r>
          </m:e>
          <m:sub>
            <m:r>
              <m:t>ρ</m:t>
            </m:r>
          </m:sub>
        </m:sSub>
      </m:oMath>
      <w:r>
        <w:t xml:space="preserve"> </w:t>
      </w:r>
      <w:r>
        <w:t xml:space="preserve">has finite volume. This yields a uniform</w:t>
      </w:r>
      <w:r>
        <w:t xml:space="preserve"> </w:t>
      </w:r>
      <m:oMath>
        <m:r>
          <m:t>O</m:t>
        </m:r>
        <m:d>
          <m:dPr>
            <m:begChr m:val="("/>
            <m:endChr m:val=")"/>
            <m:sepChr m:val=""/>
            <m:grow/>
          </m:dPr>
          <m:e>
            <m:r>
              <m:t>1</m:t>
            </m:r>
          </m:e>
        </m:d>
      </m:oMath>
      <w:r>
        <w:t xml:space="preserve"> </w:t>
      </w:r>
      <w:r>
        <w:t xml:space="preserve">bound.</w:t>
      </w:r>
    </w:p>
    <w:p>
      <w:pPr>
        <w:pStyle w:val="BodyText"/>
      </w:pPr>
      <w:r>
        <w:t xml:space="preserve">The lemma is newly inserted and should be checked, but it is now separate from the remote-witness estimate used inside the selection argument.</w:t>
      </w:r>
    </w:p>
    <w:bookmarkEnd w:id="41"/>
    <w:bookmarkEnd w:id="42"/>
    <w:bookmarkStart w:id="46" w:name="Xf33c1c5dd832832f9ec8eb65e284d72700a06ab"/>
    <w:p>
      <w:pPr>
        <w:pStyle w:val="Heading1"/>
        <w:keepNext/>
      </w:pPr>
      <w:r>
        <w:t xml:space="preserve">8. Elder selection and deterministic dynamics</w:t>
      </w:r>
    </w:p>
    <w:bookmarkStart w:id="43" w:name="claimed-probabilistic-structure"/>
    <w:p>
      <w:pPr>
        <w:pStyle w:val="Heading2"/>
        <w:keepNext/>
      </w:pPr>
      <w:r>
        <w:t xml:space="preserve">8.1 Claimed probabilistic structure</w:t>
      </w:r>
    </w:p>
    <w:p>
      <w:pPr>
        <w:pStyle w:val="FirstParagraph"/>
      </w:pPr>
      <w:r>
        <w:t xml:space="preserve">The proof divides selection failures into local collar witnesses, singular-near witnesses, fixed-distance witnesses, or same-maximum self-attachment. The stated covariance factorizations are</w:t>
      </w:r>
    </w:p>
    <w:p>
      <w:pPr>
        <w:pStyle w:val="BodyText"/>
      </w:pPr>
      <m:oMathPara>
        <m:oMathParaPr>
          <m:jc m:val="center"/>
        </m:oMathParaPr>
        <m:oMath>
          <m:r>
            <m:rPr>
              <m:sty m:val="p"/>
            </m:rPr>
            <m:t>det</m:t>
          </m:r>
          <m:sSub>
            <m:e>
              <m:r>
                <m:t>C</m:t>
              </m:r>
            </m:e>
            <m:sub>
              <m:r>
                <m:rPr>
                  <m:sty m:val="p"/>
                </m:rPr>
                <m:t>c</m:t>
              </m:r>
              <m:r>
                <m:rPr>
                  <m:sty m:val="p"/>
                </m:rPr>
                <m:t>o</m:t>
              </m:r>
              <m:r>
                <m:rPr>
                  <m:sty m:val="p"/>
                </m:rPr>
                <m:t>l</m:t>
              </m:r>
            </m:sub>
          </m:sSub>
          <m:r>
            <m:rPr>
              <m:sty m:val="p"/>
            </m:rPr>
            <m:t>=</m:t>
          </m:r>
          <m:sSup>
            <m:e>
              <m:r>
                <m:t>ρ</m:t>
              </m:r>
            </m:e>
            <m:sup>
              <m:r>
                <m:t>6</m:t>
              </m:r>
            </m:sup>
          </m:sSup>
          <m:d>
            <m:dPr>
              <m:begChr m:val="("/>
              <m:endChr m:val=")"/>
              <m:sepChr m:val=""/>
              <m:grow/>
            </m:dPr>
            <m:e>
              <m:sSup>
                <m:e>
                  <m:r>
                    <m:t>X</m:t>
                  </m:r>
                </m:e>
                <m:sup>
                  <m:r>
                    <m:t>2</m:t>
                  </m:r>
                </m:sup>
              </m:sSup>
              <m:r>
                <m:rPr>
                  <m:sty m:val="p"/>
                </m:rPr>
                <m:t>+</m:t>
              </m:r>
              <m:sSup>
                <m:e>
                  <m:r>
                    <m:t>ρ</m:t>
                  </m:r>
                </m:e>
                <m:sup>
                  <m:r>
                    <m:t>2</m:t>
                  </m:r>
                </m:sup>
              </m:sSup>
            </m:e>
          </m:d>
          <m:sSub>
            <m:e>
              <m:r>
                <m:t>A</m:t>
              </m:r>
            </m:e>
            <m:sub>
              <m:r>
                <m:rPr>
                  <m:sty m:val="p"/>
                </m:rPr>
                <m:t>c</m:t>
              </m:r>
              <m:r>
                <m:rPr>
                  <m:sty m:val="p"/>
                </m:rPr>
                <m:t>o</m:t>
              </m:r>
              <m:r>
                <m:rPr>
                  <m:sty m:val="p"/>
                </m:rPr>
                <m:t>l</m:t>
              </m:r>
            </m:sub>
          </m:sSub>
          <m:r>
            <m:rPr>
              <m:sty m:val="p"/>
            </m:rPr>
            <m:t>,</m:t>
          </m:r>
          <m:r>
            <m:t>  </m:t>
          </m:r>
          <m:sSub>
            <m:e>
              <m:r>
                <m:t>A</m:t>
              </m:r>
            </m:e>
            <m:sub>
              <m:r>
                <m:rPr>
                  <m:sty m:val="p"/>
                </m:rPr>
                <m:t>c</m:t>
              </m:r>
              <m:r>
                <m:rPr>
                  <m:sty m:val="p"/>
                </m:rPr>
                <m:t>o</m:t>
              </m:r>
              <m:r>
                <m:rPr>
                  <m:sty m:val="p"/>
                </m:rPr>
                <m:t>l</m:t>
              </m:r>
            </m:sub>
          </m:sSub>
          <m:r>
            <m:rPr>
              <m:sty m:val="p"/>
            </m:rPr>
            <m:t>&gt;</m:t>
          </m:r>
          <m:r>
            <m:t>0</m:t>
          </m:r>
          <m:r>
            <m:rPr>
              <m:sty m:val="p"/>
            </m:rPr>
            <m:t>,</m:t>
          </m:r>
        </m:oMath>
      </m:oMathPara>
    </w:p>
    <w:p>
      <w:pPr>
        <w:pStyle w:val="FirstParagraph"/>
      </w:pPr>
      <w:r>
        <w:t xml:space="preserve">and</w:t>
      </w:r>
    </w:p>
    <w:p>
      <w:pPr>
        <w:pStyle w:val="BodyText"/>
      </w:pPr>
      <m:oMathPara>
        <m:oMathParaPr>
          <m:jc m:val="center"/>
        </m:oMathParaPr>
        <m:oMath>
          <m:r>
            <m:rPr>
              <m:sty m:val="p"/>
            </m:rPr>
            <m:t>det</m:t>
          </m:r>
          <m:sSub>
            <m:e>
              <m:r>
                <m:t>C</m:t>
              </m:r>
            </m:e>
            <m:sub>
              <m:r>
                <m:rPr>
                  <m:sty m:val="p"/>
                </m:rPr>
                <m:t>s</m:t>
              </m:r>
              <m:r>
                <m:rPr>
                  <m:sty m:val="p"/>
                </m:rPr>
                <m:t>i</m:t>
              </m:r>
              <m:r>
                <m:rPr>
                  <m:sty m:val="p"/>
                </m:rPr>
                <m:t>n</m:t>
              </m:r>
              <m:r>
                <m:rPr>
                  <m:sty m:val="p"/>
                </m:rPr>
                <m:t>g</m:t>
              </m:r>
            </m:sub>
          </m:sSub>
          <m:r>
            <m:rPr>
              <m:sty m:val="p"/>
            </m:rPr>
            <m:t>=</m:t>
          </m:r>
          <m:sSup>
            <m:e>
              <m:r>
                <m:t>ρ</m:t>
              </m:r>
            </m:e>
            <m:sup>
              <m:r>
                <m:t>10</m:t>
              </m:r>
            </m:sup>
          </m:sSup>
          <m:d>
            <m:dPr>
              <m:begChr m:val="("/>
              <m:endChr m:val=")"/>
              <m:sepChr m:val=""/>
              <m:grow/>
            </m:dPr>
            <m:e>
              <m:r>
                <m:t>3</m:t>
              </m:r>
              <m:sSup>
                <m:e>
                  <m:r>
                    <m:t>c</m:t>
                  </m:r>
                </m:e>
                <m:sup>
                  <m:r>
                    <m:t>2</m:t>
                  </m:r>
                </m:sup>
              </m:sSup>
              <m:r>
                <m:rPr>
                  <m:sty m:val="p"/>
                </m:rPr>
                <m:t>+</m:t>
              </m:r>
              <m:sSup>
                <m:e>
                  <m:r>
                    <m:t>ρ</m:t>
                  </m:r>
                </m:e>
                <m:sup>
                  <m:r>
                    <m:t>2</m:t>
                  </m:r>
                </m:sup>
              </m:sSup>
            </m:e>
          </m:d>
          <m:sSub>
            <m:e>
              <m:r>
                <m:t>A</m:t>
              </m:r>
            </m:e>
            <m:sub>
              <m:r>
                <m:rPr>
                  <m:sty m:val="p"/>
                </m:rPr>
                <m:t>s</m:t>
              </m:r>
              <m:r>
                <m:rPr>
                  <m:sty m:val="p"/>
                </m:rPr>
                <m:t>i</m:t>
              </m:r>
              <m:r>
                <m:rPr>
                  <m:sty m:val="p"/>
                </m:rPr>
                <m:t>n</m:t>
              </m:r>
              <m:r>
                <m:rPr>
                  <m:sty m:val="p"/>
                </m:rPr>
                <m:t>g</m:t>
              </m:r>
            </m:sub>
          </m:sSub>
          <m:r>
            <m:rPr>
              <m:sty m:val="p"/>
            </m:rPr>
            <m:t>,</m:t>
          </m:r>
          <m:r>
            <m:t>  </m:t>
          </m:r>
          <m:sSub>
            <m:e>
              <m:r>
                <m:t>A</m:t>
              </m:r>
            </m:e>
            <m:sub>
              <m:r>
                <m:rPr>
                  <m:sty m:val="p"/>
                </m:rPr>
                <m:t>s</m:t>
              </m:r>
              <m:r>
                <m:rPr>
                  <m:sty m:val="p"/>
                </m:rPr>
                <m:t>i</m:t>
              </m:r>
              <m:r>
                <m:rPr>
                  <m:sty m:val="p"/>
                </m:rPr>
                <m:t>n</m:t>
              </m:r>
              <m:r>
                <m:rPr>
                  <m:sty m:val="p"/>
                </m:rPr>
                <m:t>g</m:t>
              </m:r>
            </m:sub>
          </m:sSub>
          <m:r>
            <m:rPr>
              <m:sty m:val="p"/>
            </m:rPr>
            <m:t>&gt;</m:t>
          </m:r>
          <m:r>
            <m:t>0</m:t>
          </m:r>
          <m:r>
            <m:rPr>
              <m:sty m:val="p"/>
            </m:rPr>
            <m:t>.</m:t>
          </m:r>
        </m:oMath>
      </m:oMathPara>
    </w:p>
    <w:p>
      <w:pPr>
        <w:pStyle w:val="FirstParagraph"/>
      </w:pPr>
      <w:r>
        <w:t xml:space="preserve">Together with an anisotropic triple-determinant envelope</w:t>
      </w:r>
    </w:p>
    <w:p>
      <w:pPr>
        <w:pStyle w:val="BodyText"/>
      </w:pPr>
      <m:oMathPara>
        <m:oMathParaPr>
          <m:jc m:val="center"/>
        </m:oMathParaPr>
        <m:oMath>
          <m:sSup>
            <m:e>
              <m:d>
                <m:dPr>
                  <m:begChr m:val="["/>
                  <m:endChr m:val="]"/>
                  <m:sepChr m:val=""/>
                  <m:grow/>
                </m:dPr>
                <m:e>
                  <m:r>
                    <m:t>r</m:t>
                  </m:r>
                  <m:d>
                    <m:dPr>
                      <m:begChr m:val="("/>
                      <m:endChr m:val=")"/>
                      <m:sepChr m:val=""/>
                      <m:grow/>
                    </m:dPr>
                    <m:e>
                      <m:r>
                        <m:t>r</m:t>
                      </m:r>
                      <m:r>
                        <m:rPr>
                          <m:sty m:val="p"/>
                        </m:rPr>
                        <m:t>+</m:t>
                      </m:r>
                      <m:sSup>
                        <m:e>
                          <m:r>
                            <m:t>s</m:t>
                          </m:r>
                        </m:e>
                        <m:sup>
                          <m:r>
                            <m:t>2</m:t>
                          </m:r>
                        </m:sup>
                      </m:sSup>
                    </m:e>
                  </m:d>
                </m:e>
              </m:d>
            </m:e>
            <m:sup>
              <m:r>
                <m:t>2</m:t>
              </m:r>
            </m:sup>
          </m:sSup>
          <m:d>
            <m:dPr>
              <m:begChr m:val="("/>
              <m:endChr m:val=")"/>
              <m:sepChr m:val=""/>
              <m:grow/>
            </m:dPr>
            <m:e>
              <m:sSup>
                <m:e>
                  <m:r>
                    <m:t>r</m:t>
                  </m:r>
                </m:e>
                <m:sup>
                  <m:r>
                    <m:t>2</m:t>
                  </m:r>
                </m:sup>
              </m:sSup>
              <m:r>
                <m:rPr>
                  <m:sty m:val="p"/>
                </m:rPr>
                <m:t>+</m:t>
              </m:r>
              <m:sSup>
                <m:e>
                  <m:r>
                    <m:t>s</m:t>
                  </m:r>
                </m:e>
                <m:sup>
                  <m:r>
                    <m:t>3</m:t>
                  </m:r>
                </m:sup>
              </m:sSup>
            </m:e>
          </m:d>
          <m:r>
            <m:rPr>
              <m:sty m:val="p"/>
            </m:rPr>
            <m:t>,</m:t>
          </m:r>
        </m:oMath>
      </m:oMathPara>
    </w:p>
    <w:p>
      <w:pPr>
        <w:pStyle w:val="FirstParagraph"/>
      </w:pPr>
      <w:r>
        <w:t xml:space="preserve">these are used to show</w:t>
      </w:r>
      <w:r>
        <w:t xml:space="preserve"> </w:t>
      </w:r>
      <m:oMath>
        <m:r>
          <m:t>O</m:t>
        </m:r>
        <m:d>
          <m:dPr>
            <m:begChr m:val="("/>
            <m:endChr m:val=")"/>
            <m:sepChr m:val=""/>
            <m:grow/>
          </m:dPr>
          <m:e>
            <m:sSup>
              <m:e>
                <m:r>
                  <m:t>r</m:t>
                </m:r>
              </m:e>
              <m:sup>
                <m:r>
                  <m:t>3</m:t>
                </m:r>
              </m:sup>
            </m:sSup>
          </m:e>
        </m:d>
      </m:oMath>
      <w:r>
        <w:t xml:space="preserve"> </w:t>
      </w:r>
      <w:r>
        <w:t xml:space="preserve">Palm witness expectations.</w:t>
      </w:r>
    </w:p>
    <w:bookmarkEnd w:id="43"/>
    <w:bookmarkStart w:id="44" w:name="Xf7a72d3aa25b3d25bb7dc443471698ed0a2c867"/>
    <w:p>
      <w:pPr>
        <w:pStyle w:val="Heading2"/>
        <w:keepNext/>
      </w:pPr>
      <w:r>
        <w:t xml:space="preserve">8.2 Topological exhaustion and the remaining triple-contact issue</w:t>
      </w:r>
    </w:p>
    <w:p>
      <w:pPr>
        <w:pStyle w:val="FirstParagraph"/>
      </w:pPr>
      <w:r>
        <w:t xml:space="preserve">Manuscript Lemma 3.4a now gives a formal component-based exhaustion. Conditional on component adjacency, it separates earlier death of the</w:t>
      </w:r>
      <w:r>
        <w:t xml:space="preserve"> </w:t>
      </w:r>
      <m:oMath>
        <m:r>
          <m:t>M</m:t>
        </m:r>
      </m:oMath>
      <w:r>
        <w:t xml:space="preserve">-class, a same-component handle, and a distinct other component whose representative maximum is younger than</w:t>
      </w:r>
      <w:r>
        <w:t xml:space="preserve"> </w:t>
      </w:r>
      <m:oMath>
        <m:r>
          <m:t>M</m:t>
        </m:r>
      </m:oMath>
      <w:r>
        <w:t xml:space="preserve">. The full inclusion adds adjacency failure and partitions the canonical third witness into a multiple-</w:t>
      </w:r>
      <m:oMath>
        <m:r>
          <m:t>r</m:t>
        </m:r>
      </m:oMath>
      <w:r>
        <w:t xml:space="preserve"> </w:t>
      </w:r>
      <w:r>
        <w:t xml:space="preserve">collar, a near region ending at a fixed</w:t>
      </w:r>
      <w:r>
        <w:t xml:space="preserve"> </w:t>
      </w:r>
      <m:oMath>
        <m:sSub>
          <m:e>
            <m:r>
              <m:t>δ</m:t>
            </m:r>
          </m:e>
          <m:sub>
            <m:r>
              <m:t>0</m:t>
            </m:r>
          </m:sub>
        </m:sSub>
      </m:oMath>
      <w:r>
        <w:t xml:space="preserve">, and a genuinely fixed-distance region. It does not claim that arbitrary witness-existence events are mutually exclusive.</w:t>
      </w:r>
    </w:p>
    <w:p>
      <w:pPr>
        <w:pStyle w:val="BodyText"/>
      </w:pPr>
      <w:r>
        <w:t xml:space="preserve">The remaining load-bearing issue is analytic. The raw appendix invokes a</w:t>
      </w:r>
      <w:r>
        <w:t xml:space="preserve"> </w:t>
      </w:r>
      <w:r>
        <w:t xml:space="preserve">“</w:t>
      </w:r>
      <w:r>
        <w:t xml:space="preserve">universal two-dimensional elimination</w:t>
      </w:r>
      <w:r>
        <w:t xml:space="preserve">”</w:t>
      </w:r>
      <w:r>
        <w:t xml:space="preserve"> </w:t>
      </w:r>
      <w:r>
        <w:t xml:space="preserve">for the triple-Hessian factors without reproducing every finite-</w:t>
      </w:r>
      <m:oMath>
        <m:r>
          <m:t>r</m:t>
        </m:r>
      </m:oMath>
      <w:r>
        <w:t xml:space="preserve"> </w:t>
      </w:r>
      <w:r>
        <w:t xml:space="preserve">boundary chart. The older source containing the development also contains a later false loop reduction and is not safe to forward as operative proof. A clean submission needs a new, isolated derivation of exactly the eliminations used in (8.1)–(8.3), including the joint</w:t>
      </w:r>
      <w:r>
        <w:t xml:space="preserve"> </w:t>
      </w:r>
      <m:oMath>
        <m:d>
          <m:dPr>
            <m:begChr m:val="("/>
            <m:endChr m:val=")"/>
            <m:sepChr m:val=""/>
            <m:grow/>
          </m:dPr>
          <m:e>
            <m:r>
              <m:t>r</m:t>
            </m:r>
            <m:r>
              <m:rPr>
                <m:sty m:val="p"/>
              </m:rPr>
              <m:t>,</m:t>
            </m:r>
            <m:r>
              <m:t>ρ</m:t>
            </m:r>
          </m:e>
        </m:d>
      </m:oMath>
      <w:r>
        <w:t xml:space="preserve"> </w:t>
      </w:r>
      <w:r>
        <w:t xml:space="preserve">and</w:t>
      </w:r>
      <w:r>
        <w:t xml:space="preserve"> </w:t>
      </w:r>
      <m:oMath>
        <m:d>
          <m:dPr>
            <m:begChr m:val="("/>
            <m:endChr m:val=")"/>
            <m:sepChr m:val=""/>
            <m:grow/>
          </m:dPr>
          <m:e>
            <m:r>
              <m:t>s</m:t>
            </m:r>
            <m:r>
              <m:rPr>
                <m:sty m:val="p"/>
              </m:rPr>
              <m:t>,</m:t>
            </m:r>
            <m:r>
              <m:t>ρ</m:t>
            </m:r>
          </m:e>
        </m:d>
      </m:oMath>
      <w:r>
        <w:t xml:space="preserve"> </w:t>
      </w:r>
      <w:r>
        <w:t xml:space="preserve">compactifications and every angular integration.</w:t>
      </w:r>
    </w:p>
    <w:bookmarkEnd w:id="44"/>
    <w:bookmarkStart w:id="45" w:name="energy-adapted-capture-and-escape"/>
    <w:p>
      <w:pPr>
        <w:pStyle w:val="Heading2"/>
        <w:keepNext/>
      </w:pPr>
      <w:r>
        <w:t xml:space="preserve">8.3 Energy-adapted capture and escape</w:t>
      </w:r>
    </w:p>
    <w:p>
      <w:pPr>
        <w:pStyle w:val="FirstParagraph"/>
      </w:pPr>
      <w:r>
        <w:t xml:space="preserve">The current correction scales the transverse matrix as</w:t>
      </w:r>
    </w:p>
    <w:p>
      <w:pPr>
        <w:pStyle w:val="BodyText"/>
      </w:pPr>
      <m:oMathPara>
        <m:oMathParaPr>
          <m:jc m:val="center"/>
        </m:oMathParaPr>
        <m:oMath>
          <m:sSub>
            <m:e>
              <m:r>
                <m:t>T</m:t>
              </m:r>
            </m:e>
            <m:sub>
              <m:r>
                <m:t>r</m:t>
              </m:r>
            </m:sub>
          </m:sSub>
          <m:r>
            <m:rPr>
              <m:sty m:val="p"/>
            </m:rPr>
            <m:t>=</m:t>
          </m:r>
          <m:r>
            <m:rPr>
              <m:sty m:val="p"/>
            </m:rPr>
            <m:t>−</m:t>
          </m:r>
          <m:f>
            <m:fPr>
              <m:type m:val="bar"/>
            </m:fPr>
            <m:num>
              <m:sSub>
                <m:e>
                  <m:r>
                    <m:t>Q</m:t>
                  </m:r>
                </m:e>
                <m:sub>
                  <m:r>
                    <m:rPr>
                      <m:sty m:val="p"/>
                    </m:rPr>
                    <m:t>⊥</m:t>
                  </m:r>
                </m:sub>
              </m:sSub>
            </m:num>
            <m:den>
              <m:r>
                <m:t>κ</m:t>
              </m:r>
              <m:r>
                <m:t>r</m:t>
              </m:r>
            </m:den>
          </m:f>
          <m:r>
            <m:rPr>
              <m:sty m:val="p"/>
            </m:rPr>
            <m:t>.</m:t>
          </m:r>
        </m:oMath>
      </m:oMathPara>
    </w:p>
    <w:p>
      <w:pPr>
        <w:pStyle w:val="FirstParagraph"/>
      </w:pPr>
      <w:r>
        <w:t xml:space="preserve">The outward trajectory is controlled using</w:t>
      </w:r>
      <w:r>
        <w:t xml:space="preserve"> </w:t>
      </w:r>
      <m:oMath>
        <m:sSub>
          <m:e>
            <m:r>
              <m:t>T</m:t>
            </m:r>
          </m:e>
          <m:sub>
            <m:r>
              <m:t>r</m:t>
            </m:r>
          </m:sub>
        </m:sSub>
      </m:oMath>
      <w:r>
        <w:t xml:space="preserve">-energy-adapted cones and strips. The intended advantage is that all margins depend on a lower coercivity bound and do not require a hidden upper bound on</w:t>
      </w:r>
      <w:r>
        <w:t xml:space="preserve"> </w:t>
      </w:r>
      <m:oMath>
        <m:sSub>
          <m:e>
            <m:r>
              <m:t>λ</m:t>
            </m:r>
          </m:e>
          <m:sub>
            <m:r>
              <m:rPr>
                <m:sty m:val="p"/>
              </m:rPr>
              <m:t>max</m:t>
            </m:r>
          </m:sub>
        </m:sSub>
        <m:d>
          <m:dPr>
            <m:begChr m:val="("/>
            <m:endChr m:val=")"/>
            <m:sepChr m:val=""/>
            <m:grow/>
          </m:dPr>
          <m:e>
            <m:sSub>
              <m:e>
                <m:r>
                  <m:t>T</m:t>
                </m:r>
              </m:e>
              <m:sub>
                <m:r>
                  <m:t>r</m:t>
                </m:r>
              </m:sub>
            </m:sSub>
          </m:e>
        </m:d>
      </m:oMath>
      <w:r>
        <w:t xml:space="preserve">.</w:t>
      </w:r>
    </w:p>
    <w:p>
      <w:pPr>
        <w:pStyle w:val="BodyText"/>
      </w:pPr>
      <w:r>
        <w:t xml:space="preserve">The exact margin ledger bundled with this packet verifies rational inequalities, including</w:t>
      </w:r>
    </w:p>
    <w:p>
      <w:pPr>
        <w:pStyle w:val="BodyText"/>
      </w:pPr>
      <m:oMathPara>
        <m:oMathParaPr>
          <m:jc m:val="center"/>
        </m:oMathParaPr>
        <m:oMath>
          <m:r>
            <m:rPr>
              <m:sty m:val="p"/>
            </m:rPr>
            <m:t>E</m:t>
          </m:r>
          <m:r>
            <m:rPr>
              <m:sty m:val="p"/>
            </m:rPr>
            <m:t>N</m:t>
          </m:r>
          <m:r>
            <m:rPr>
              <m:sty m:val="p"/>
            </m:rPr>
            <m:t>E</m:t>
          </m:r>
          <m:r>
            <m:rPr>
              <m:sty m:val="p"/>
            </m:rPr>
            <m:t>R</m:t>
          </m:r>
          <m:r>
            <m:rPr>
              <m:sty m:val="p"/>
            </m:rPr>
            <m:t>G</m:t>
          </m:r>
          <m:r>
            <m:rPr>
              <m:sty m:val="p"/>
            </m:rPr>
            <m:t>Y</m:t>
          </m:r>
          <m:r>
            <m:rPr>
              <m:sty m:val="p"/>
            </m:rPr>
            <m:t>_</m:t>
          </m:r>
          <m:r>
            <m:rPr>
              <m:sty m:val="p"/>
            </m:rPr>
            <m:t>C</m:t>
          </m:r>
          <m:r>
            <m:rPr>
              <m:sty m:val="p"/>
            </m:rPr>
            <m:t>O</m:t>
          </m:r>
          <m:r>
            <m:rPr>
              <m:sty m:val="p"/>
            </m:rPr>
            <m:t>N</m:t>
          </m:r>
          <m:r>
            <m:rPr>
              <m:sty m:val="p"/>
            </m:rPr>
            <m:t>E</m:t>
          </m:r>
          <m:r>
            <m:rPr>
              <m:sty m:val="p"/>
            </m:rPr>
            <m:t>_</m:t>
          </m:r>
          <m:r>
            <m:rPr>
              <m:sty m:val="p"/>
            </m:rPr>
            <m:t>A</m:t>
          </m:r>
          <m:r>
            <m:rPr>
              <m:sty m:val="p"/>
            </m:rPr>
            <m:t>D</m:t>
          </m:r>
          <m:r>
            <m:rPr>
              <m:sty m:val="p"/>
            </m:rPr>
            <m:t>V</m:t>
          </m:r>
          <m:r>
            <m:rPr>
              <m:sty m:val="p"/>
            </m:rPr>
            <m:t>E</m:t>
          </m:r>
          <m:r>
            <m:rPr>
              <m:sty m:val="p"/>
            </m:rPr>
            <m:t>R</m:t>
          </m:r>
          <m:r>
            <m:rPr>
              <m:sty m:val="p"/>
            </m:rPr>
            <m:t>S</m:t>
          </m:r>
          <m:r>
            <m:rPr>
              <m:sty m:val="p"/>
            </m:rPr>
            <m:t>E</m:t>
          </m:r>
          <m:r>
            <m:rPr>
              <m:sty m:val="p"/>
            </m:rPr>
            <m:t>&lt;</m:t>
          </m:r>
          <m:f>
            <m:fPr>
              <m:type m:val="bar"/>
            </m:fPr>
            <m:num>
              <m:r>
                <m:t>1</m:t>
              </m:r>
            </m:num>
            <m:den>
              <m:r>
                <m:t>3</m:t>
              </m:r>
            </m:den>
          </m:f>
          <m:r>
            <m:rPr>
              <m:sty m:val="p"/>
            </m:rPr>
            <m:t>,</m:t>
          </m:r>
          <m:r>
            <m:t>  </m:t>
          </m:r>
          <m:r>
            <m:rPr>
              <m:sty m:val="p"/>
            </m:rPr>
            <m:t>E</m:t>
          </m:r>
          <m:r>
            <m:rPr>
              <m:sty m:val="p"/>
            </m:rPr>
            <m:t>N</m:t>
          </m:r>
          <m:r>
            <m:rPr>
              <m:sty m:val="p"/>
            </m:rPr>
            <m:t>E</m:t>
          </m:r>
          <m:r>
            <m:rPr>
              <m:sty m:val="p"/>
            </m:rPr>
            <m:t>R</m:t>
          </m:r>
          <m:r>
            <m:rPr>
              <m:sty m:val="p"/>
            </m:rPr>
            <m:t>G</m:t>
          </m:r>
          <m:r>
            <m:rPr>
              <m:sty m:val="p"/>
            </m:rPr>
            <m:t>Y</m:t>
          </m:r>
          <m:r>
            <m:rPr>
              <m:sty m:val="p"/>
            </m:rPr>
            <m:t>_</m:t>
          </m:r>
          <m:r>
            <m:rPr>
              <m:sty m:val="p"/>
            </m:rPr>
            <m:t>S</m:t>
          </m:r>
          <m:r>
            <m:rPr>
              <m:sty m:val="p"/>
            </m:rPr>
            <m:t>T</m:t>
          </m:r>
          <m:r>
            <m:rPr>
              <m:sty m:val="p"/>
            </m:rPr>
            <m:t>R</m:t>
          </m:r>
          <m:r>
            <m:rPr>
              <m:sty m:val="p"/>
            </m:rPr>
            <m:t>I</m:t>
          </m:r>
          <m:r>
            <m:rPr>
              <m:sty m:val="p"/>
            </m:rPr>
            <m:t>P</m:t>
          </m:r>
          <m:r>
            <m:rPr>
              <m:sty m:val="p"/>
            </m:rPr>
            <m:t>_</m:t>
          </m:r>
          <m:r>
            <m:rPr>
              <m:sty m:val="p"/>
            </m:rPr>
            <m:t>A</m:t>
          </m:r>
          <m:r>
            <m:rPr>
              <m:sty m:val="p"/>
            </m:rPr>
            <m:t>D</m:t>
          </m:r>
          <m:r>
            <m:rPr>
              <m:sty m:val="p"/>
            </m:rPr>
            <m:t>V</m:t>
          </m:r>
          <m:r>
            <m:rPr>
              <m:sty m:val="p"/>
            </m:rPr>
            <m:t>E</m:t>
          </m:r>
          <m:r>
            <m:rPr>
              <m:sty m:val="p"/>
            </m:rPr>
            <m:t>R</m:t>
          </m:r>
          <m:r>
            <m:rPr>
              <m:sty m:val="p"/>
            </m:rPr>
            <m:t>S</m:t>
          </m:r>
          <m:r>
            <m:rPr>
              <m:sty m:val="p"/>
            </m:rPr>
            <m:t>E</m:t>
          </m:r>
          <m:r>
            <m:rPr>
              <m:sty m:val="p"/>
            </m:rPr>
            <m:t>&lt;</m:t>
          </m:r>
          <m:f>
            <m:fPr>
              <m:type m:val="bar"/>
            </m:fPr>
            <m:num>
              <m:r>
                <m:t>9</m:t>
              </m:r>
            </m:num>
            <m:den>
              <m:r>
                <m:t>10</m:t>
              </m:r>
            </m:den>
          </m:f>
          <m:r>
            <m:rPr>
              <m:sty m:val="p"/>
            </m:rPr>
            <m:t>,</m:t>
          </m:r>
        </m:oMath>
      </m:oMathPara>
    </w:p>
    <w:p>
      <w:pPr>
        <w:pStyle w:val="FirstParagraph"/>
      </w:pPr>
      <w:r>
        <w:t xml:space="preserve">and a positive level reserve. Module J now also contains the inward tapered-tube flux, monotonicity, convergence, and exact-field robustness argument in one current text; the deterministic proof no longer imports a superseded file. Manuscript Lemma 3.4b supplies the normalized conditioned</w:t>
      </w:r>
      <w:r>
        <w:t xml:space="preserve"> </w:t>
      </w:r>
      <m:oMath>
        <m:sSup>
          <m:e>
            <m:r>
              <m:t>C</m:t>
            </m:r>
          </m:e>
          <m:sup>
            <m:r>
              <m:t>1</m:t>
            </m:r>
          </m:sup>
        </m:sSup>
      </m:oMath>
      <w:r>
        <w:t xml:space="preserve">-approximation reduction and the determinant-weighted Palm estimates for shallow eigenvalues, large finite jets, and fifth-derivative failures. It then uses the two branch conclusions to rule out adjacency failure, a live same-component attachment, and a younger competing component outside an</w:t>
      </w:r>
      <w:r>
        <w:t xml:space="preserve"> </w:t>
      </w:r>
      <m:oMath>
        <m:r>
          <m:t>O</m:t>
        </m:r>
        <m:d>
          <m:dPr>
            <m:begChr m:val="("/>
            <m:endChr m:val=")"/>
            <m:sepChr m:val=""/>
            <m:grow/>
          </m:dPr>
          <m:e>
            <m:sSup>
              <m:e>
                <m:r>
                  <m:t>r</m:t>
                </m:r>
              </m:e>
              <m:sup>
                <m:r>
                  <m:t>3</m:t>
                </m:r>
              </m:sup>
            </m:sSup>
          </m:e>
        </m:d>
      </m:oMath>
      <w:r>
        <w:t xml:space="preserve"> </w:t>
      </w:r>
      <w:r>
        <w:t xml:space="preserve">Palm event. Those new estimates require independent checking, but they are no longer merely references to a predecessor.</w:t>
      </w:r>
    </w:p>
    <w:bookmarkEnd w:id="45"/>
    <w:bookmarkEnd w:id="46"/>
    <w:bookmarkStart w:id="50" w:name="coefficient-reduction"/>
    <w:p>
      <w:pPr>
        <w:pStyle w:val="Heading1"/>
        <w:keepNext/>
      </w:pPr>
      <w:r>
        <w:t xml:space="preserve">9. Coefficient reduction</w:t>
      </w:r>
    </w:p>
    <w:bookmarkStart w:id="47" w:name="jet-variables"/>
    <w:p>
      <w:pPr>
        <w:pStyle w:val="Heading2"/>
        <w:keepNext/>
      </w:pPr>
      <w:r>
        <w:t xml:space="preserve">9.1 Jet variables</w:t>
      </w:r>
    </w:p>
    <w:p>
      <w:pPr>
        <w:pStyle w:val="FirstParagraph"/>
      </w:pPr>
      <w:r>
        <w:t xml:space="preserve">For</w:t>
      </w:r>
      <w:r>
        <w:t xml:space="preserve"> </w:t>
      </w:r>
      <m:oMath>
        <m:r>
          <m:t>t</m:t>
        </m:r>
        <m:r>
          <m:rPr>
            <m:sty m:val="p"/>
          </m:rPr>
          <m:t>∈</m:t>
        </m:r>
        <m:sSup>
          <m:e>
            <m:r>
              <m:t>S</m:t>
            </m:r>
          </m:e>
          <m:sup>
            <m:r>
              <m:t>2</m:t>
            </m:r>
          </m:sup>
        </m:sSup>
      </m:oMath>
      <w:r>
        <w:t xml:space="preserve"> </w:t>
      </w:r>
      <w:r>
        <w:t xml:space="preserve">and a local orthonormal transverse frame</w:t>
      </w:r>
      <w:r>
        <w:t xml:space="preserve"> </w:t>
      </w:r>
      <m:oMath>
        <m:d>
          <m:dPr>
            <m:begChr m:val="("/>
            <m:endChr m:val=")"/>
            <m:sepChr m:val=""/>
            <m:grow/>
          </m:dPr>
          <m:e>
            <m:sSub>
              <m:e>
                <m:r>
                  <m:t>n</m:t>
                </m:r>
              </m:e>
              <m:sub>
                <m:r>
                  <m:t>1</m:t>
                </m:r>
              </m:sub>
            </m:sSub>
            <m:r>
              <m:rPr>
                <m:sty m:val="p"/>
              </m:rPr>
              <m:t>,</m:t>
            </m:r>
            <m:sSub>
              <m:e>
                <m:r>
                  <m:t>n</m:t>
                </m:r>
              </m:e>
              <m:sub>
                <m:r>
                  <m:t>2</m:t>
                </m:r>
              </m:sub>
            </m:sSub>
          </m:e>
        </m:d>
      </m:oMath>
      <w:r>
        <w:t xml:space="preserve">, define</w:t>
      </w:r>
    </w:p>
    <w:p>
      <w:pPr>
        <w:pStyle w:val="BodyText"/>
      </w:pPr>
      <m:oMathPara>
        <m:oMathParaPr>
          <m:jc m:val="center"/>
        </m:oMathParaPr>
        <m:oMath>
          <m:sSub>
            <m:e>
              <m:r>
                <m:t>u</m:t>
              </m:r>
            </m:e>
            <m:sub>
              <m:r>
                <m:t>t</m:t>
              </m:r>
            </m:sub>
          </m:sSub>
          <m:r>
            <m:rPr>
              <m:sty m:val="p"/>
            </m:rPr>
            <m:t>=</m:t>
          </m:r>
          <m:r>
            <m:rPr>
              <m:sty m:val="p"/>
            </m:rPr>
            <m:t>−</m:t>
          </m:r>
          <m:f>
            <m:fPr>
              <m:type m:val="bar"/>
            </m:fPr>
            <m:num>
              <m:sSubSup>
                <m:e>
                  <m:r>
                    <m:rPr>
                      <m:sty m:val="p"/>
                    </m:rPr>
                    <m:t>∂</m:t>
                  </m:r>
                </m:e>
                <m:sub>
                  <m:r>
                    <m:t>t</m:t>
                  </m:r>
                </m:sub>
                <m:sup>
                  <m:r>
                    <m:t>3</m:t>
                  </m:r>
                </m:sup>
              </m:sSubSup>
              <m:sSub>
                <m:e>
                  <m:r>
                    <m:t>f</m:t>
                  </m:r>
                </m:e>
                <m:sub>
                  <m:r>
                    <m:t>24</m:t>
                  </m:r>
                </m:sub>
              </m:sSub>
            </m:num>
            <m:den>
              <m:r>
                <m:t>12</m:t>
              </m:r>
            </m:den>
          </m:f>
          <m:r>
            <m:rPr>
              <m:sty m:val="p"/>
            </m:rPr>
            <m:t>,</m:t>
          </m:r>
          <m:r>
            <m:t>  </m:t>
          </m:r>
          <m:sSub>
            <m:e>
              <m:r>
                <m:t>g</m:t>
              </m:r>
            </m:e>
            <m:sub>
              <m:r>
                <m:t>t</m:t>
              </m:r>
            </m:sub>
          </m:sSub>
          <m:r>
            <m:rPr>
              <m:sty m:val="p"/>
            </m:rPr>
            <m:t>=</m:t>
          </m:r>
          <m:d>
            <m:dPr>
              <m:begChr m:val="("/>
              <m:endChr m:val=")"/>
              <m:sepChr m:val=""/>
              <m:grow/>
            </m:dPr>
            <m:e>
              <m:sSub>
                <m:e>
                  <m:r>
                    <m:rPr>
                      <m:sty m:val="p"/>
                    </m:rPr>
                    <m:t>∂</m:t>
                  </m:r>
                </m:e>
                <m:sub>
                  <m:r>
                    <m:t>t</m:t>
                  </m:r>
                </m:sub>
              </m:sSub>
              <m:sSub>
                <m:e>
                  <m:r>
                    <m:t>f</m:t>
                  </m:r>
                </m:e>
                <m:sub>
                  <m:r>
                    <m:t>24</m:t>
                  </m:r>
                </m:sub>
              </m:sSub>
              <m:r>
                <m:rPr>
                  <m:sty m:val="p"/>
                </m:rPr>
                <m:t>,</m:t>
              </m:r>
              <m:sSub>
                <m:e>
                  <m:r>
                    <m:rPr>
                      <m:sty m:val="p"/>
                    </m:rPr>
                    <m:t>∂</m:t>
                  </m:r>
                </m:e>
                <m:sub>
                  <m:sSub>
                    <m:e>
                      <m:r>
                        <m:t>n</m:t>
                      </m:r>
                    </m:e>
                    <m:sub>
                      <m:r>
                        <m:t>1</m:t>
                      </m:r>
                    </m:sub>
                  </m:sSub>
                </m:sub>
              </m:sSub>
              <m:sSub>
                <m:e>
                  <m:r>
                    <m:t>f</m:t>
                  </m:r>
                </m:e>
                <m:sub>
                  <m:r>
                    <m:t>24</m:t>
                  </m:r>
                </m:sub>
              </m:sSub>
              <m:r>
                <m:rPr>
                  <m:sty m:val="p"/>
                </m:rPr>
                <m:t>,</m:t>
              </m:r>
              <m:sSub>
                <m:e>
                  <m:r>
                    <m:rPr>
                      <m:sty m:val="p"/>
                    </m:rPr>
                    <m:t>∂</m:t>
                  </m:r>
                </m:e>
                <m:sub>
                  <m:sSub>
                    <m:e>
                      <m:r>
                        <m:t>n</m:t>
                      </m:r>
                    </m:e>
                    <m:sub>
                      <m:r>
                        <m:t>2</m:t>
                      </m:r>
                    </m:sub>
                  </m:sSub>
                </m:sub>
              </m:sSub>
              <m:sSub>
                <m:e>
                  <m:r>
                    <m:t>f</m:t>
                  </m:r>
                </m:e>
                <m:sub>
                  <m:r>
                    <m:t>24</m:t>
                  </m:r>
                </m:sub>
              </m:sSub>
            </m:e>
          </m:d>
          <m:r>
            <m:rPr>
              <m:sty m:val="p"/>
            </m:rPr>
            <m:t>,</m:t>
          </m:r>
        </m:oMath>
      </m:oMathPara>
    </w:p>
    <w:p>
      <w:pPr>
        <w:pStyle w:val="FirstParagraph"/>
      </w:pPr>
      <m:oMathPara>
        <m:oMathParaPr>
          <m:jc m:val="center"/>
        </m:oMathParaPr>
        <m:oMath>
          <m:sSub>
            <m:e>
              <m:r>
                <m:t>h</m:t>
              </m:r>
            </m:e>
            <m:sub>
              <m:r>
                <m:t>t</m:t>
              </m:r>
            </m:sub>
          </m:sSub>
          <m:r>
            <m:rPr>
              <m:sty m:val="p"/>
            </m:rPr>
            <m:t>=</m:t>
          </m:r>
          <m:d>
            <m:dPr>
              <m:begChr m:val="("/>
              <m:endChr m:val=")"/>
              <m:sepChr m:val=""/>
              <m:grow/>
            </m:dPr>
            <m:e>
              <m:sSub>
                <m:e>
                  <m:r>
                    <m:rPr>
                      <m:sty m:val="p"/>
                    </m:rPr>
                    <m:t>∂</m:t>
                  </m:r>
                </m:e>
                <m:sub>
                  <m:r>
                    <m:t>t</m:t>
                  </m:r>
                  <m:r>
                    <m:t>t</m:t>
                  </m:r>
                </m:sub>
              </m:sSub>
              <m:sSub>
                <m:e>
                  <m:r>
                    <m:t>f</m:t>
                  </m:r>
                </m:e>
                <m:sub>
                  <m:r>
                    <m:t>24</m:t>
                  </m:r>
                </m:sub>
              </m:sSub>
              <m:r>
                <m:rPr>
                  <m:sty m:val="p"/>
                </m:rPr>
                <m:t>,</m:t>
              </m:r>
              <m:sSub>
                <m:e>
                  <m:r>
                    <m:rPr>
                      <m:sty m:val="p"/>
                    </m:rPr>
                    <m:t>∂</m:t>
                  </m:r>
                </m:e>
                <m:sub>
                  <m:r>
                    <m:t>t</m:t>
                  </m:r>
                  <m:sSub>
                    <m:e>
                      <m:r>
                        <m:t>n</m:t>
                      </m:r>
                    </m:e>
                    <m:sub>
                      <m:r>
                        <m:t>1</m:t>
                      </m:r>
                    </m:sub>
                  </m:sSub>
                </m:sub>
              </m:sSub>
              <m:sSub>
                <m:e>
                  <m:r>
                    <m:t>f</m:t>
                  </m:r>
                </m:e>
                <m:sub>
                  <m:r>
                    <m:t>24</m:t>
                  </m:r>
                </m:sub>
              </m:sSub>
              <m:r>
                <m:rPr>
                  <m:sty m:val="p"/>
                </m:rPr>
                <m:t>,</m:t>
              </m:r>
              <m:sSub>
                <m:e>
                  <m:r>
                    <m:rPr>
                      <m:sty m:val="p"/>
                    </m:rPr>
                    <m:t>∂</m:t>
                  </m:r>
                </m:e>
                <m:sub>
                  <m:r>
                    <m:t>t</m:t>
                  </m:r>
                  <m:sSub>
                    <m:e>
                      <m:r>
                        <m:t>n</m:t>
                      </m:r>
                    </m:e>
                    <m:sub>
                      <m:r>
                        <m:t>2</m:t>
                      </m:r>
                    </m:sub>
                  </m:sSub>
                </m:sub>
              </m:sSub>
              <m:sSub>
                <m:e>
                  <m:r>
                    <m:t>f</m:t>
                  </m:r>
                </m:e>
                <m:sub>
                  <m:r>
                    <m:t>24</m:t>
                  </m:r>
                </m:sub>
              </m:sSub>
            </m:e>
          </m:d>
          <m:r>
            <m:rPr>
              <m:sty m:val="p"/>
            </m:rPr>
            <m:t>,</m:t>
          </m:r>
        </m:oMath>
      </m:oMathPara>
    </w:p>
    <w:p>
      <w:pPr>
        <w:pStyle w:val="FirstParagraph"/>
      </w:pPr>
      <w:r>
        <w:t xml:space="preserve">and let</w:t>
      </w:r>
      <w:r>
        <w:t xml:space="preserve"> </w:t>
      </w:r>
      <m:oMath>
        <m:sSub>
          <m:e>
            <m:r>
              <m:t>q</m:t>
            </m:r>
          </m:e>
          <m:sub>
            <m:r>
              <m:t>t</m:t>
            </m:r>
          </m:sub>
        </m:sSub>
      </m:oMath>
      <w:r>
        <w:t xml:space="preserve"> </w:t>
      </w:r>
      <w:r>
        <w:t xml:space="preserve">encode the symmetric</w:t>
      </w:r>
      <w:r>
        <w:t xml:space="preserve"> </w:t>
      </w:r>
      <m:oMath>
        <m:r>
          <m:t>2</m:t>
        </m:r>
        <m:r>
          <m:rPr>
            <m:sty m:val="p"/>
          </m:rPr>
          <m:t>×</m:t>
        </m:r>
        <m:r>
          <m:t>2</m:t>
        </m:r>
      </m:oMath>
      <w:r>
        <w:t xml:space="preserve"> </w:t>
      </w:r>
      <w:r>
        <w:t xml:space="preserve">transverse Hessian</w:t>
      </w:r>
      <w:r>
        <w:t xml:space="preserve"> </w:t>
      </w:r>
      <m:oMath>
        <m:sSub>
          <m:e>
            <m:r>
              <m:t>Q</m:t>
            </m:r>
          </m:e>
          <m:sub>
            <m:r>
              <m:t>t</m:t>
            </m:r>
          </m:sub>
        </m:sSub>
        <m:d>
          <m:dPr>
            <m:begChr m:val="("/>
            <m:endChr m:val=")"/>
            <m:sepChr m:val=""/>
            <m:grow/>
          </m:dPr>
          <m:e>
            <m:sSub>
              <m:e>
                <m:r>
                  <m:t>q</m:t>
                </m:r>
              </m:e>
              <m:sub>
                <m:r>
                  <m:t>t</m:t>
                </m:r>
              </m:sub>
            </m:sSub>
          </m:e>
        </m:d>
      </m:oMath>
      <w:r>
        <w:t xml:space="preserve">. Put</w:t>
      </w:r>
    </w:p>
    <w:p>
      <w:pPr>
        <w:pStyle w:val="BodyText"/>
      </w:pPr>
      <m:oMathPara>
        <m:oMathParaPr>
          <m:jc m:val="center"/>
        </m:oMathParaPr>
        <m:oMath>
          <m:sSub>
            <m:e>
              <m:r>
                <m:t>Σ</m:t>
              </m:r>
            </m:e>
            <m:sub>
              <m:r>
                <m:t>g</m:t>
              </m:r>
            </m:sub>
          </m:sSub>
          <m:d>
            <m:dPr>
              <m:begChr m:val="("/>
              <m:endChr m:val=")"/>
              <m:sepChr m:val=""/>
              <m:grow/>
            </m:dPr>
            <m:e>
              <m:r>
                <m:t>t</m:t>
              </m:r>
            </m:e>
          </m:d>
          <m:r>
            <m:rPr>
              <m:sty m:val="p"/>
            </m:rPr>
            <m:t>=</m:t>
          </m:r>
          <m:r>
            <m:rPr>
              <m:sty m:val="p"/>
            </m:rPr>
            <m:t>Cov</m:t>
          </m:r>
          <m:d>
            <m:dPr>
              <m:begChr m:val="("/>
              <m:endChr m:val=")"/>
              <m:sepChr m:val=""/>
              <m:grow/>
            </m:dPr>
            <m:e>
              <m:sSub>
                <m:e>
                  <m:r>
                    <m:t>g</m:t>
                  </m:r>
                </m:e>
                <m:sub>
                  <m:r>
                    <m:t>t</m:t>
                  </m:r>
                </m:sub>
              </m:sSub>
            </m:e>
          </m:d>
          <m:r>
            <m:rPr>
              <m:sty m:val="p"/>
            </m:rPr>
            <m:t>,</m:t>
          </m:r>
          <m:r>
            <m:t>  </m:t>
          </m:r>
          <m:sSub>
            <m:e>
              <m:r>
                <m:t>Σ</m:t>
              </m:r>
            </m:e>
            <m:sub>
              <m:r>
                <m:t>h</m:t>
              </m:r>
            </m:sub>
          </m:sSub>
          <m:d>
            <m:dPr>
              <m:begChr m:val="("/>
              <m:endChr m:val=")"/>
              <m:sepChr m:val=""/>
              <m:grow/>
            </m:dPr>
            <m:e>
              <m:r>
                <m:t>t</m:t>
              </m:r>
            </m:e>
          </m:d>
          <m:r>
            <m:rPr>
              <m:sty m:val="p"/>
            </m:rPr>
            <m:t>=</m:t>
          </m:r>
          <m:r>
            <m:rPr>
              <m:sty m:val="p"/>
            </m:rPr>
            <m:t>Cov</m:t>
          </m:r>
          <m:d>
            <m:dPr>
              <m:begChr m:val="("/>
              <m:endChr m:val=")"/>
              <m:sepChr m:val=""/>
              <m:grow/>
            </m:dPr>
            <m:e>
              <m:sSub>
                <m:e>
                  <m:r>
                    <m:t>h</m:t>
                  </m:r>
                </m:e>
                <m:sub>
                  <m:r>
                    <m:t>t</m:t>
                  </m:r>
                </m:sub>
              </m:sSub>
            </m:e>
          </m:d>
          <m:r>
            <m:rPr>
              <m:sty m:val="p"/>
            </m:rPr>
            <m:t>,</m:t>
          </m:r>
        </m:oMath>
      </m:oMathPara>
    </w:p>
    <w:p>
      <w:pPr>
        <w:pStyle w:val="FirstParagraph"/>
      </w:pPr>
      <m:oMathPara>
        <m:oMathParaPr>
          <m:jc m:val="center"/>
        </m:oMathParaPr>
        <m:oMath>
          <m:sSubSup>
            <m:e>
              <m:r>
                <m:t>σ</m:t>
              </m:r>
            </m:e>
            <m:sub>
              <m:r>
                <m:t>t</m:t>
              </m:r>
            </m:sub>
            <m:sup>
              <m:r>
                <m:t>2</m:t>
              </m:r>
            </m:sup>
          </m:sSubSup>
          <m:r>
            <m:rPr>
              <m:sty m:val="p"/>
            </m:rPr>
            <m:t>=</m:t>
          </m:r>
          <m:r>
            <m:rPr>
              <m:sty m:val="p"/>
            </m:rPr>
            <m:t>Var</m:t>
          </m:r>
          <m:d>
            <m:dPr>
              <m:begChr m:val="("/>
              <m:endChr m:val=")"/>
              <m:sepChr m:val=""/>
              <m:grow/>
            </m:dPr>
            <m:e>
              <m:sSub>
                <m:e>
                  <m:r>
                    <m:t>u</m:t>
                  </m:r>
                </m:e>
                <m:sub>
                  <m:r>
                    <m:t>t</m:t>
                  </m:r>
                </m:sub>
              </m:sSub>
            </m:e>
          </m:d>
          <m:r>
            <m:rPr>
              <m:sty m:val="p"/>
            </m:rPr>
            <m:t>−</m:t>
          </m:r>
          <m:r>
            <m:rPr>
              <m:sty m:val="p"/>
            </m:rPr>
            <m:t>Cov</m:t>
          </m:r>
          <m:d>
            <m:dPr>
              <m:begChr m:val="("/>
              <m:endChr m:val=")"/>
              <m:sepChr m:val=""/>
              <m:grow/>
            </m:dPr>
            <m:e>
              <m:sSub>
                <m:e>
                  <m:r>
                    <m:t>u</m:t>
                  </m:r>
                </m:e>
                <m:sub>
                  <m:r>
                    <m:t>t</m:t>
                  </m:r>
                </m:sub>
              </m:sSub>
              <m:r>
                <m:rPr>
                  <m:sty m:val="p"/>
                </m:rPr>
                <m:t>,</m:t>
              </m:r>
              <m:sSub>
                <m:e>
                  <m:r>
                    <m:t>g</m:t>
                  </m:r>
                </m:e>
                <m:sub>
                  <m:r>
                    <m:t>t</m:t>
                  </m:r>
                </m:sub>
              </m:sSub>
            </m:e>
          </m:d>
          <m:sSub>
            <m:e>
              <m:r>
                <m:t>Σ</m:t>
              </m:r>
            </m:e>
            <m:sub>
              <m:r>
                <m:t>g</m:t>
              </m:r>
            </m:sub>
          </m:sSub>
          <m:sSup>
            <m:e>
              <m:d>
                <m:dPr>
                  <m:begChr m:val="("/>
                  <m:endChr m:val=")"/>
                  <m:sepChr m:val=""/>
                  <m:grow/>
                </m:dPr>
                <m:e>
                  <m:r>
                    <m:t>t</m:t>
                  </m:r>
                </m:e>
              </m:d>
            </m:e>
            <m:sup>
              <m:r>
                <m:rPr>
                  <m:sty m:val="p"/>
                </m:rPr>
                <m:t>−</m:t>
              </m:r>
              <m:r>
                <m:t>1</m:t>
              </m:r>
            </m:sup>
          </m:sSup>
          <m:r>
            <m:rPr>
              <m:sty m:val="p"/>
            </m:rPr>
            <m:t>Cov</m:t>
          </m:r>
          <m:d>
            <m:dPr>
              <m:begChr m:val="("/>
              <m:endChr m:val=")"/>
              <m:sepChr m:val=""/>
              <m:grow/>
            </m:dPr>
            <m:e>
              <m:sSub>
                <m:e>
                  <m:r>
                    <m:t>g</m:t>
                  </m:r>
                </m:e>
                <m:sub>
                  <m:r>
                    <m:t>t</m:t>
                  </m:r>
                </m:sub>
              </m:sSub>
              <m:r>
                <m:rPr>
                  <m:sty m:val="p"/>
                </m:rPr>
                <m:t>,</m:t>
              </m:r>
              <m:sSub>
                <m:e>
                  <m:r>
                    <m:t>u</m:t>
                  </m:r>
                </m:e>
                <m:sub>
                  <m:r>
                    <m:t>t</m:t>
                  </m:r>
                </m:sub>
              </m:sSub>
            </m:e>
          </m:d>
          <m:r>
            <m:rPr>
              <m:sty m:val="p"/>
            </m:rPr>
            <m:t>,</m:t>
          </m:r>
        </m:oMath>
      </m:oMathPara>
    </w:p>
    <w:p>
      <w:pPr>
        <w:pStyle w:val="FirstParagraph"/>
      </w:pPr>
      <w:r>
        <w:t xml:space="preserve">and</w:t>
      </w:r>
    </w:p>
    <w:p>
      <w:pPr>
        <w:pStyle w:val="BodyText"/>
      </w:pPr>
      <m:oMathPara>
        <m:oMathParaPr>
          <m:jc m:val="center"/>
        </m:oMathParaPr>
        <m:oMath>
          <m:sSub>
            <m:e>
              <m:r>
                <m:t>D</m:t>
              </m:r>
            </m:e>
            <m:sub>
              <m:r>
                <m:t>t</m:t>
              </m:r>
            </m:sub>
          </m:sSub>
          <m:r>
            <m:rPr>
              <m:sty m:val="p"/>
            </m:rPr>
            <m:t>=</m:t>
          </m:r>
          <m:r>
            <m:rPr>
              <m:sty m:val="p"/>
              <m:scr m:val="double-struck"/>
            </m:rPr>
            <m:t>E</m:t>
          </m:r>
          <m:r>
            <m:t>​</m:t>
          </m:r>
          <m:d>
            <m:dPr>
              <m:begChr m:val="["/>
              <m:endChr m:val="]"/>
              <m:sepChr m:val=""/>
              <m:grow/>
            </m:dPr>
            <m:e>
              <m:sSup>
                <m:e>
                  <m:d>
                    <m:dPr>
                      <m:begChr m:val="("/>
                      <m:endChr m:val=")"/>
                      <m:sepChr m:val=""/>
                      <m:grow/>
                    </m:dPr>
                    <m:e>
                      <m:r>
                        <m:rPr>
                          <m:sty m:val="p"/>
                        </m:rPr>
                        <m:t>det</m:t>
                      </m:r>
                      <m:sSub>
                        <m:e>
                          <m:r>
                            <m:t>Q</m:t>
                          </m:r>
                        </m:e>
                        <m:sub>
                          <m:r>
                            <m:t>t</m:t>
                          </m:r>
                        </m:sub>
                      </m:sSub>
                      <m:d>
                        <m:dPr>
                          <m:begChr m:val="("/>
                          <m:endChr m:val=")"/>
                          <m:sepChr m:val=""/>
                          <m:grow/>
                        </m:dPr>
                        <m:e>
                          <m:sSub>
                            <m:e>
                              <m:r>
                                <m:t>q</m:t>
                              </m:r>
                            </m:e>
                            <m:sub>
                              <m:r>
                                <m:t>t</m:t>
                              </m:r>
                            </m:sub>
                          </m:sSub>
                        </m:e>
                      </m:d>
                    </m:e>
                  </m:d>
                </m:e>
                <m:sup>
                  <m:r>
                    <m:t>2</m:t>
                  </m:r>
                </m:sup>
              </m:sSup>
              <m:sSub>
                <m:e>
                  <m:r>
                    <m:rPr>
                      <m:sty m:val="b"/>
                    </m:rPr>
                    <m:t>1</m:t>
                  </m:r>
                </m:e>
                <m:sub>
                  <m:r>
                    <m:rPr>
                      <m:sty m:val="p"/>
                    </m:rPr>
                    <m:t>{</m:t>
                  </m:r>
                  <m:sSub>
                    <m:e>
                      <m:r>
                        <m:t>Q</m:t>
                      </m:r>
                    </m:e>
                    <m:sub>
                      <m:r>
                        <m:t>t</m:t>
                      </m:r>
                    </m:sub>
                  </m:sSub>
                  <m:d>
                    <m:dPr>
                      <m:begChr m:val="("/>
                      <m:endChr m:val=")"/>
                      <m:sepChr m:val=""/>
                      <m:grow/>
                    </m:dPr>
                    <m:e>
                      <m:sSub>
                        <m:e>
                          <m:r>
                            <m:t>q</m:t>
                          </m:r>
                        </m:e>
                        <m:sub>
                          <m:r>
                            <m:t>t</m:t>
                          </m:r>
                        </m:sub>
                      </m:sSub>
                    </m:e>
                  </m:d>
                  <m:r>
                    <m:rPr>
                      <m:sty m:val="p"/>
                    </m:rPr>
                    <m:t>≺</m:t>
                  </m:r>
                  <m:r>
                    <m:t>0</m:t>
                  </m:r>
                  <m:r>
                    <m:rPr>
                      <m:sty m:val="p"/>
                    </m:rPr>
                    <m:t>}</m:t>
                  </m:r>
                </m:sub>
              </m:sSub>
              <m:r>
                <m:rPr>
                  <m:sty m:val="p"/>
                </m:rPr>
                <m:t>∣</m:t>
              </m:r>
              <m:sSub>
                <m:e>
                  <m:r>
                    <m:t>h</m:t>
                  </m:r>
                </m:e>
                <m:sub>
                  <m:r>
                    <m:t>t</m:t>
                  </m:r>
                </m:sub>
              </m:sSub>
              <m:r>
                <m:rPr>
                  <m:sty m:val="p"/>
                </m:rPr>
                <m:t>=</m:t>
              </m:r>
              <m:r>
                <m:t>0</m:t>
              </m:r>
            </m:e>
          </m:d>
          <m:r>
            <m:rPr>
              <m:sty m:val="p"/>
            </m:rPr>
            <m:t>.</m:t>
          </m:r>
        </m:oMath>
      </m:oMathPara>
    </w:p>
    <w:p>
      <w:pPr>
        <w:pStyle w:val="FirstParagraph"/>
      </w:pPr>
      <w:r>
        <w:t xml:space="preserve">Here</w:t>
      </w:r>
      <w:r>
        <w:t xml:space="preserve"> </w:t>
      </w:r>
      <m:oMath>
        <m:r>
          <m:t>Q</m:t>
        </m:r>
        <m:r>
          <m:rPr>
            <m:sty m:val="p"/>
          </m:rPr>
          <m:t>≺</m:t>
        </m:r>
        <m:r>
          <m:t>0</m:t>
        </m:r>
      </m:oMath>
      <w:r>
        <w:t xml:space="preserve"> </w:t>
      </w:r>
      <w:r>
        <w:t xml:space="preserve">means negative definite.</w:t>
      </w:r>
    </w:p>
    <w:bookmarkEnd w:id="47"/>
    <w:bookmarkStart w:id="48" w:name="height-and-gap-integrations"/>
    <w:p>
      <w:pPr>
        <w:pStyle w:val="Heading2"/>
        <w:keepNext/>
      </w:pPr>
      <w:r>
        <w:t xml:space="preserve">9.2 Height and gap integrations</w:t>
      </w:r>
    </w:p>
    <w:p>
      <w:pPr>
        <w:pStyle w:val="FirstParagraph"/>
      </w:pPr>
      <w:r>
        <w:t xml:space="preserve">Evenness of the covariance separates odd and even derivative blocks. Integration over the birth height removes the field-value coordinate, and the normalized gap integral produces</w:t>
      </w:r>
      <w:r>
        <w:t xml:space="preserve"> </w:t>
      </w:r>
      <m:oMath>
        <m:r>
          <m:t>Γ</m:t>
        </m:r>
        <m:d>
          <m:dPr>
            <m:begChr m:val="("/>
            <m:endChr m:val=")"/>
            <m:sepChr m:val=""/>
            <m:grow/>
          </m:dPr>
          <m:e>
            <m:r>
              <m:t>7</m:t>
            </m:r>
            <m:r>
              <m:rPr>
                <m:sty m:val="p"/>
              </m:rPr>
              <m:t>/</m:t>
            </m:r>
            <m:r>
              <m:t>6</m:t>
            </m:r>
          </m:e>
        </m:d>
        <m:sSup>
          <m:e>
            <m:d>
              <m:dPr>
                <m:begChr m:val="("/>
                <m:endChr m:val=")"/>
                <m:sepChr m:val=""/>
                <m:grow/>
              </m:dPr>
              <m:e>
                <m:sSubSup>
                  <m:e>
                    <m:r>
                      <m:t>σ</m:t>
                    </m:r>
                  </m:e>
                  <m:sub>
                    <m:r>
                      <m:t>t</m:t>
                    </m:r>
                  </m:sub>
                  <m:sup>
                    <m:r>
                      <m:t>2</m:t>
                    </m:r>
                  </m:sup>
                </m:sSubSup>
              </m:e>
            </m:d>
          </m:e>
          <m:sup>
            <m:r>
              <m:t>2</m:t>
            </m:r>
            <m:r>
              <m:rPr>
                <m:sty m:val="p"/>
              </m:rPr>
              <m:t>/</m:t>
            </m:r>
            <m:r>
              <m:t>3</m:t>
            </m:r>
          </m:sup>
        </m:sSup>
      </m:oMath>
      <w:r>
        <w:t xml:space="preserve">. Combining it with the radial scalar yields (1.5).</w:t>
      </w:r>
    </w:p>
    <w:bookmarkEnd w:id="48"/>
    <w:bookmarkStart w:id="49" w:name="euclidean-constant"/>
    <w:p>
      <w:pPr>
        <w:pStyle w:val="Heading2"/>
        <w:keepNext/>
      </w:pPr>
      <w:r>
        <w:t xml:space="preserve">9.3 Euclidean constant</w:t>
      </w:r>
    </w:p>
    <w:p>
      <w:pPr>
        <w:pStyle w:val="FirstParagraph"/>
      </w:pPr>
      <w:r>
        <w:t xml:space="preserve">At the Euclidean nonperiodized jet, the manuscript states</w:t>
      </w:r>
    </w:p>
    <w:p>
      <w:pPr>
        <w:pStyle w:val="BodyText"/>
      </w:pPr>
      <m:oMathPara>
        <m:oMathParaPr>
          <m:jc m:val="center"/>
        </m:oMathParaPr>
        <m:oMath>
          <m:sSub>
            <m:e>
              <m:r>
                <m:t>Σ</m:t>
              </m:r>
            </m:e>
            <m:sub>
              <m:r>
                <m:t>g</m:t>
              </m:r>
            </m:sub>
          </m:sSub>
          <m:r>
            <m:rPr>
              <m:sty m:val="p"/>
            </m:rPr>
            <m:t>=</m:t>
          </m:r>
          <m:sSub>
            <m:e>
              <m:r>
                <m:t>I</m:t>
              </m:r>
            </m:e>
            <m:sub>
              <m:r>
                <m:t>3</m:t>
              </m:r>
            </m:sub>
          </m:sSub>
          <m:r>
            <m:rPr>
              <m:sty m:val="p"/>
            </m:rPr>
            <m:t>,</m:t>
          </m:r>
          <m:r>
            <m:t>  </m:t>
          </m:r>
          <m:sSub>
            <m:e>
              <m:r>
                <m:t>Σ</m:t>
              </m:r>
            </m:e>
            <m:sub>
              <m:r>
                <m:t>h</m:t>
              </m:r>
            </m:sub>
          </m:sSub>
          <m:r>
            <m:rPr>
              <m:sty m:val="p"/>
            </m:rPr>
            <m:t>=</m:t>
          </m:r>
          <m:r>
            <m:rPr>
              <m:sty m:val="p"/>
            </m:rPr>
            <m:t>diag</m:t>
          </m:r>
          <m:d>
            <m:dPr>
              <m:begChr m:val="("/>
              <m:endChr m:val=")"/>
              <m:sepChr m:val=""/>
              <m:grow/>
            </m:dPr>
            <m:e>
              <m:r>
                <m:t>3</m:t>
              </m:r>
              <m:r>
                <m:rPr>
                  <m:sty m:val="p"/>
                </m:rPr>
                <m:t>,</m:t>
              </m:r>
              <m:r>
                <m:t>1</m:t>
              </m:r>
              <m:r>
                <m:rPr>
                  <m:sty m:val="p"/>
                </m:rPr>
                <m:t>,</m:t>
              </m:r>
              <m:r>
                <m:t>1</m:t>
              </m:r>
            </m:e>
          </m:d>
          <m:r>
            <m:rPr>
              <m:sty m:val="p"/>
            </m:rPr>
            <m:t>,</m:t>
          </m:r>
          <m:r>
            <m:t>  </m:t>
          </m:r>
          <m:sSubSup>
            <m:e>
              <m:r>
                <m:t>σ</m:t>
              </m:r>
            </m:e>
            <m:sub>
              <m:r>
                <m:t>t</m:t>
              </m:r>
            </m:sub>
            <m:sup>
              <m:r>
                <m:t>2</m:t>
              </m:r>
            </m:sup>
          </m:sSubSup>
          <m:r>
            <m:rPr>
              <m:sty m:val="p"/>
            </m:rPr>
            <m:t>=</m:t>
          </m:r>
          <m:f>
            <m:fPr>
              <m:type m:val="bar"/>
            </m:fPr>
            <m:num>
              <m:r>
                <m:t>1</m:t>
              </m:r>
            </m:num>
            <m:den>
              <m:r>
                <m:t>24</m:t>
              </m:r>
            </m:den>
          </m:f>
          <m:r>
            <m:rPr>
              <m:sty m:val="p"/>
            </m:rPr>
            <m:t>,</m:t>
          </m:r>
        </m:oMath>
      </m:oMathPara>
    </w:p>
    <w:p>
      <w:pPr>
        <w:pStyle w:val="FirstParagraph"/>
      </w:pPr>
      <w:r>
        <w:t xml:space="preserve">and</w:t>
      </w:r>
    </w:p>
    <w:p>
      <w:pPr>
        <w:pStyle w:val="BodyText"/>
      </w:pPr>
      <m:oMathPara>
        <m:oMathParaPr>
          <m:jc m:val="center"/>
        </m:oMathParaPr>
        <m:oMath>
          <m:r>
            <m:t>Q</m:t>
          </m:r>
          <m:r>
            <m:rPr>
              <m:sty m:val="p"/>
            </m:rPr>
            <m:t>∣</m:t>
          </m:r>
          <m:sSub>
            <m:e>
              <m:r>
                <m:t>h</m:t>
              </m:r>
            </m:e>
            <m:sub>
              <m:r>
                <m:t>t</m:t>
              </m:r>
            </m:sub>
          </m:sSub>
          <m:r>
            <m:rPr>
              <m:sty m:val="p"/>
            </m:rPr>
            <m:t>=</m:t>
          </m:r>
          <m:r>
            <m:t>0</m:t>
          </m:r>
          <m:limUpp>
            <m:e>
              <m:r>
                <m:rPr>
                  <m:sty m:val="p"/>
                </m:rPr>
                <m:t>=</m:t>
              </m:r>
            </m:e>
            <m:lim>
              <m:r>
                <m:t>d</m:t>
              </m:r>
            </m:lim>
          </m:limUpp>
          <m:sSub>
            <m:e>
              <m:r>
                <m:t>G</m:t>
              </m:r>
            </m:e>
            <m:sub>
              <m:r>
                <m:t>2</m:t>
              </m:r>
            </m:sub>
          </m:sSub>
          <m:r>
            <m:rPr>
              <m:sty m:val="p"/>
            </m:rPr>
            <m:t>+</m:t>
          </m:r>
          <m:rad>
            <m:radPr>
              <m:degHide m:val="on"/>
            </m:radPr>
            <m:deg/>
            <m:e>
              <m:f>
                <m:fPr>
                  <m:type m:val="bar"/>
                </m:fPr>
                <m:num>
                  <m:r>
                    <m:t>2</m:t>
                  </m:r>
                </m:num>
                <m:den>
                  <m:r>
                    <m:t>3</m:t>
                  </m:r>
                </m:den>
              </m:f>
            </m:e>
          </m:rad>
          <m:r>
            <m:t>Z</m:t>
          </m:r>
          <m:sSub>
            <m:e>
              <m:r>
                <m:t>I</m:t>
              </m:r>
            </m:e>
            <m:sub>
              <m:r>
                <m:t>2</m:t>
              </m:r>
            </m:sub>
          </m:sSub>
          <m:r>
            <m:rPr>
              <m:sty m:val="p"/>
            </m:rPr>
            <m:t>,</m:t>
          </m:r>
          <m:r>
            <m:t>  </m:t>
          </m:r>
          <m:sSub>
            <m:e>
              <m:r>
                <m:t>D</m:t>
              </m:r>
            </m:e>
            <m:sub>
              <m:r>
                <m:t>t</m:t>
              </m:r>
            </m:sub>
          </m:sSub>
          <m:r>
            <m:rPr>
              <m:sty m:val="p"/>
            </m:rPr>
            <m:t>=</m:t>
          </m:r>
          <m:f>
            <m:fPr>
              <m:type m:val="bar"/>
            </m:fPr>
            <m:num>
              <m:r>
                <m:t>29</m:t>
              </m:r>
            </m:num>
            <m:den>
              <m:r>
                <m:t>6</m:t>
              </m:r>
            </m:den>
          </m:f>
          <m:r>
            <m:rPr>
              <m:sty m:val="p"/>
            </m:rPr>
            <m:t>−</m:t>
          </m:r>
          <m:rad>
            <m:radPr>
              <m:degHide m:val="on"/>
            </m:radPr>
            <m:deg/>
            <m:e>
              <m:r>
                <m:t>6</m:t>
              </m:r>
            </m:e>
          </m:rad>
          <m:r>
            <m:rPr>
              <m:sty m:val="p"/>
            </m:rPr>
            <m:t>.</m:t>
          </m:r>
        </m:oMath>
      </m:oMathPara>
    </w:p>
    <w:p>
      <w:pPr>
        <w:pStyle w:val="FirstParagraph"/>
      </w:pPr>
      <w:r>
        <w:t xml:space="preserve">The revised manuscript explicitly uses independent diagonal entries</w:t>
      </w:r>
      <w:r>
        <w:t xml:space="preserve"> </w:t>
      </w:r>
      <m:oMath>
        <m:r>
          <m:t>N</m:t>
        </m:r>
        <m:d>
          <m:dPr>
            <m:begChr m:val="("/>
            <m:endChr m:val=")"/>
            <m:sepChr m:val=""/>
            <m:grow/>
          </m:dPr>
          <m:e>
            <m:r>
              <m:t>0</m:t>
            </m:r>
            <m:r>
              <m:rPr>
                <m:sty m:val="p"/>
              </m:rPr>
              <m:t>,</m:t>
            </m:r>
            <m:r>
              <m:t>2</m:t>
            </m:r>
          </m:e>
        </m:d>
      </m:oMath>
      <w:r>
        <w:t xml:space="preserve"> </w:t>
      </w:r>
      <w:r>
        <w:t xml:space="preserve">and off-diagonal entry</w:t>
      </w:r>
      <w:r>
        <w:t xml:space="preserve"> </w:t>
      </w:r>
      <m:oMath>
        <m:r>
          <m:t>N</m:t>
        </m:r>
        <m:d>
          <m:dPr>
            <m:begChr m:val="("/>
            <m:endChr m:val=")"/>
            <m:sepChr m:val=""/>
            <m:grow/>
          </m:dPr>
          <m:e>
            <m:r>
              <m:t>0</m:t>
            </m:r>
            <m:r>
              <m:rPr>
                <m:sty m:val="p"/>
              </m:rPr>
              <m:t>,</m:t>
            </m:r>
            <m:r>
              <m:t>1</m:t>
            </m:r>
          </m:e>
        </m:d>
      </m:oMath>
      <w:r>
        <w:t xml:space="preserve">, then derives (9.7) by separating the trace variable from the Rayleigh-distributed traceless radius. The reproducibility annex independently recombines the same scalar. A reviewer should check the Gaussian variances, the negative-definite cone condition, and the two elementary integrals rather than treating agreement with the script as proof.</w:t>
      </w:r>
    </w:p>
    <w:bookmarkEnd w:id="49"/>
    <w:bookmarkEnd w:id="50"/>
    <w:bookmarkStart w:id="51" w:name="side-24-correction"/>
    <w:p>
      <w:pPr>
        <w:pStyle w:val="Heading1"/>
        <w:keepNext/>
      </w:pPr>
      <w:r>
        <w:t xml:space="preserve">10. Side-24 correction</w:t>
      </w:r>
    </w:p>
    <w:p>
      <w:pPr>
        <w:pStyle w:val="FirstParagraph"/>
      </w:pPr>
      <w:r>
        <w:t xml:space="preserve">Let</w:t>
      </w:r>
      <w:r>
        <w:t xml:space="preserve"> </w:t>
      </w:r>
      <m:oMath>
        <m:sSub>
          <m:e>
            <m:r>
              <m:t>J</m:t>
            </m:r>
          </m:e>
          <m:sub>
            <m:r>
              <m:t>0</m:t>
            </m:r>
          </m:sub>
        </m:sSub>
      </m:oMath>
      <w:r>
        <w:t xml:space="preserve"> </w:t>
      </w:r>
      <w:r>
        <w:t xml:space="preserve">be the Euclidean even covariance jet through order six and</w:t>
      </w:r>
      <w:r>
        <w:t xml:space="preserve"> </w:t>
      </w:r>
      <m:oMath>
        <m:sSub>
          <m:e>
            <m:r>
              <m:t>J</m:t>
            </m:r>
          </m:e>
          <m:sub>
            <m:r>
              <m:t>24</m:t>
            </m:r>
          </m:sub>
        </m:sSub>
      </m:oMath>
      <w:r>
        <w:t xml:space="preserve"> </w:t>
      </w:r>
      <w:r>
        <w:t xml:space="preserve">the periodized jet. The normalized coefficient functional is</w:t>
      </w:r>
    </w:p>
    <w:p>
      <w:pPr>
        <w:pStyle w:val="BodyText"/>
      </w:pPr>
      <m:oMathPara>
        <m:oMathParaPr>
          <m:jc m:val="center"/>
        </m:oMathParaPr>
        <m:oMath>
          <m:r>
            <m:t>F</m:t>
          </m:r>
          <m:d>
            <m:dPr>
              <m:begChr m:val="("/>
              <m:endChr m:val=")"/>
              <m:sepChr m:val=""/>
              <m:grow/>
            </m:dPr>
            <m:e>
              <m:r>
                <m:t>J</m:t>
              </m:r>
            </m:e>
          </m:d>
          <m:r>
            <m:rPr>
              <m:sty m:val="p"/>
            </m:rPr>
            <m:t>=</m:t>
          </m:r>
          <m:f>
            <m:fPr>
              <m:type m:val="bar"/>
            </m:fPr>
            <m:num>
              <m:r>
                <m:t>Φ</m:t>
              </m:r>
              <m:d>
                <m:dPr>
                  <m:begChr m:val="("/>
                  <m:endChr m:val=")"/>
                  <m:sepChr m:val=""/>
                  <m:grow/>
                </m:dPr>
                <m:e>
                  <m:r>
                    <m:t>J</m:t>
                  </m:r>
                </m:e>
              </m:d>
            </m:num>
            <m:den>
              <m:r>
                <m:t>Φ</m:t>
              </m:r>
              <m:d>
                <m:dPr>
                  <m:begChr m:val="("/>
                  <m:endChr m:val=")"/>
                  <m:sepChr m:val=""/>
                  <m:grow/>
                </m:dPr>
                <m:e>
                  <m:sSub>
                    <m:e>
                      <m:r>
                        <m:t>J</m:t>
                      </m:r>
                    </m:e>
                    <m:sub>
                      <m:r>
                        <m:t>0</m:t>
                      </m:r>
                    </m:sub>
                  </m:sSub>
                </m:e>
              </m:d>
            </m:den>
          </m:f>
          <m:r>
            <m:rPr>
              <m:sty m:val="p"/>
            </m:rPr>
            <m:t>.</m:t>
          </m:r>
        </m:oMath>
      </m:oMathPara>
    </w:p>
    <w:p>
      <w:pPr>
        <w:pStyle w:val="FirstParagraph"/>
      </w:pPr>
      <w:r>
        <w:t xml:space="preserve">The proof asserts derivative bounds on a small jet ball,</w:t>
      </w:r>
    </w:p>
    <w:p>
      <w:pPr>
        <w:pStyle w:val="BodyText"/>
      </w:pPr>
      <m:oMathPara>
        <m:oMathParaPr>
          <m:jc m:val="center"/>
        </m:oMathParaPr>
        <m:oMath>
          <m:r>
            <m:rPr>
              <m:sty m:val="p"/>
            </m:rPr>
            <m:t>sup</m:t>
          </m:r>
          <m:r>
            <m:rPr>
              <m:sty m:val="p"/>
            </m:rPr>
            <m:t>∥</m:t>
          </m:r>
          <m:r>
            <m:t>D</m:t>
          </m:r>
          <m:r>
            <m:t>F</m:t>
          </m:r>
          <m:r>
            <m:rPr>
              <m:sty m:val="p"/>
            </m:rPr>
            <m:t>∥</m:t>
          </m:r>
          <m:r>
            <m:rPr>
              <m:sty m:val="p"/>
            </m:rPr>
            <m:t>&lt;</m:t>
          </m:r>
          <m:sSup>
            <m:e>
              <m:r>
                <m:t>10</m:t>
              </m:r>
            </m:e>
            <m:sup>
              <m:r>
                <m:t>16</m:t>
              </m:r>
            </m:sup>
          </m:sSup>
          <m:r>
            <m:rPr>
              <m:sty m:val="p"/>
            </m:rPr>
            <m:t>,</m:t>
          </m:r>
          <m:r>
            <m:t>  </m:t>
          </m:r>
          <m:r>
            <m:rPr>
              <m:sty m:val="p"/>
            </m:rPr>
            <m:t>sup</m:t>
          </m:r>
          <m:r>
            <m:rPr>
              <m:sty m:val="p"/>
            </m:rPr>
            <m:t>∥</m:t>
          </m:r>
          <m:sSup>
            <m:e>
              <m:r>
                <m:t>D</m:t>
              </m:r>
            </m:e>
            <m:sup>
              <m:r>
                <m:t>2</m:t>
              </m:r>
            </m:sup>
          </m:sSup>
          <m:r>
            <m:t>F</m:t>
          </m:r>
          <m:r>
            <m:rPr>
              <m:sty m:val="p"/>
            </m:rPr>
            <m:t>∥</m:t>
          </m:r>
          <m:r>
            <m:rPr>
              <m:sty m:val="p"/>
            </m:rPr>
            <m:t>&lt;</m:t>
          </m:r>
          <m:sSup>
            <m:e>
              <m:r>
                <m:t>10</m:t>
              </m:r>
            </m:e>
            <m:sup>
              <m:r>
                <m:t>42</m:t>
              </m:r>
            </m:sup>
          </m:sSup>
          <m:r>
            <m:rPr>
              <m:sty m:val="p"/>
            </m:rPr>
            <m:t>,</m:t>
          </m:r>
        </m:oMath>
      </m:oMathPara>
    </w:p>
    <w:p>
      <w:pPr>
        <w:pStyle w:val="FirstParagraph"/>
      </w:pPr>
      <w:r>
        <w:t xml:space="preserve">and a nearest-image decomposition</w:t>
      </w:r>
    </w:p>
    <w:p>
      <w:pPr>
        <w:pStyle w:val="BodyText"/>
      </w:pPr>
      <m:oMathPara>
        <m:oMathParaPr>
          <m:jc m:val="center"/>
        </m:oMathParaPr>
        <m:oMath>
          <m:sSub>
            <m:e>
              <m:r>
                <m:t>J</m:t>
              </m:r>
            </m:e>
            <m:sub>
              <m:r>
                <m:t>24</m:t>
              </m:r>
            </m:sub>
          </m:sSub>
          <m:r>
            <m:rPr>
              <m:sty m:val="p"/>
            </m:rPr>
            <m:t>−</m:t>
          </m:r>
          <m:sSub>
            <m:e>
              <m:r>
                <m:t>J</m:t>
              </m:r>
            </m:e>
            <m:sub>
              <m:r>
                <m:t>0</m:t>
              </m:r>
            </m:sub>
          </m:sSub>
          <m:r>
            <m:rPr>
              <m:sty m:val="p"/>
            </m:rPr>
            <m:t>=</m:t>
          </m:r>
          <m:sSubSup>
            <m:e>
              <m:r>
                <m:t>J</m:t>
              </m:r>
            </m:e>
            <m:sub>
              <m:r>
                <m:rPr>
                  <m:sty m:val="p"/>
                </m:rPr>
                <m:t>n</m:t>
              </m:r>
              <m:r>
                <m:rPr>
                  <m:sty m:val="p"/>
                </m:rPr>
                <m:t>e</m:t>
              </m:r>
              <m:r>
                <m:rPr>
                  <m:sty m:val="p"/>
                </m:rPr>
                <m:t>a</m:t>
              </m:r>
              <m:r>
                <m:rPr>
                  <m:sty m:val="p"/>
                </m:rPr>
                <m:t>r</m:t>
              </m:r>
            </m:sub>
            <m:sup>
              <m:d>
                <m:dPr>
                  <m:begChr m:val="("/>
                  <m:endChr m:val=")"/>
                  <m:sepChr m:val=""/>
                  <m:grow/>
                </m:dPr>
                <m:e>
                  <m:r>
                    <m:t>1</m:t>
                  </m:r>
                </m:e>
              </m:d>
            </m:sup>
          </m:sSubSup>
          <m:r>
            <m:rPr>
              <m:sty m:val="p"/>
            </m:rPr>
            <m:t>+</m:t>
          </m:r>
          <m:sSub>
            <m:e>
              <m:r>
                <m:t>R</m:t>
              </m:r>
            </m:e>
            <m:sub>
              <m:r>
                <m:rPr>
                  <m:sty m:val="p"/>
                </m:rPr>
                <m:t>j</m:t>
              </m:r>
              <m:r>
                <m:rPr>
                  <m:sty m:val="p"/>
                </m:rPr>
                <m:t>e</m:t>
              </m:r>
              <m:r>
                <m:rPr>
                  <m:sty m:val="p"/>
                </m:rPr>
                <m:t>t</m:t>
              </m:r>
            </m:sub>
          </m:sSub>
          <m:r>
            <m:rPr>
              <m:sty m:val="p"/>
            </m:rPr>
            <m:t>,</m:t>
          </m:r>
        </m:oMath>
      </m:oMathPara>
    </w:p>
    <w:p>
      <w:pPr>
        <w:pStyle w:val="FirstParagraph"/>
      </w:pPr>
      <w:r>
        <w:t xml:space="preserve">with</w:t>
      </w:r>
    </w:p>
    <w:p>
      <w:pPr>
        <w:pStyle w:val="BodyText"/>
      </w:pPr>
      <m:oMathPara>
        <m:oMathParaPr>
          <m:jc m:val="center"/>
        </m:oMathParaPr>
        <m:oMath>
          <m:r>
            <m:rPr>
              <m:sty m:val="p"/>
            </m:rPr>
            <m:t>∥</m:t>
          </m:r>
          <m:sSub>
            <m:e>
              <m:r>
                <m:t>J</m:t>
              </m:r>
            </m:e>
            <m:sub>
              <m:r>
                <m:t>24</m:t>
              </m:r>
            </m:sub>
          </m:sSub>
          <m:r>
            <m:rPr>
              <m:sty m:val="p"/>
            </m:rPr>
            <m:t>−</m:t>
          </m:r>
          <m:sSub>
            <m:e>
              <m:r>
                <m:t>J</m:t>
              </m:r>
            </m:e>
            <m:sub>
              <m:r>
                <m:t>0</m:t>
              </m:r>
            </m:sub>
          </m:sSub>
          <m:sSub>
            <m:e>
              <m:r>
                <m:rPr>
                  <m:sty m:val="p"/>
                </m:rPr>
                <m:t>∥</m:t>
              </m:r>
            </m:e>
            <m:sub>
              <m:r>
                <m:rPr>
                  <m:sty m:val="p"/>
                </m:rPr>
                <m:t>max</m:t>
              </m:r>
            </m:sub>
          </m:sSub>
          <m:r>
            <m:rPr>
              <m:sty m:val="p"/>
            </m:rPr>
            <m:t>&lt;</m:t>
          </m:r>
          <m:sSup>
            <m:e>
              <m:r>
                <m:t>10</m:t>
              </m:r>
            </m:e>
            <m:sup>
              <m:r>
                <m:rPr>
                  <m:sty m:val="p"/>
                </m:rPr>
                <m:t>−</m:t>
              </m:r>
              <m:r>
                <m:t>113</m:t>
              </m:r>
            </m:sup>
          </m:sSup>
          <m:r>
            <m:rPr>
              <m:sty m:val="p"/>
            </m:rPr>
            <m:t>,</m:t>
          </m:r>
          <m:r>
            <m:t>  </m:t>
          </m:r>
          <m:r>
            <m:rPr>
              <m:sty m:val="p"/>
            </m:rPr>
            <m:t>∥</m:t>
          </m:r>
          <m:sSub>
            <m:e>
              <m:r>
                <m:t>R</m:t>
              </m:r>
            </m:e>
            <m:sub>
              <m:r>
                <m:rPr>
                  <m:sty m:val="p"/>
                </m:rPr>
                <m:t>j</m:t>
              </m:r>
              <m:r>
                <m:rPr>
                  <m:sty m:val="p"/>
                </m:rPr>
                <m:t>e</m:t>
              </m:r>
              <m:r>
                <m:rPr>
                  <m:sty m:val="p"/>
                </m:rPr>
                <m:t>t</m:t>
              </m:r>
            </m:sub>
          </m:sSub>
          <m:sSub>
            <m:e>
              <m:r>
                <m:rPr>
                  <m:sty m:val="p"/>
                </m:rPr>
                <m:t>∥</m:t>
              </m:r>
            </m:e>
            <m:sub>
              <m:r>
                <m:rPr>
                  <m:sty m:val="p"/>
                </m:rPr>
                <m:t>max</m:t>
              </m:r>
            </m:sub>
          </m:sSub>
          <m:r>
            <m:rPr>
              <m:sty m:val="p"/>
            </m:rPr>
            <m:t>&lt;</m:t>
          </m:r>
          <m:sSup>
            <m:e>
              <m:r>
                <m:t>10</m:t>
              </m:r>
            </m:e>
            <m:sup>
              <m:r>
                <m:rPr>
                  <m:sty m:val="p"/>
                </m:rPr>
                <m:t>−</m:t>
              </m:r>
              <m:r>
                <m:t>230</m:t>
              </m:r>
            </m:sup>
          </m:sSup>
          <m:r>
            <m:rPr>
              <m:sty m:val="p"/>
            </m:rPr>
            <m:t>.</m:t>
          </m:r>
        </m:oMath>
      </m:oMathPara>
    </w:p>
    <w:p>
      <w:pPr>
        <w:pStyle w:val="FirstParagraph"/>
      </w:pPr>
      <w:r>
        <w:t xml:space="preserve">Rotational projection of the six nearest images is stated to give</w:t>
      </w:r>
    </w:p>
    <w:p>
      <w:pPr>
        <w:pStyle w:val="BodyText"/>
      </w:pPr>
      <m:oMathPara>
        <m:oMathParaPr>
          <m:jc m:val="center"/>
        </m:oMathParaPr>
        <m:oMath>
          <m:r>
            <m:t>D</m:t>
          </m:r>
          <m:r>
            <m:t>F</m:t>
          </m:r>
          <m:d>
            <m:dPr>
              <m:begChr m:val="("/>
              <m:endChr m:val=")"/>
              <m:sepChr m:val=""/>
              <m:grow/>
            </m:dPr>
            <m:e>
              <m:sSub>
                <m:e>
                  <m:r>
                    <m:t>J</m:t>
                  </m:r>
                </m:e>
                <m:sub>
                  <m:r>
                    <m:t>0</m:t>
                  </m:r>
                </m:sub>
              </m:sSub>
            </m:e>
          </m:d>
          <m:d>
            <m:dPr>
              <m:begChr m:val="["/>
              <m:endChr m:val="]"/>
              <m:sepChr m:val=""/>
              <m:grow/>
            </m:dPr>
            <m:e>
              <m:sSubSup>
                <m:e>
                  <m:r>
                    <m:t>J</m:t>
                  </m:r>
                </m:e>
                <m:sub>
                  <m:r>
                    <m:rPr>
                      <m:sty m:val="p"/>
                    </m:rPr>
                    <m:t>n</m:t>
                  </m:r>
                  <m:r>
                    <m:rPr>
                      <m:sty m:val="p"/>
                    </m:rPr>
                    <m:t>e</m:t>
                  </m:r>
                  <m:r>
                    <m:rPr>
                      <m:sty m:val="p"/>
                    </m:rPr>
                    <m:t>a</m:t>
                  </m:r>
                  <m:r>
                    <m:rPr>
                      <m:sty m:val="p"/>
                    </m:rPr>
                    <m:t>r</m:t>
                  </m:r>
                </m:sub>
                <m:sup>
                  <m:d>
                    <m:dPr>
                      <m:begChr m:val="("/>
                      <m:endChr m:val=")"/>
                      <m:sepChr m:val=""/>
                      <m:grow/>
                    </m:dPr>
                    <m:e>
                      <m:r>
                        <m:t>1</m:t>
                      </m:r>
                    </m:e>
                  </m:d>
                </m:sup>
              </m:sSubSup>
            </m:e>
          </m:d>
          <m:r>
            <m:rPr>
              <m:sty m:val="p"/>
            </m:rPr>
            <m:t>=</m:t>
          </m:r>
          <m:sSub>
            <m:e>
              <m:r>
                <m:t>P</m:t>
              </m:r>
            </m:e>
            <m:sub>
              <m:r>
                <m:t>3</m:t>
              </m:r>
            </m:sub>
          </m:sSub>
          <m:d>
            <m:dPr>
              <m:begChr m:val="("/>
              <m:endChr m:val=")"/>
              <m:sepChr m:val=""/>
              <m:grow/>
            </m:dPr>
            <m:e>
              <m:r>
                <m:t>24</m:t>
              </m:r>
            </m:e>
          </m:d>
          <m:sSup>
            <m:e>
              <m:r>
                <m:t>e</m:t>
              </m:r>
            </m:e>
            <m:sup>
              <m:r>
                <m:rPr>
                  <m:sty m:val="p"/>
                </m:rPr>
                <m:t>−</m:t>
              </m:r>
              <m:r>
                <m:t>288</m:t>
              </m:r>
            </m:sup>
          </m:sSup>
          <m:r>
            <m:rPr>
              <m:sty m:val="p"/>
            </m:rPr>
            <m:t>,</m:t>
          </m:r>
        </m:oMath>
      </m:oMathPara>
    </w:p>
    <w:p>
      <w:pPr>
        <w:pStyle w:val="FirstParagraph"/>
      </w:pPr>
      <w:r>
        <w:t xml:space="preserve">where</w:t>
      </w:r>
    </w:p>
    <w:p>
      <w:pPr>
        <w:pStyle w:val="BodyText"/>
      </w:pPr>
      <m:oMathPara>
        <m:oMathParaPr>
          <m:jc m:val="center"/>
        </m:oMathParaPr>
        <m:oMath>
          <m:sSub>
            <m:e>
              <m:r>
                <m:t>P</m:t>
              </m:r>
            </m:e>
            <m:sub>
              <m:r>
                <m:t>3</m:t>
              </m:r>
            </m:sub>
          </m:sSub>
          <m:d>
            <m:dPr>
              <m:begChr m:val="("/>
              <m:endChr m:val=")"/>
              <m:sepChr m:val=""/>
              <m:grow/>
            </m:dPr>
            <m:e>
              <m:r>
                <m:t>L</m:t>
              </m:r>
            </m:e>
          </m:d>
          <m:r>
            <m:rPr>
              <m:sty m:val="p"/>
            </m:rPr>
            <m:t>=</m:t>
          </m:r>
          <m:r>
            <m:rPr>
              <m:sty m:val="p"/>
            </m:rPr>
            <m:t>−</m:t>
          </m:r>
          <m:f>
            <m:fPr>
              <m:type m:val="bar"/>
            </m:fPr>
            <m:num>
              <m:sSup>
                <m:e>
                  <m:r>
                    <m:t>L</m:t>
                  </m:r>
                </m:e>
                <m:sup>
                  <m:r>
                    <m:t>2</m:t>
                  </m:r>
                </m:sup>
              </m:sSup>
              <m:d>
                <m:dPr>
                  <m:begChr m:val="("/>
                  <m:endChr m:val=")"/>
                  <m:sepChr m:val=""/>
                  <m:grow/>
                </m:dPr>
                <m:e>
                  <m:r>
                    <m:t>10</m:t>
                  </m:r>
                  <m:sSup>
                    <m:e>
                      <m:r>
                        <m:t>L</m:t>
                      </m:r>
                    </m:e>
                    <m:sup>
                      <m:r>
                        <m:t>4</m:t>
                      </m:r>
                    </m:sup>
                  </m:sSup>
                  <m:r>
                    <m:rPr>
                      <m:sty m:val="p"/>
                    </m:rPr>
                    <m:t>−</m:t>
                  </m:r>
                  <m:r>
                    <m:t>147</m:t>
                  </m:r>
                  <m:sSup>
                    <m:e>
                      <m:r>
                        <m:t>L</m:t>
                      </m:r>
                    </m:e>
                    <m:sup>
                      <m:r>
                        <m:t>2</m:t>
                      </m:r>
                    </m:sup>
                  </m:sSup>
                  <m:r>
                    <m:rPr>
                      <m:sty m:val="p"/>
                    </m:rPr>
                    <m:t>+</m:t>
                  </m:r>
                  <m:r>
                    <m:t>315</m:t>
                  </m:r>
                </m:e>
              </m:d>
            </m:num>
            <m:den>
              <m:r>
                <m:t>105</m:t>
              </m:r>
            </m:den>
          </m:f>
          <m:r>
            <m:rPr>
              <m:sty m:val="p"/>
            </m:rPr>
            <m:t>,</m:t>
          </m:r>
          <m:r>
            <m:t>  </m:t>
          </m:r>
          <m:sSub>
            <m:e>
              <m:r>
                <m:t>P</m:t>
              </m:r>
            </m:e>
            <m:sub>
              <m:r>
                <m:t>3</m:t>
              </m:r>
            </m:sub>
          </m:sSub>
          <m:d>
            <m:dPr>
              <m:begChr m:val="("/>
              <m:endChr m:val=")"/>
              <m:sepChr m:val=""/>
              <m:grow/>
            </m:dPr>
            <m:e>
              <m:r>
                <m:t>24</m:t>
              </m:r>
            </m:e>
          </m:d>
          <m:r>
            <m:rPr>
              <m:sty m:val="p"/>
            </m:rPr>
            <m:t>=</m:t>
          </m:r>
          <m:r>
            <m:rPr>
              <m:sty m:val="p"/>
            </m:rPr>
            <m:t>−</m:t>
          </m:r>
          <m:f>
            <m:fPr>
              <m:type m:val="bar"/>
            </m:fPr>
            <m:num>
              <m:r>
                <m:t>620813376</m:t>
              </m:r>
            </m:num>
            <m:den>
              <m:r>
                <m:t>35</m:t>
              </m:r>
            </m:den>
          </m:f>
          <m:r>
            <m:rPr>
              <m:sty m:val="p"/>
            </m:rPr>
            <m:t>.</m:t>
          </m:r>
        </m:oMath>
      </m:oMathPara>
    </w:p>
    <w:p>
      <w:pPr>
        <w:pStyle w:val="FirstParagraph"/>
      </w:pPr>
      <w:r>
        <w:t xml:space="preserve">The exact remainder ledger is bundled. Manuscript equations (3.31a)–(3.31f) now reproduce the full first-variation algebra from the spectral moments through</w:t>
      </w:r>
      <w:r>
        <w:t xml:space="preserve"> </w:t>
      </w:r>
      <m:oMath>
        <m:sSub>
          <m:e>
            <m:r>
              <m:t>P</m:t>
            </m:r>
          </m:e>
          <m:sub>
            <m:r>
              <m:t>3</m:t>
            </m:r>
          </m:sub>
        </m:sSub>
        <m:d>
          <m:dPr>
            <m:begChr m:val="("/>
            <m:endChr m:val=")"/>
            <m:sepChr m:val=""/>
            <m:grow/>
          </m:dPr>
          <m:e>
            <m:r>
              <m:t>L</m:t>
            </m:r>
          </m:e>
        </m:d>
      </m:oMath>
      <w:r>
        <w:t xml:space="preserve">, while Appendix Module H gives the fixed-cone differentiation formulas. A reviewer should still distinguish those analytic arguments from the larger numerical majorants encoded by the scripts and independently check the moment convention, derivative norms, and jet-ball hypotheses.</w:t>
      </w:r>
    </w:p>
    <w:bookmarkEnd w:id="51"/>
    <w:bookmarkStart w:id="52" w:name="proof-dependency-map"/>
    <w:p>
      <w:pPr>
        <w:pStyle w:val="Heading1"/>
        <w:keepNext/>
      </w:pPr>
      <w:r>
        <w:t xml:space="preserve">11. Proof dependency map</w:t>
      </w:r>
    </w:p>
    <w:p>
      <w:pPr>
        <w:pStyle w:val="FirstParagraph"/>
      </w:pPr>
      <w:r>
        <w:t xml:space="preserve">The current review appendix is organized into twelve modules:</w:t>
      </w:r>
    </w:p>
    <w:tbl>
      <w:tblPr>
        <w:tblStyle w:val="Table"/>
        <w:tblW w:type="pct" w:w="5000"/>
        <w:tblLayout w:type="autofit"/>
        <w:tblLook w:firstRow="1" w:lastRow="0" w:firstColumn="0" w:lastColumn="0" w:noHBand="0" w:noVBand="0" w:val="0020"/>
        <w:jc w:val="start"/>
      </w:tblPr>
      <w:tblGrid>
        <w:gridCol w:w="2376"/>
        <w:gridCol w:w="2376"/>
        <w:gridCol w:w="3168"/>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Module</w:t>
            </w:r>
          </w:p>
        </w:tc>
        <w:tc>
          <w:tcPr>
            <w:tcMar>
              <w:top w:w="80" w:type="dxa"/>
              <w:left w:w="80" w:type="dxa"/>
              <w:bottom w:w="80" w:type="dxa"/>
              <w:right w:w="80" w:type="dxa"/>
            </w:tcMar>
          </w:tcPr>
          <w:p>
            <w:pPr>
              <w:pStyle w:val="Compact"/>
              <w:spacing w:after="40"/>
              <w:jc w:val="left"/>
            </w:pPr>
            <w:r>
              <w:rPr>
                <w:rFonts w:ascii="Arial" w:hAnsi="Arial"/>
                <w:b/>
                <w:sz w:val="17"/>
              </w:rPr>
              <w:t xml:space="preserve">Mathematical function</w:t>
            </w:r>
          </w:p>
        </w:tc>
        <w:tc>
          <w:tcPr>
            <w:tcMar>
              <w:top w:w="80" w:type="dxa"/>
              <w:left w:w="80" w:type="dxa"/>
              <w:bottom w:w="80" w:type="dxa"/>
              <w:right w:w="80" w:type="dxa"/>
            </w:tcMar>
          </w:tcPr>
          <w:p>
            <w:pPr>
              <w:pStyle w:val="Compact"/>
              <w:spacing w:after="40"/>
              <w:jc w:val="right"/>
            </w:pPr>
            <w:r>
              <w:rPr>
                <w:rFonts w:ascii="Arial" w:hAnsi="Arial"/>
                <w:b/>
                <w:sz w:val="17"/>
              </w:rPr>
              <w:t xml:space="preserve">Review priority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A</w:t>
            </w:r>
          </w:p>
        </w:tc>
        <w:tc>
          <w:tcPr>
            <w:tcMar>
              <w:top w:w="80" w:type="dxa"/>
              <w:left w:w="80" w:type="dxa"/>
              <w:bottom w:w="80" w:type="dxa"/>
              <w:right w:w="80" w:type="dxa"/>
            </w:tcMar>
          </w:tcPr>
          <w:p>
            <w:pPr>
              <w:pStyle w:val="Compact"/>
              <w:spacing w:after="40"/>
              <w:jc w:val="left"/>
            </w:pPr>
            <w:r>
              <w:rPr>
                <w:rFonts w:ascii="Arial" w:hAnsi="Arial"/>
                <w:sz w:val="17"/>
              </w:rPr>
              <w:t xml:space="preserve">Corrected pins, dimension cancellation, lifetime pushforward</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B</w:t>
            </w:r>
          </w:p>
        </w:tc>
        <w:tc>
          <w:tcPr>
            <w:tcMar>
              <w:top w:w="80" w:type="dxa"/>
              <w:left w:w="80" w:type="dxa"/>
              <w:bottom w:w="80" w:type="dxa"/>
              <w:right w:w="80" w:type="dxa"/>
            </w:tcMar>
          </w:tcPr>
          <w:p>
            <w:pPr>
              <w:pStyle w:val="Compact"/>
              <w:spacing w:after="40"/>
              <w:jc w:val="left"/>
            </w:pPr>
            <w:r>
              <w:rPr>
                <w:rFonts w:ascii="Arial" w:hAnsi="Arial"/>
                <w:sz w:val="17"/>
              </w:rPr>
              <w:t xml:space="preserve">Collar and singular-near contact charts</w:t>
            </w:r>
          </w:p>
        </w:tc>
        <w:tc>
          <w:tcPr>
            <w:tcMar>
              <w:top w:w="80" w:type="dxa"/>
              <w:left w:w="80" w:type="dxa"/>
              <w:bottom w:w="80" w:type="dxa"/>
              <w:right w:w="80" w:type="dxa"/>
            </w:tcMar>
          </w:tcPr>
          <w:p>
            <w:pPr>
              <w:pStyle w:val="Compact"/>
              <w:spacing w:after="40"/>
              <w:jc w:val="right"/>
            </w:pPr>
            <w:r>
              <w:rPr>
                <w:rFonts w:ascii="Arial" w:hAnsi="Arial"/>
                <w:sz w:val="17"/>
              </w:rPr>
              <w:t xml:space="preserve">Very 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w:t>
            </w:r>
          </w:p>
        </w:tc>
        <w:tc>
          <w:tcPr>
            <w:tcMar>
              <w:top w:w="80" w:type="dxa"/>
              <w:left w:w="80" w:type="dxa"/>
              <w:bottom w:w="80" w:type="dxa"/>
              <w:right w:w="80" w:type="dxa"/>
            </w:tcMar>
          </w:tcPr>
          <w:p>
            <w:pPr>
              <w:pStyle w:val="Compact"/>
              <w:spacing w:after="40"/>
              <w:jc w:val="left"/>
            </w:pPr>
            <w:r>
              <w:rPr>
                <w:rFonts w:ascii="Arial" w:hAnsi="Arial"/>
                <w:sz w:val="17"/>
              </w:rPr>
              <w:t xml:space="preserve">Fixed-side coefficient reduction</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D</w:t>
            </w:r>
          </w:p>
        </w:tc>
        <w:tc>
          <w:tcPr>
            <w:tcMar>
              <w:top w:w="80" w:type="dxa"/>
              <w:left w:w="80" w:type="dxa"/>
              <w:bottom w:w="80" w:type="dxa"/>
              <w:right w:w="80" w:type="dxa"/>
            </w:tcMar>
          </w:tcPr>
          <w:p>
            <w:pPr>
              <w:pStyle w:val="Compact"/>
              <w:spacing w:after="40"/>
              <w:jc w:val="left"/>
            </w:pPr>
            <w:r>
              <w:rPr>
                <w:rFonts w:ascii="Arial" w:hAnsi="Arial"/>
                <w:sz w:val="17"/>
              </w:rPr>
              <w:t xml:space="preserve">Coefficient-map derivative bounds</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w:t>
            </w:r>
          </w:p>
        </w:tc>
        <w:tc>
          <w:tcPr>
            <w:tcMar>
              <w:top w:w="80" w:type="dxa"/>
              <w:left w:w="80" w:type="dxa"/>
              <w:bottom w:w="80" w:type="dxa"/>
              <w:right w:w="80" w:type="dxa"/>
            </w:tcMar>
          </w:tcPr>
          <w:p>
            <w:pPr>
              <w:pStyle w:val="Compact"/>
              <w:spacing w:after="40"/>
              <w:jc w:val="left"/>
            </w:pPr>
            <w:r>
              <w:rPr>
                <w:rFonts w:ascii="Arial" w:hAnsi="Arial"/>
                <w:sz w:val="17"/>
              </w:rPr>
              <w:t xml:space="preserve">Structural transfer to side 24</w:t>
            </w:r>
          </w:p>
        </w:tc>
        <w:tc>
          <w:tcPr>
            <w:tcMar>
              <w:top w:w="80" w:type="dxa"/>
              <w:left w:w="80" w:type="dxa"/>
              <w:bottom w:w="80" w:type="dxa"/>
              <w:right w:w="80" w:type="dxa"/>
            </w:tcMar>
          </w:tcPr>
          <w:p>
            <w:pPr>
              <w:pStyle w:val="Compact"/>
              <w:spacing w:after="40"/>
              <w:jc w:val="right"/>
            </w:pPr>
            <w:r>
              <w:rPr>
                <w:rFonts w:ascii="Arial" w:hAnsi="Arial"/>
                <w:sz w:val="17"/>
              </w:rPr>
              <w:t xml:space="preserve">Very 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F</w:t>
            </w:r>
          </w:p>
        </w:tc>
        <w:tc>
          <w:tcPr>
            <w:tcMar>
              <w:top w:w="80" w:type="dxa"/>
              <w:left w:w="80" w:type="dxa"/>
              <w:bottom w:w="80" w:type="dxa"/>
              <w:right w:w="80" w:type="dxa"/>
            </w:tcMar>
          </w:tcPr>
          <w:p>
            <w:pPr>
              <w:pStyle w:val="Compact"/>
              <w:spacing w:after="40"/>
              <w:jc w:val="left"/>
            </w:pPr>
            <w:r>
              <w:rPr>
                <w:rFonts w:ascii="Arial" w:hAnsi="Arial"/>
                <w:sz w:val="17"/>
              </w:rPr>
              <w:t xml:space="preserve">Fourier-support nondegeneracy</w:t>
            </w:r>
          </w:p>
        </w:tc>
        <w:tc>
          <w:tcPr>
            <w:tcMar>
              <w:top w:w="80" w:type="dxa"/>
              <w:left w:w="80" w:type="dxa"/>
              <w:bottom w:w="80" w:type="dxa"/>
              <w:right w:w="80" w:type="dxa"/>
            </w:tcMar>
          </w:tcPr>
          <w:p>
            <w:pPr>
              <w:pStyle w:val="Compact"/>
              <w:spacing w:after="40"/>
              <w:jc w:val="right"/>
            </w:pPr>
            <w:r>
              <w:rPr>
                <w:rFonts w:ascii="Arial" w:hAnsi="Arial"/>
                <w:sz w:val="17"/>
              </w:rPr>
              <w:t xml:space="preserve">Medium</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w:t>
            </w:r>
          </w:p>
        </w:tc>
        <w:tc>
          <w:tcPr>
            <w:tcMar>
              <w:top w:w="80" w:type="dxa"/>
              <w:left w:w="80" w:type="dxa"/>
              <w:bottom w:w="80" w:type="dxa"/>
              <w:right w:w="80" w:type="dxa"/>
            </w:tcMar>
          </w:tcPr>
          <w:p>
            <w:pPr>
              <w:pStyle w:val="Compact"/>
              <w:spacing w:after="40"/>
              <w:jc w:val="left"/>
            </w:pPr>
            <w:r>
              <w:rPr>
                <w:rFonts w:ascii="Arial" w:hAnsi="Arial"/>
                <w:sz w:val="17"/>
              </w:rPr>
              <w:t xml:space="preserve">Nearest-image jet remainder</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H</w:t>
            </w:r>
          </w:p>
        </w:tc>
        <w:tc>
          <w:tcPr>
            <w:tcMar>
              <w:top w:w="80" w:type="dxa"/>
              <w:left w:w="80" w:type="dxa"/>
              <w:bottom w:w="80" w:type="dxa"/>
              <w:right w:w="80" w:type="dxa"/>
            </w:tcMar>
          </w:tcPr>
          <w:p>
            <w:pPr>
              <w:pStyle w:val="Compact"/>
              <w:spacing w:after="40"/>
              <w:jc w:val="left"/>
            </w:pPr>
            <w:r>
              <w:rPr>
                <w:rFonts w:ascii="Arial" w:hAnsi="Arial"/>
                <w:sz w:val="17"/>
              </w:rPr>
              <w:t xml:space="preserve">Corrections, first variation, interface ledger</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I</w:t>
            </w:r>
          </w:p>
        </w:tc>
        <w:tc>
          <w:tcPr>
            <w:tcMar>
              <w:top w:w="80" w:type="dxa"/>
              <w:left w:w="80" w:type="dxa"/>
              <w:bottom w:w="80" w:type="dxa"/>
              <w:right w:w="80" w:type="dxa"/>
            </w:tcMar>
          </w:tcPr>
          <w:p>
            <w:pPr>
              <w:pStyle w:val="Compact"/>
              <w:spacing w:after="40"/>
              <w:jc w:val="left"/>
            </w:pPr>
            <w:r>
              <w:rPr>
                <w:rFonts w:ascii="Arial" w:hAnsi="Arial"/>
                <w:sz w:val="17"/>
              </w:rPr>
              <w:t xml:space="preserve">Palm witness counts and selection recombination</w:t>
            </w:r>
          </w:p>
        </w:tc>
        <w:tc>
          <w:tcPr>
            <w:tcMar>
              <w:top w:w="80" w:type="dxa"/>
              <w:left w:w="80" w:type="dxa"/>
              <w:bottom w:w="80" w:type="dxa"/>
              <w:right w:w="80" w:type="dxa"/>
            </w:tcMar>
          </w:tcPr>
          <w:p>
            <w:pPr>
              <w:pStyle w:val="Compact"/>
              <w:spacing w:after="40"/>
              <w:jc w:val="right"/>
            </w:pPr>
            <w:r>
              <w:rPr>
                <w:rFonts w:ascii="Arial" w:hAnsi="Arial"/>
                <w:sz w:val="17"/>
              </w:rPr>
              <w:t xml:space="preserve">Very 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J</w:t>
            </w:r>
          </w:p>
        </w:tc>
        <w:tc>
          <w:tcPr>
            <w:tcMar>
              <w:top w:w="80" w:type="dxa"/>
              <w:left w:w="80" w:type="dxa"/>
              <w:bottom w:w="80" w:type="dxa"/>
              <w:right w:w="80" w:type="dxa"/>
            </w:tcMar>
          </w:tcPr>
          <w:p>
            <w:pPr>
              <w:pStyle w:val="Compact"/>
              <w:spacing w:after="40"/>
              <w:jc w:val="left"/>
            </w:pPr>
            <w:r>
              <w:rPr>
                <w:rFonts w:ascii="Arial" w:hAnsi="Arial"/>
                <w:sz w:val="17"/>
              </w:rPr>
              <w:t xml:space="preserve">Energy-adapted matrix capture/escape</w:t>
            </w:r>
          </w:p>
        </w:tc>
        <w:tc>
          <w:tcPr>
            <w:tcMar>
              <w:top w:w="80" w:type="dxa"/>
              <w:left w:w="80" w:type="dxa"/>
              <w:bottom w:w="80" w:type="dxa"/>
              <w:right w:w="80" w:type="dxa"/>
            </w:tcMar>
          </w:tcPr>
          <w:p>
            <w:pPr>
              <w:pStyle w:val="Compact"/>
              <w:spacing w:after="40"/>
              <w:jc w:val="right"/>
            </w:pPr>
            <w:r>
              <w:rPr>
                <w:rFonts w:ascii="Arial" w:hAnsi="Arial"/>
                <w:sz w:val="17"/>
              </w:rPr>
              <w:t xml:space="preserve">Very 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K</w:t>
            </w:r>
          </w:p>
        </w:tc>
        <w:tc>
          <w:tcPr>
            <w:tcMar>
              <w:top w:w="80" w:type="dxa"/>
              <w:left w:w="80" w:type="dxa"/>
              <w:bottom w:w="80" w:type="dxa"/>
              <w:right w:w="80" w:type="dxa"/>
            </w:tcMar>
          </w:tcPr>
          <w:p>
            <w:pPr>
              <w:pStyle w:val="Compact"/>
              <w:spacing w:after="40"/>
              <w:jc w:val="left"/>
            </w:pPr>
            <w:r>
              <w:rPr>
                <w:rFonts w:ascii="Arial" w:hAnsi="Arial"/>
                <w:sz w:val="17"/>
              </w:rPr>
              <w:t xml:space="preserve">Absolute Kac–Rice normalization</w:t>
            </w:r>
          </w:p>
        </w:tc>
        <w:tc>
          <w:tcPr>
            <w:tcMar>
              <w:top w:w="80" w:type="dxa"/>
              <w:left w:w="80" w:type="dxa"/>
              <w:bottom w:w="80" w:type="dxa"/>
              <w:right w:w="80" w:type="dxa"/>
            </w:tcMar>
          </w:tcPr>
          <w:p>
            <w:pPr>
              <w:pStyle w:val="Compact"/>
              <w:spacing w:after="40"/>
              <w:jc w:val="right"/>
            </w:pPr>
            <w:r>
              <w:rPr>
                <w:rFonts w:ascii="Arial" w:hAnsi="Arial"/>
                <w:sz w:val="17"/>
              </w:rPr>
              <w:t xml:space="preserve">Very high</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L</w:t>
            </w:r>
          </w:p>
        </w:tc>
        <w:tc>
          <w:tcPr>
            <w:tcMar>
              <w:top w:w="80" w:type="dxa"/>
              <w:left w:w="80" w:type="dxa"/>
              <w:bottom w:w="80" w:type="dxa"/>
              <w:right w:w="80" w:type="dxa"/>
            </w:tcMar>
          </w:tcPr>
          <w:p>
            <w:pPr>
              <w:pStyle w:val="Compact"/>
              <w:spacing w:after="40"/>
              <w:jc w:val="left"/>
            </w:pPr>
            <w:r>
              <w:rPr>
                <w:rFonts w:ascii="Arial" w:hAnsi="Arial"/>
                <w:sz w:val="17"/>
              </w:rPr>
              <w:t xml:space="preserve">Ordered-pair coordinates and unit</w:t>
            </w:r>
            <w:r>
              <w:rPr>
                <w:rFonts w:ascii="Arial" w:hAnsi="Arial"/>
                <w:sz w:val="17"/>
              </w:rPr>
              <w:t xml:space="preserve"> </w:t>
            </w:r>
            <m:oMath>
              <m:sSub>
                <m:e>
                  <m:r>
                    <m:t>H</m:t>
                  </m:r>
                </m:e>
                <m:sub>
                  <m:r>
                    <m:t>0</m:t>
                  </m:r>
                </m:sub>
              </m:sSub>
            </m:oMath>
            <w:r>
              <w:rPr>
                <w:rFonts w:ascii="Arial" w:hAnsi="Arial"/>
                <w:sz w:val="17"/>
              </w:rPr>
              <w:t xml:space="preserve"> </w:t>
            </w:r>
            <w:r>
              <w:rPr>
                <w:rFonts w:ascii="Arial" w:hAnsi="Arial"/>
                <w:sz w:val="17"/>
              </w:rPr>
              <w:t xml:space="preserve">multiplicity</w:t>
            </w:r>
          </w:p>
        </w:tc>
        <w:tc>
          <w:tcPr>
            <w:tcMar>
              <w:top w:w="80" w:type="dxa"/>
              <w:left w:w="80" w:type="dxa"/>
              <w:bottom w:w="80" w:type="dxa"/>
              <w:right w:w="80" w:type="dxa"/>
            </w:tcMar>
          </w:tcPr>
          <w:p>
            <w:pPr>
              <w:pStyle w:val="Compact"/>
              <w:spacing w:after="40"/>
              <w:jc w:val="right"/>
            </w:pPr>
            <w:r>
              <w:rPr>
                <w:rFonts w:ascii="Arial" w:hAnsi="Arial"/>
                <w:sz w:val="17"/>
              </w:rPr>
              <w:t xml:space="preserve">High</w:t>
            </w:r>
          </w:p>
        </w:tc>
      </w:tr>
    </w:tbl>
    <w:p>
      <w:pPr>
        <w:pStyle w:val="BodyText"/>
      </w:pPr>
      <w:r>
        <w:t xml:space="preserve">The source equation numbers are local to each module and collide. The review appendix is therefore an audit source, not a submission-ready technical supplement. A journal version should prefix or globally renumber every equation and replace source IDs with conventional lemma names.</w:t>
      </w:r>
    </w:p>
    <w:bookmarkEnd w:id="52"/>
    <w:bookmarkStart w:id="53" w:name="X83b0726d4d4bd500aa515b04e3cfa551fa9aa6f"/>
    <w:p>
      <w:pPr>
        <w:pStyle w:val="Heading1"/>
        <w:keepNext/>
      </w:pPr>
      <w:r>
        <w:t xml:space="preserve">12. Current proof-gap and correction register</w:t>
      </w:r>
    </w:p>
    <w:p>
      <w:pPr>
        <w:pStyle w:val="FirstParagraph"/>
      </w:pPr>
      <w:r>
        <w:t xml:space="preserve">The following items must remain visible to the professor.</w:t>
      </w:r>
    </w:p>
    <w:tbl>
      <w:tblPr>
        <w:tblStyle w:val="Table"/>
        <w:tblW w:type="pct" w:w="5000"/>
        <w:tblLayout w:type="autofit"/>
        <w:tblLook w:firstRow="1" w:lastRow="0" w:firstColumn="0" w:lastColumn="0" w:noHBand="0" w:noVBand="0" w:val="0020"/>
        <w:jc w:val="start"/>
      </w:tblPr>
      <w:tblGrid>
        <w:gridCol w:w="2436"/>
        <w:gridCol w:w="1827"/>
        <w:gridCol w:w="1827"/>
        <w:gridCol w:w="1827"/>
      </w:tblGrid>
      <w:tr>
        <w:trPr>
          <w:tblHeader w:val="true"/>
          <w:cantSplit/>
        </w:trPr>
        <w:tc>
          <w:tcPr>
            <w:tcMar>
              <w:top w:w="80" w:type="dxa"/>
              <w:left w:w="80" w:type="dxa"/>
              <w:bottom w:w="80" w:type="dxa"/>
              <w:right w:w="80" w:type="dxa"/>
            </w:tcMar>
          </w:tcPr>
          <w:p>
            <w:pPr>
              <w:pStyle w:val="Compact"/>
              <w:spacing w:after="40"/>
              <w:jc w:val="right"/>
            </w:pPr>
            <w:r>
              <w:rPr>
                <w:rFonts w:ascii="Arial" w:hAnsi="Arial"/>
                <w:b/>
                <w:sz w:val="17"/>
              </w:rPr>
              <w:t xml:space="preserve">Priority</w:t>
            </w:r>
          </w:p>
        </w:tc>
        <w:tc>
          <w:tcPr>
            <w:tcMar>
              <w:top w:w="80" w:type="dxa"/>
              <w:left w:w="80" w:type="dxa"/>
              <w:bottom w:w="80" w:type="dxa"/>
              <w:right w:w="80" w:type="dxa"/>
            </w:tcMar>
          </w:tcPr>
          <w:p>
            <w:pPr>
              <w:pStyle w:val="Compact"/>
              <w:spacing w:after="40"/>
              <w:jc w:val="left"/>
            </w:pPr>
            <w:r>
              <w:rPr>
                <w:rFonts w:ascii="Arial" w:hAnsi="Arial"/>
                <w:b/>
                <w:sz w:val="17"/>
              </w:rPr>
              <w:t xml:space="preserve">Item</w:t>
            </w:r>
          </w:p>
        </w:tc>
        <w:tc>
          <w:tcPr>
            <w:tcMar>
              <w:top w:w="80" w:type="dxa"/>
              <w:left w:w="80" w:type="dxa"/>
              <w:bottom w:w="80" w:type="dxa"/>
              <w:right w:w="80" w:type="dxa"/>
            </w:tcMar>
          </w:tcPr>
          <w:p>
            <w:pPr>
              <w:pStyle w:val="Compact"/>
              <w:spacing w:after="40"/>
              <w:jc w:val="left"/>
            </w:pPr>
            <w:r>
              <w:rPr>
                <w:rFonts w:ascii="Arial" w:hAnsi="Arial"/>
                <w:b/>
                <w:sz w:val="17"/>
              </w:rPr>
              <w:t xml:space="preserve">Current state</w:t>
            </w:r>
          </w:p>
        </w:tc>
        <w:tc>
          <w:tcPr>
            <w:tcMar>
              <w:top w:w="80" w:type="dxa"/>
              <w:left w:w="80" w:type="dxa"/>
              <w:bottom w:w="80" w:type="dxa"/>
              <w:right w:w="80" w:type="dxa"/>
            </w:tcMar>
          </w:tcPr>
          <w:p>
            <w:pPr>
              <w:pStyle w:val="Compact"/>
              <w:spacing w:after="40"/>
              <w:jc w:val="left"/>
            </w:pPr>
            <w:r>
              <w:rPr>
                <w:rFonts w:ascii="Arial" w:hAnsi="Arial"/>
                <w:b/>
                <w:sz w:val="17"/>
              </w:rPr>
              <w:t xml:space="preserve">Required action</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1</w:t>
            </w:r>
          </w:p>
        </w:tc>
        <w:tc>
          <w:tcPr>
            <w:tcMar>
              <w:top w:w="80" w:type="dxa"/>
              <w:left w:w="80" w:type="dxa"/>
              <w:bottom w:w="80" w:type="dxa"/>
              <w:right w:w="80" w:type="dxa"/>
            </w:tcMar>
          </w:tcPr>
          <w:p>
            <w:pPr>
              <w:pStyle w:val="Compact"/>
              <w:spacing w:after="40"/>
              <w:jc w:val="left"/>
            </w:pPr>
            <w:r>
              <w:rPr>
                <w:rFonts w:ascii="Arial" w:hAnsi="Arial"/>
                <w:sz w:val="17"/>
              </w:rPr>
              <w:t xml:space="preserve">Elder-selection probability</w:t>
            </w:r>
          </w:p>
        </w:tc>
        <w:tc>
          <w:tcPr>
            <w:tcMar>
              <w:top w:w="80" w:type="dxa"/>
              <w:left w:w="80" w:type="dxa"/>
              <w:bottom w:w="80" w:type="dxa"/>
              <w:right w:w="80" w:type="dxa"/>
            </w:tcMar>
          </w:tcPr>
          <w:p>
            <w:pPr>
              <w:pStyle w:val="Compact"/>
              <w:spacing w:after="40"/>
              <w:jc w:val="left"/>
            </w:pPr>
            <w:r>
              <w:rPr>
                <w:rFonts w:ascii="Arial" w:hAnsi="Arial"/>
                <w:sz w:val="17"/>
              </w:rPr>
              <w:t xml:space="preserve">Lemmas 3.4a–3.4c reduce the failure probability, up to</w:t>
            </w:r>
            <w:r>
              <w:rPr>
                <w:rFonts w:ascii="Arial" w:hAnsi="Arial"/>
                <w:sz w:val="17"/>
              </w:rPr>
              <w:t xml:space="preserve"> </w:t>
            </w:r>
            <m:oMath>
              <m:r>
                <m:t>O</m:t>
              </m:r>
              <m:d>
                <m:dPr>
                  <m:begChr m:val="("/>
                  <m:endChr m:val=")"/>
                  <m:sepChr m:val=""/>
                  <m:grow/>
                </m:dPr>
                <m:e>
                  <m:sSup>
                    <m:e>
                      <m:r>
                        <m:t>r</m:t>
                      </m:r>
                    </m:e>
                    <m:sup>
                      <m:r>
                        <m:t>3</m:t>
                      </m:r>
                    </m:sup>
                  </m:sSup>
                </m:e>
              </m:d>
            </m:oMath>
            <w:r>
              <w:rPr>
                <w:rFonts w:ascii="Arial" w:hAnsi="Arial"/>
                <w:sz w:val="17"/>
              </w:rPr>
              <w:t xml:space="preserve">, to collar and singular-near earlier-death witnesses</w:t>
            </w:r>
          </w:p>
        </w:tc>
        <w:tc>
          <w:tcPr>
            <w:tcMar>
              <w:top w:w="80" w:type="dxa"/>
              <w:left w:w="80" w:type="dxa"/>
              <w:bottom w:w="80" w:type="dxa"/>
              <w:right w:w="80" w:type="dxa"/>
            </w:tcMar>
          </w:tcPr>
          <w:p>
            <w:pPr>
              <w:pStyle w:val="Compact"/>
              <w:spacing w:after="40"/>
              <w:jc w:val="left"/>
            </w:pPr>
            <w:r>
              <w:rPr>
                <w:rFonts w:ascii="Arial" w:hAnsi="Arial"/>
                <w:sz w:val="17"/>
              </w:rPr>
              <w:t xml:space="preserve">Verify the reduction and prove the two remaining regional determinant-weighted bounds</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2</w:t>
            </w:r>
          </w:p>
        </w:tc>
        <w:tc>
          <w:tcPr>
            <w:tcMar>
              <w:top w:w="80" w:type="dxa"/>
              <w:left w:w="80" w:type="dxa"/>
              <w:bottom w:w="80" w:type="dxa"/>
              <w:right w:w="80" w:type="dxa"/>
            </w:tcMar>
          </w:tcPr>
          <w:p>
            <w:pPr>
              <w:pStyle w:val="Compact"/>
              <w:spacing w:after="40"/>
              <w:jc w:val="left"/>
            </w:pPr>
            <w:r>
              <w:rPr>
                <w:rFonts w:ascii="Arial" w:hAnsi="Arial"/>
                <w:sz w:val="17"/>
              </w:rPr>
              <w:t xml:space="preserve">Capture/escape transfer</w:t>
            </w:r>
          </w:p>
        </w:tc>
        <w:tc>
          <w:tcPr>
            <w:tcMar>
              <w:top w:w="80" w:type="dxa"/>
              <w:left w:w="80" w:type="dxa"/>
              <w:bottom w:w="80" w:type="dxa"/>
              <w:right w:w="80" w:type="dxa"/>
            </w:tcMar>
          </w:tcPr>
          <w:p>
            <w:pPr>
              <w:pStyle w:val="Compact"/>
              <w:spacing w:after="40"/>
              <w:jc w:val="left"/>
            </w:pPr>
            <w:r>
              <w:rPr>
                <w:rFonts w:ascii="Arial" w:hAnsi="Arial"/>
                <w:sz w:val="17"/>
              </w:rPr>
              <w:t xml:space="preserve">Deterministic proof and Palm exceptional-set transfer are now written</w:t>
            </w:r>
          </w:p>
        </w:tc>
        <w:tc>
          <w:tcPr>
            <w:tcMar>
              <w:top w:w="80" w:type="dxa"/>
              <w:left w:w="80" w:type="dxa"/>
              <w:bottom w:w="80" w:type="dxa"/>
              <w:right w:w="80" w:type="dxa"/>
            </w:tcMar>
          </w:tcPr>
          <w:p>
            <w:pPr>
              <w:pStyle w:val="Compact"/>
              <w:spacing w:after="40"/>
              <w:jc w:val="left"/>
            </w:pPr>
            <w:r>
              <w:rPr>
                <w:rFonts w:ascii="Arial" w:hAnsi="Arial"/>
                <w:sz w:val="17"/>
              </w:rPr>
              <w:t xml:space="preserve">Independently verify the normal-form interpolation, shallow-eigenvalue coarea bound, and branch-to-component implications</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3</w:t>
            </w:r>
          </w:p>
        </w:tc>
        <w:tc>
          <w:tcPr>
            <w:tcMar>
              <w:top w:w="80" w:type="dxa"/>
              <w:left w:w="80" w:type="dxa"/>
              <w:bottom w:w="80" w:type="dxa"/>
              <w:right w:w="80" w:type="dxa"/>
            </w:tcMar>
          </w:tcPr>
          <w:p>
            <w:pPr>
              <w:pStyle w:val="Compact"/>
              <w:spacing w:after="40"/>
              <w:jc w:val="left"/>
            </w:pPr>
            <w:r>
              <w:rPr>
                <w:rFonts w:ascii="Arial" w:hAnsi="Arial"/>
                <w:sz w:val="17"/>
              </w:rPr>
              <w:t xml:space="preserve">Triple-contact elimination</w:t>
            </w:r>
          </w:p>
        </w:tc>
        <w:tc>
          <w:tcPr>
            <w:tcMar>
              <w:top w:w="80" w:type="dxa"/>
              <w:left w:w="80" w:type="dxa"/>
              <w:bottom w:w="80" w:type="dxa"/>
              <w:right w:w="80" w:type="dxa"/>
            </w:tcMar>
          </w:tcPr>
          <w:p>
            <w:pPr>
              <w:pStyle w:val="Compact"/>
              <w:spacing w:after="40"/>
              <w:jc w:val="left"/>
            </w:pPr>
            <w:r>
              <w:rPr>
                <w:rFonts w:ascii="Arial" w:hAnsi="Arial"/>
                <w:sz w:val="17"/>
              </w:rPr>
              <w:t xml:space="preserve">Symbolic limiting factor present; uniform angular and regional proof incomplete</w:t>
            </w:r>
          </w:p>
        </w:tc>
        <w:tc>
          <w:tcPr>
            <w:tcMar>
              <w:top w:w="80" w:type="dxa"/>
              <w:left w:w="80" w:type="dxa"/>
              <w:bottom w:w="80" w:type="dxa"/>
              <w:right w:w="80" w:type="dxa"/>
            </w:tcMar>
          </w:tcPr>
          <w:p>
            <w:pPr>
              <w:pStyle w:val="Compact"/>
              <w:spacing w:after="40"/>
              <w:jc w:val="left"/>
            </w:pPr>
            <w:r>
              <w:rPr>
                <w:rFonts w:ascii="Arial" w:hAnsi="Arial"/>
                <w:sz w:val="17"/>
              </w:rPr>
              <w:t xml:space="preserve">Supply the complete envelope and integrations</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4</w:t>
            </w:r>
          </w:p>
        </w:tc>
        <w:tc>
          <w:tcPr>
            <w:tcMar>
              <w:top w:w="80" w:type="dxa"/>
              <w:left w:w="80" w:type="dxa"/>
              <w:bottom w:w="80" w:type="dxa"/>
              <w:right w:w="80" w:type="dxa"/>
            </w:tcMar>
          </w:tcPr>
          <w:p>
            <w:pPr>
              <w:pStyle w:val="Compact"/>
              <w:spacing w:after="40"/>
              <w:jc w:val="left"/>
            </w:pPr>
            <w:r>
              <w:rPr>
                <w:rFonts w:ascii="Arial" w:hAnsi="Arial"/>
                <w:sz w:val="17"/>
              </w:rPr>
              <w:t xml:space="preserve">Module E transfer</w:t>
            </w:r>
          </w:p>
        </w:tc>
        <w:tc>
          <w:tcPr>
            <w:tcMar>
              <w:top w:w="80" w:type="dxa"/>
              <w:left w:w="80" w:type="dxa"/>
              <w:bottom w:w="80" w:type="dxa"/>
              <w:right w:w="80" w:type="dxa"/>
            </w:tcMar>
          </w:tcPr>
          <w:p>
            <w:pPr>
              <w:pStyle w:val="Compact"/>
              <w:spacing w:after="40"/>
              <w:jc w:val="left"/>
            </w:pPr>
            <w:r>
              <w:rPr>
                <w:rFonts w:ascii="Arial" w:hAnsi="Arial"/>
                <w:sz w:val="17"/>
              </w:rPr>
              <w:t xml:space="preserve">Hypotheses restored; false sharp</w:t>
            </w:r>
            <w:r>
              <w:rPr>
                <w:rFonts w:ascii="Arial" w:hAnsi="Arial"/>
                <w:sz w:val="17"/>
              </w:rPr>
              <w:t xml:space="preserve"> </w:t>
            </w:r>
            <m:oMath>
              <m:sSup>
                <m:e>
                  <m:r>
                    <m:t>C</m:t>
                  </m:r>
                </m:e>
                <m:sup>
                  <m:r>
                    <m:t>8</m:t>
                  </m:r>
                </m:sup>
              </m:sSup>
            </m:oMath>
            <w:r>
              <w:rPr>
                <w:rFonts w:ascii="Arial" w:hAnsi="Arial"/>
                <w:sz w:val="17"/>
              </w:rPr>
              <w:t xml:space="preserve"> </w:t>
            </w:r>
            <w:r>
              <w:rPr>
                <w:rFonts w:ascii="Arial" w:hAnsi="Arial"/>
                <w:sz w:val="17"/>
              </w:rPr>
              <w:t xml:space="preserve">number corrected; contact-face positivity proved; joint finite-</w:t>
            </w:r>
            <m:oMath>
              <m:r>
                <m:t>r</m:t>
              </m:r>
            </m:oMath>
            <w:r>
              <w:rPr>
                <w:rFonts w:ascii="Arial" w:hAnsi="Arial"/>
                <w:sz w:val="17"/>
              </w:rPr>
              <w:t xml:space="preserve"> </w:t>
            </w:r>
            <w:r>
              <w:rPr>
                <w:rFonts w:ascii="Arial" w:hAnsi="Arial"/>
                <w:sz w:val="17"/>
              </w:rPr>
              <w:t xml:space="preserve">envelope absent</w:t>
            </w:r>
          </w:p>
        </w:tc>
        <w:tc>
          <w:tcPr>
            <w:tcMar>
              <w:top w:w="80" w:type="dxa"/>
              <w:left w:w="80" w:type="dxa"/>
              <w:bottom w:w="80" w:type="dxa"/>
              <w:right w:w="80" w:type="dxa"/>
            </w:tcMar>
          </w:tcPr>
          <w:p>
            <w:pPr>
              <w:pStyle w:val="Compact"/>
              <w:spacing w:after="40"/>
              <w:jc w:val="left"/>
            </w:pPr>
            <w:r>
              <w:rPr>
                <w:rFonts w:ascii="Arial" w:hAnsi="Arial"/>
                <w:sz w:val="17"/>
              </w:rPr>
              <w:t xml:space="preserve">Prove a joint blow-up/compactness lemma on every boundary face or derive the normalized-coefficient envelope</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5</w:t>
            </w:r>
          </w:p>
        </w:tc>
        <w:tc>
          <w:tcPr>
            <w:tcMar>
              <w:top w:w="80" w:type="dxa"/>
              <w:left w:w="80" w:type="dxa"/>
              <w:bottom w:w="80" w:type="dxa"/>
              <w:right w:w="80" w:type="dxa"/>
            </w:tcMar>
          </w:tcPr>
          <w:p>
            <w:pPr>
              <w:pStyle w:val="Compact"/>
              <w:spacing w:after="40"/>
              <w:jc w:val="left"/>
            </w:pPr>
            <w:r>
              <w:rPr>
                <w:rFonts w:ascii="Arial" w:hAnsi="Arial"/>
                <w:sz w:val="17"/>
              </w:rPr>
              <w:t xml:space="preserve">Cone and first-variation constants</w:t>
            </w:r>
          </w:p>
        </w:tc>
        <w:tc>
          <w:tcPr>
            <w:tcMar>
              <w:top w:w="80" w:type="dxa"/>
              <w:left w:w="80" w:type="dxa"/>
              <w:bottom w:w="80" w:type="dxa"/>
              <w:right w:w="80" w:type="dxa"/>
            </w:tcMar>
          </w:tcPr>
          <w:p>
            <w:pPr>
              <w:pStyle w:val="Compact"/>
              <w:spacing w:after="40"/>
              <w:jc w:val="left"/>
            </w:pPr>
            <w:r>
              <w:rPr>
                <w:rFonts w:ascii="Arial" w:hAnsi="Arial"/>
                <w:sz w:val="17"/>
              </w:rPr>
              <w:t xml:space="preserve">GOE cone moment and first-image polynomial are now derived in prose</w:t>
            </w:r>
          </w:p>
        </w:tc>
        <w:tc>
          <w:tcPr>
            <w:tcMar>
              <w:top w:w="80" w:type="dxa"/>
              <w:left w:w="80" w:type="dxa"/>
              <w:bottom w:w="80" w:type="dxa"/>
              <w:right w:w="80" w:type="dxa"/>
            </w:tcMar>
          </w:tcPr>
          <w:p>
            <w:pPr>
              <w:pStyle w:val="Compact"/>
              <w:spacing w:after="40"/>
              <w:jc w:val="left"/>
            </w:pPr>
            <w:r>
              <w:rPr>
                <w:rFonts w:ascii="Arial" w:hAnsi="Arial"/>
                <w:sz w:val="17"/>
              </w:rPr>
              <w:t xml:space="preserve">Independently verify both calculations and their covariance-jet conventions</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6</w:t>
            </w:r>
          </w:p>
        </w:tc>
        <w:tc>
          <w:tcPr>
            <w:tcMar>
              <w:top w:w="80" w:type="dxa"/>
              <w:left w:w="80" w:type="dxa"/>
              <w:bottom w:w="80" w:type="dxa"/>
              <w:right w:w="80" w:type="dxa"/>
            </w:tcMar>
          </w:tcPr>
          <w:p>
            <w:pPr>
              <w:pStyle w:val="Compact"/>
              <w:spacing w:after="40"/>
              <w:jc w:val="left"/>
            </w:pPr>
            <w:r>
              <w:rPr>
                <w:rFonts w:ascii="Arial" w:hAnsi="Arial"/>
                <w:sz w:val="17"/>
              </w:rPr>
              <w:t xml:space="preserve">General notation in Module K</w:t>
            </w:r>
          </w:p>
        </w:tc>
        <w:tc>
          <w:tcPr>
            <w:tcMar>
              <w:top w:w="80" w:type="dxa"/>
              <w:left w:w="80" w:type="dxa"/>
              <w:bottom w:w="80" w:type="dxa"/>
              <w:right w:w="80" w:type="dxa"/>
            </w:tcMar>
          </w:tcPr>
          <w:p>
            <w:pPr>
              <w:pStyle w:val="Compact"/>
              <w:spacing w:after="40"/>
              <w:jc w:val="left"/>
            </w:pPr>
            <w:r>
              <w:rPr>
                <w:rFonts w:ascii="Arial" w:hAnsi="Arial"/>
                <w:sz w:val="17"/>
              </w:rPr>
              <w:t xml:space="preserve">Spectral moments and the normalized GOE-plus-scalar matrix are now defined</w:t>
            </w:r>
          </w:p>
        </w:tc>
        <w:tc>
          <w:tcPr>
            <w:tcMar>
              <w:top w:w="80" w:type="dxa"/>
              <w:left w:w="80" w:type="dxa"/>
              <w:bottom w:w="80" w:type="dxa"/>
              <w:right w:w="80" w:type="dxa"/>
            </w:tcMar>
          </w:tcPr>
          <w:p>
            <w:pPr>
              <w:pStyle w:val="Compact"/>
              <w:spacing w:after="40"/>
              <w:jc w:val="left"/>
            </w:pPr>
            <w:r>
              <w:rPr>
                <w:rFonts w:ascii="Arial" w:hAnsi="Arial"/>
                <w:sz w:val="17"/>
              </w:rPr>
              <w:t xml:space="preserve">Independently check the generic-to-</w:t>
            </w:r>
            <m:oMath>
              <m:r>
                <m:t>d</m:t>
              </m:r>
              <m:r>
                <m:rPr>
                  <m:sty m:val="p"/>
                </m:rPr>
                <m:t>=</m:t>
              </m:r>
              <m:r>
                <m:t>3</m:t>
              </m:r>
            </m:oMath>
            <w:r>
              <w:rPr>
                <w:rFonts w:ascii="Arial" w:hAnsi="Arial"/>
                <w:sz w:val="17"/>
              </w:rPr>
              <w:t xml:space="preserve"> </w:t>
            </w:r>
            <w:r>
              <w:rPr>
                <w:rFonts w:ascii="Arial" w:hAnsi="Arial"/>
                <w:sz w:val="17"/>
              </w:rPr>
              <w:t xml:space="preserve">specialization</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7</w:t>
            </w:r>
          </w:p>
        </w:tc>
        <w:tc>
          <w:tcPr>
            <w:tcMar>
              <w:top w:w="80" w:type="dxa"/>
              <w:left w:w="80" w:type="dxa"/>
              <w:bottom w:w="80" w:type="dxa"/>
              <w:right w:w="80" w:type="dxa"/>
            </w:tcMar>
          </w:tcPr>
          <w:p>
            <w:pPr>
              <w:pStyle w:val="Compact"/>
              <w:spacing w:after="40"/>
              <w:jc w:val="left"/>
            </w:pPr>
            <w:r>
              <w:rPr>
                <w:rFonts w:ascii="Arial" w:hAnsi="Arial"/>
                <w:sz w:val="17"/>
              </w:rPr>
              <w:t xml:space="preserve">Literature novelty</w:t>
            </w:r>
          </w:p>
        </w:tc>
        <w:tc>
          <w:tcPr>
            <w:tcMar>
              <w:top w:w="80" w:type="dxa"/>
              <w:left w:w="80" w:type="dxa"/>
              <w:bottom w:w="80" w:type="dxa"/>
              <w:right w:w="80" w:type="dxa"/>
            </w:tcMar>
          </w:tcPr>
          <w:p>
            <w:pPr>
              <w:pStyle w:val="Compact"/>
              <w:spacing w:after="40"/>
              <w:jc w:val="left"/>
            </w:pPr>
            <w:r>
              <w:rPr>
                <w:rFonts w:ascii="Arial" w:hAnsi="Arial"/>
                <w:sz w:val="17"/>
              </w:rPr>
              <w:t xml:space="preserve">Targeted search only</w:t>
            </w:r>
          </w:p>
        </w:tc>
        <w:tc>
          <w:tcPr>
            <w:tcMar>
              <w:top w:w="80" w:type="dxa"/>
              <w:left w:w="80" w:type="dxa"/>
              <w:bottom w:w="80" w:type="dxa"/>
              <w:right w:w="80" w:type="dxa"/>
            </w:tcMar>
          </w:tcPr>
          <w:p>
            <w:pPr>
              <w:pStyle w:val="Compact"/>
              <w:spacing w:after="40"/>
              <w:jc w:val="left"/>
            </w:pPr>
            <w:r>
              <w:rPr>
                <w:rFonts w:ascii="Arial" w:hAnsi="Arial"/>
                <w:sz w:val="17"/>
              </w:rPr>
              <w:t xml:space="preserve">Conduct MathSciNet/zbMATH/citation-network review</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8</w:t>
            </w:r>
          </w:p>
        </w:tc>
        <w:tc>
          <w:tcPr>
            <w:tcMar>
              <w:top w:w="80" w:type="dxa"/>
              <w:left w:w="80" w:type="dxa"/>
              <w:bottom w:w="80" w:type="dxa"/>
              <w:right w:w="80" w:type="dxa"/>
            </w:tcMar>
          </w:tcPr>
          <w:p>
            <w:pPr>
              <w:pStyle w:val="Compact"/>
              <w:spacing w:after="40"/>
              <w:jc w:val="left"/>
            </w:pPr>
            <w:r>
              <w:rPr>
                <w:rFonts w:ascii="Arial" w:hAnsi="Arial"/>
                <w:sz w:val="17"/>
              </w:rPr>
              <w:t xml:space="preserve">Off-diagonal elder pairs</w:t>
            </w:r>
          </w:p>
        </w:tc>
        <w:tc>
          <w:tcPr>
            <w:tcMar>
              <w:top w:w="80" w:type="dxa"/>
              <w:left w:w="80" w:type="dxa"/>
              <w:bottom w:w="80" w:type="dxa"/>
              <w:right w:w="80" w:type="dxa"/>
            </w:tcMar>
          </w:tcPr>
          <w:p>
            <w:pPr>
              <w:pStyle w:val="Compact"/>
              <w:spacing w:after="40"/>
              <w:jc w:val="left"/>
            </w:pPr>
            <w:r>
              <w:rPr>
                <w:rFonts w:ascii="Arial" w:hAnsi="Arial"/>
                <w:sz w:val="17"/>
              </w:rPr>
              <w:t xml:space="preserve">Lemma 3.5b newly inserted</w:t>
            </w:r>
          </w:p>
        </w:tc>
        <w:tc>
          <w:tcPr>
            <w:tcMar>
              <w:top w:w="80" w:type="dxa"/>
              <w:left w:w="80" w:type="dxa"/>
              <w:bottom w:w="80" w:type="dxa"/>
              <w:right w:w="80" w:type="dxa"/>
            </w:tcMar>
          </w:tcPr>
          <w:p>
            <w:pPr>
              <w:pStyle w:val="Compact"/>
              <w:spacing w:after="40"/>
              <w:jc w:val="left"/>
            </w:pPr>
            <w:r>
              <w:rPr>
                <w:rFonts w:ascii="Arial" w:hAnsi="Arial"/>
                <w:sz w:val="17"/>
              </w:rPr>
              <w:t xml:space="preserve">Independently verify the uniform regression bound</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9</w:t>
            </w:r>
          </w:p>
        </w:tc>
        <w:tc>
          <w:tcPr>
            <w:tcMar>
              <w:top w:w="80" w:type="dxa"/>
              <w:left w:w="80" w:type="dxa"/>
              <w:bottom w:w="80" w:type="dxa"/>
              <w:right w:w="80" w:type="dxa"/>
            </w:tcMar>
          </w:tcPr>
          <w:p>
            <w:pPr>
              <w:pStyle w:val="Compact"/>
              <w:spacing w:after="40"/>
              <w:jc w:val="left"/>
            </w:pPr>
            <w:r>
              <w:rPr>
                <w:rFonts w:ascii="Arial" w:hAnsi="Arial"/>
                <w:sz w:val="17"/>
              </w:rPr>
              <w:t xml:space="preserve">Exact near pushforward and domination</w:t>
            </w:r>
          </w:p>
        </w:tc>
        <w:tc>
          <w:tcPr>
            <w:tcMar>
              <w:top w:w="80" w:type="dxa"/>
              <w:left w:w="80" w:type="dxa"/>
              <w:bottom w:w="80" w:type="dxa"/>
              <w:right w:w="80" w:type="dxa"/>
            </w:tcMar>
          </w:tcPr>
          <w:p>
            <w:pPr>
              <w:pStyle w:val="Compact"/>
              <w:spacing w:after="40"/>
              <w:jc w:val="left"/>
            </w:pPr>
            <w:r>
              <w:rPr>
                <w:rFonts w:ascii="Arial" w:hAnsi="Arial"/>
                <w:sz w:val="17"/>
              </w:rPr>
              <w:t xml:space="preserve">Lemmas 3.3 and 3.5a newly inserted</w:t>
            </w:r>
          </w:p>
        </w:tc>
        <w:tc>
          <w:tcPr>
            <w:tcMar>
              <w:top w:w="80" w:type="dxa"/>
              <w:left w:w="80" w:type="dxa"/>
              <w:bottom w:w="80" w:type="dxa"/>
              <w:right w:w="80" w:type="dxa"/>
            </w:tcMar>
          </w:tcPr>
          <w:p>
            <w:pPr>
              <w:pStyle w:val="Compact"/>
              <w:spacing w:after="40"/>
              <w:jc w:val="left"/>
            </w:pPr>
            <w:r>
              <w:rPr>
                <w:rFonts w:ascii="Arial" w:hAnsi="Arial"/>
                <w:sz w:val="17"/>
              </w:rPr>
              <w:t xml:space="preserve">Independently verify every Jacobian and uniformity claim</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10</w:t>
            </w:r>
          </w:p>
        </w:tc>
        <w:tc>
          <w:tcPr>
            <w:tcMar>
              <w:top w:w="80" w:type="dxa"/>
              <w:left w:w="80" w:type="dxa"/>
              <w:bottom w:w="80" w:type="dxa"/>
              <w:right w:w="80" w:type="dxa"/>
            </w:tcMar>
          </w:tcPr>
          <w:p>
            <w:pPr>
              <w:pStyle w:val="Compact"/>
              <w:spacing w:after="40"/>
              <w:jc w:val="left"/>
            </w:pPr>
            <w:r>
              <w:rPr>
                <w:rFonts w:ascii="Arial" w:hAnsi="Arial"/>
                <w:sz w:val="17"/>
              </w:rPr>
              <w:t xml:space="preserve">Palm law and elder mark</w:t>
            </w:r>
          </w:p>
        </w:tc>
        <w:tc>
          <w:tcPr>
            <w:tcMar>
              <w:top w:w="80" w:type="dxa"/>
              <w:left w:w="80" w:type="dxa"/>
              <w:bottom w:w="80" w:type="dxa"/>
              <w:right w:w="80" w:type="dxa"/>
            </w:tcMar>
          </w:tcPr>
          <w:p>
            <w:pPr>
              <w:pStyle w:val="Compact"/>
              <w:spacing w:after="40"/>
              <w:jc w:val="left"/>
            </w:pPr>
            <w:r>
              <w:rPr>
                <w:rFonts w:ascii="Arial" w:hAnsi="Arial"/>
                <w:sz w:val="17"/>
              </w:rPr>
              <w:t xml:space="preserve">Definition and Borel construction newly inserted</w:t>
            </w:r>
          </w:p>
        </w:tc>
        <w:tc>
          <w:tcPr>
            <w:tcMar>
              <w:top w:w="80" w:type="dxa"/>
              <w:left w:w="80" w:type="dxa"/>
              <w:bottom w:w="80" w:type="dxa"/>
              <w:right w:w="80" w:type="dxa"/>
            </w:tcMar>
          </w:tcPr>
          <w:p>
            <w:pPr>
              <w:pStyle w:val="Compact"/>
              <w:spacing w:after="40"/>
              <w:jc w:val="left"/>
            </w:pPr>
            <w:r>
              <w:rPr>
                <w:rFonts w:ascii="Arial" w:hAnsi="Arial"/>
                <w:sz w:val="17"/>
              </w:rPr>
              <w:t xml:space="preserve">Verify equivalence with Morse elder pairing</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11</w:t>
            </w:r>
          </w:p>
        </w:tc>
        <w:tc>
          <w:tcPr>
            <w:tcMar>
              <w:top w:w="80" w:type="dxa"/>
              <w:left w:w="80" w:type="dxa"/>
              <w:bottom w:w="80" w:type="dxa"/>
              <w:right w:w="80" w:type="dxa"/>
            </w:tcMar>
          </w:tcPr>
          <w:p>
            <w:pPr>
              <w:pStyle w:val="Compact"/>
              <w:spacing w:after="40"/>
              <w:jc w:val="left"/>
            </w:pPr>
            <w:r>
              <w:rPr>
                <w:rFonts w:ascii="Arial" w:hAnsi="Arial"/>
                <w:sz w:val="17"/>
              </w:rPr>
              <w:t xml:space="preserve">Fourier display and terminology</w:t>
            </w:r>
          </w:p>
        </w:tc>
        <w:tc>
          <w:tcPr>
            <w:tcMar>
              <w:top w:w="80" w:type="dxa"/>
              <w:left w:w="80" w:type="dxa"/>
              <w:bottom w:w="80" w:type="dxa"/>
              <w:right w:w="80" w:type="dxa"/>
            </w:tcMar>
          </w:tcPr>
          <w:p>
            <w:pPr>
              <w:pStyle w:val="Compact"/>
              <w:spacing w:after="40"/>
              <w:jc w:val="left"/>
            </w:pPr>
            <w:r>
              <w:rPr>
                <w:rFonts w:ascii="Arial" w:hAnsi="Arial"/>
                <w:sz w:val="17"/>
              </w:rPr>
              <w:t xml:space="preserve">Corrected in review appendix</w:t>
            </w:r>
          </w:p>
        </w:tc>
        <w:tc>
          <w:tcPr>
            <w:tcMar>
              <w:top w:w="80" w:type="dxa"/>
              <w:left w:w="80" w:type="dxa"/>
              <w:bottom w:w="80" w:type="dxa"/>
              <w:right w:w="80" w:type="dxa"/>
            </w:tcMar>
          </w:tcPr>
          <w:p>
            <w:pPr>
              <w:pStyle w:val="Compact"/>
              <w:spacing w:after="40"/>
              <w:jc w:val="left"/>
            </w:pPr>
            <w:r>
              <w:rPr>
                <w:rFonts w:ascii="Arial" w:hAnsi="Arial"/>
                <w:sz w:val="17"/>
              </w:rPr>
              <w:t xml:space="preserve">Carry corrections into any future source revision</w:t>
            </w:r>
          </w:p>
        </w:tc>
      </w:tr>
      <w:tr>
        <w:trPr>
          <w:cantSplit/>
        </w:trPr>
        <w:tc>
          <w:tcPr>
            <w:tcMar>
              <w:top w:w="80" w:type="dxa"/>
              <w:left w:w="80" w:type="dxa"/>
              <w:bottom w:w="80" w:type="dxa"/>
              <w:right w:w="80" w:type="dxa"/>
            </w:tcMar>
          </w:tcPr>
          <w:p>
            <w:pPr>
              <w:pStyle w:val="Compact"/>
              <w:spacing w:after="40"/>
              <w:jc w:val="right"/>
            </w:pPr>
            <w:r>
              <w:rPr>
                <w:rFonts w:ascii="Arial" w:hAnsi="Arial"/>
                <w:sz w:val="17"/>
              </w:rPr>
              <w:t xml:space="preserve">12</w:t>
            </w:r>
          </w:p>
        </w:tc>
        <w:tc>
          <w:tcPr>
            <w:tcMar>
              <w:top w:w="80" w:type="dxa"/>
              <w:left w:w="80" w:type="dxa"/>
              <w:bottom w:w="80" w:type="dxa"/>
              <w:right w:w="80" w:type="dxa"/>
            </w:tcMar>
          </w:tcPr>
          <w:p>
            <w:pPr>
              <w:pStyle w:val="Compact"/>
              <w:spacing w:after="40"/>
              <w:jc w:val="left"/>
            </w:pPr>
            <w:r>
              <w:rPr>
                <w:rFonts w:ascii="Arial" w:hAnsi="Arial"/>
                <w:sz w:val="17"/>
              </w:rPr>
              <w:t xml:space="preserve">Reproducibility transcript</w:t>
            </w:r>
          </w:p>
        </w:tc>
        <w:tc>
          <w:tcPr>
            <w:tcMar>
              <w:top w:w="80" w:type="dxa"/>
              <w:left w:w="80" w:type="dxa"/>
              <w:bottom w:w="80" w:type="dxa"/>
              <w:right w:w="80" w:type="dxa"/>
            </w:tcMar>
          </w:tcPr>
          <w:p>
            <w:pPr>
              <w:pStyle w:val="Compact"/>
              <w:spacing w:after="40"/>
              <w:jc w:val="left"/>
            </w:pPr>
            <w:r>
              <w:rPr>
                <w:rFonts w:ascii="Arial" w:hAnsi="Arial"/>
                <w:sz w:val="17"/>
              </w:rPr>
              <w:t xml:space="preserve">Source/runner repaired and clean logs added</w:t>
            </w:r>
          </w:p>
        </w:tc>
        <w:tc>
          <w:tcPr>
            <w:tcMar>
              <w:top w:w="80" w:type="dxa"/>
              <w:left w:w="80" w:type="dxa"/>
              <w:bottom w:w="80" w:type="dxa"/>
              <w:right w:w="80" w:type="dxa"/>
            </w:tcMar>
          </w:tcPr>
          <w:p>
            <w:pPr>
              <w:pStyle w:val="Compact"/>
              <w:spacing w:after="40"/>
              <w:jc w:val="left"/>
            </w:pPr>
            <w:r>
              <w:rPr>
                <w:rFonts w:ascii="Arial" w:hAnsi="Arial"/>
                <w:sz w:val="17"/>
              </w:rPr>
              <w:t xml:space="preserve">Re-run after every mathematical change</w:t>
            </w:r>
          </w:p>
        </w:tc>
      </w:tr>
    </w:tbl>
    <w:p>
      <w:pPr>
        <w:pStyle w:val="BodyText"/>
      </w:pPr>
      <w:r>
        <w:t xml:space="preserve">This register does not say the theorem is false. It says the current transfer package should not be described as a proof-complete paper.</w:t>
      </w:r>
    </w:p>
    <w:bookmarkEnd w:id="53"/>
    <w:bookmarkStart w:id="54" w:name="hostile-review-questions"/>
    <w:p>
      <w:pPr>
        <w:pStyle w:val="Heading1"/>
        <w:keepNext/>
      </w:pPr>
      <w:r>
        <w:t xml:space="preserve">13. Hostile-review questions</w:t>
      </w:r>
    </w:p>
    <w:p>
      <w:pPr>
        <w:pStyle w:val="FirstParagraph"/>
      </w:pPr>
      <w:r>
        <w:t xml:space="preserve">For each item, the reviewer is invited to mark</w:t>
      </w:r>
      <w:r>
        <w:t xml:space="preserve"> </w:t>
      </w:r>
      <w:r>
        <w:rPr>
          <w:bCs/>
          <w:b/>
        </w:rPr>
        <w:t xml:space="preserve">verified</w:t>
      </w:r>
      <w:r>
        <w:t xml:space="preserve">,</w:t>
      </w:r>
      <w:r>
        <w:t xml:space="preserve"> </w:t>
      </w:r>
      <w:r>
        <w:rPr>
          <w:bCs/>
          <w:b/>
        </w:rPr>
        <w:t xml:space="preserve">correctable gap</w:t>
      </w:r>
      <w:r>
        <w:t xml:space="preserve">,</w:t>
      </w:r>
      <w:r>
        <w:t xml:space="preserve"> </w:t>
      </w:r>
      <w:r>
        <w:rPr>
          <w:bCs/>
          <w:b/>
        </w:rPr>
        <w:t xml:space="preserve">major gap</w:t>
      </w:r>
      <w:r>
        <w:t xml:space="preserve">, or</w:t>
      </w:r>
      <w:r>
        <w:t xml:space="preserve"> </w:t>
      </w:r>
      <w:r>
        <w:rPr>
          <w:bCs/>
          <w:b/>
        </w:rPr>
        <w:t xml:space="preserve">outside expertise</w:t>
      </w:r>
      <w:r>
        <w:t xml:space="preserve">, and to cite the exact file/page/equation.</w:t>
      </w:r>
    </w:p>
    <w:p>
      <w:pPr>
        <w:numPr>
          <w:ilvl w:val="0"/>
          <w:numId w:val="1003"/>
        </w:numPr>
        <w:pStyle w:val="Compact"/>
      </w:pPr>
      <w:r>
        <w:t xml:space="preserve">Does the corrected divided-difference pin frame converge nondegenerately, and is its determinant exactly</w:t>
      </w:r>
      <w:r>
        <w:t xml:space="preserve"> </w:t>
      </w:r>
      <m:oMath>
        <m:sSup>
          <m:e>
            <m:r>
              <m:t>r</m:t>
            </m:r>
          </m:e>
          <m:sup>
            <m:r>
              <m:rPr>
                <m:sty m:val="p"/>
              </m:rPr>
              <m:t>−</m:t>
            </m:r>
            <m:r>
              <m:t>6</m:t>
            </m:r>
          </m:sup>
        </m:sSup>
      </m:oMath>
      <w:r>
        <w:t xml:space="preserve">?</w:t>
      </w:r>
    </w:p>
    <w:p>
      <w:pPr>
        <w:numPr>
          <w:ilvl w:val="0"/>
          <w:numId w:val="1003"/>
        </w:numPr>
        <w:pStyle w:val="Compact"/>
      </w:pPr>
      <w:r>
        <w:t xml:space="preserve">Are the endpoint soft determinant factors exactly one power of</w:t>
      </w:r>
      <w:r>
        <w:t xml:space="preserve"> </w:t>
      </w:r>
      <m:oMath>
        <m:r>
          <m:t>r</m:t>
        </m:r>
      </m:oMath>
      <w:r>
        <w:t xml:space="preserve"> </w:t>
      </w:r>
      <w:r>
        <w:t xml:space="preserve">each under the conditioned law?</w:t>
      </w:r>
    </w:p>
    <w:p>
      <w:pPr>
        <w:numPr>
          <w:ilvl w:val="0"/>
          <w:numId w:val="1003"/>
        </w:numPr>
        <w:pStyle w:val="Compact"/>
      </w:pPr>
      <w:r>
        <w:t xml:space="preserve">Is the common majorant uniform enough as</w:t>
      </w:r>
      <w:r>
        <w:t xml:space="preserve"> </w:t>
      </w:r>
      <m:oMath>
        <m:r>
          <m:t>κ</m:t>
        </m:r>
        <m:r>
          <m:rPr>
            <m:sty m:val="p"/>
          </m:rPr>
          <m:t>↓</m:t>
        </m:r>
        <m:r>
          <m:t>0</m:t>
        </m:r>
      </m:oMath>
      <w:r>
        <w:t xml:space="preserve"> </w:t>
      </w:r>
      <w:r>
        <w:t xml:space="preserve">to exclude quartic or higher-contact double scaling?</w:t>
      </w:r>
    </w:p>
    <w:p>
      <w:pPr>
        <w:numPr>
          <w:ilvl w:val="0"/>
          <w:numId w:val="1003"/>
        </w:numPr>
        <w:pStyle w:val="Compact"/>
      </w:pPr>
      <w:r>
        <w:t xml:space="preserve">Are the collar and singular-near covariance factorizations exact after the side-24 perturbation?</w:t>
      </w:r>
    </w:p>
    <w:p>
      <w:pPr>
        <w:numPr>
          <w:ilvl w:val="0"/>
          <w:numId w:val="1003"/>
        </w:numPr>
        <w:pStyle w:val="Compact"/>
      </w:pPr>
      <w:r>
        <w:t xml:space="preserve">Are the triple-Hessian envelopes rigorously derived with every angular singularity controlled?</w:t>
      </w:r>
    </w:p>
    <w:p>
      <w:pPr>
        <w:numPr>
          <w:ilvl w:val="0"/>
          <w:numId w:val="1003"/>
        </w:numPr>
        <w:pStyle w:val="Compact"/>
      </w:pPr>
      <w:r>
        <w:t xml:space="preserve">Is Lemma 3.4a exhaustive, including adjacency failure, same-component attachment, earlier death, and a younger competing component, and do the subsequent regional events cover its canonical witnesses?</w:t>
      </w:r>
    </w:p>
    <w:p>
      <w:pPr>
        <w:numPr>
          <w:ilvl w:val="0"/>
          <w:numId w:val="1003"/>
        </w:numPr>
        <w:pStyle w:val="Compact"/>
      </w:pPr>
      <w:r>
        <w:t xml:space="preserve">Is the nonlocal elder mark Borel measurable under exactly the genericity proved in the manuscript?</w:t>
      </w:r>
    </w:p>
    <w:p>
      <w:pPr>
        <w:numPr>
          <w:ilvl w:val="0"/>
          <w:numId w:val="1003"/>
        </w:numPr>
        <w:pStyle w:val="Compact"/>
      </w:pPr>
      <w:r>
        <w:t xml:space="preserve">Does the energy-adapted capture/escape argument avoid every hidden upper bound on</w:t>
      </w:r>
      <w:r>
        <w:t xml:space="preserve"> </w:t>
      </w:r>
      <m:oMath>
        <m:sSub>
          <m:e>
            <m:r>
              <m:t>λ</m:t>
            </m:r>
          </m:e>
          <m:sub>
            <m:r>
              <m:rPr>
                <m:sty m:val="p"/>
              </m:rPr>
              <m:t>max</m:t>
            </m:r>
          </m:sub>
        </m:sSub>
        <m:d>
          <m:dPr>
            <m:begChr m:val="("/>
            <m:endChr m:val=")"/>
            <m:sepChr m:val=""/>
            <m:grow/>
          </m:dPr>
          <m:e>
            <m:sSub>
              <m:e>
                <m:r>
                  <m:t>T</m:t>
                </m:r>
              </m:e>
              <m:sub>
                <m:r>
                  <m:t>r</m:t>
                </m:r>
              </m:sub>
            </m:sSub>
          </m:e>
        </m:d>
      </m:oMath>
      <w:r>
        <w:t xml:space="preserve">?</w:t>
      </w:r>
    </w:p>
    <w:p>
      <w:pPr>
        <w:numPr>
          <w:ilvl w:val="0"/>
          <w:numId w:val="1003"/>
        </w:numPr>
        <w:pStyle w:val="Compact"/>
      </w:pPr>
      <w:r>
        <w:t xml:space="preserve">Is the shallow-eigenvalue Palm bound uniform in all mark variables?</w:t>
      </w:r>
    </w:p>
    <w:p>
      <w:pPr>
        <w:numPr>
          <w:ilvl w:val="0"/>
          <w:numId w:val="1003"/>
        </w:numPr>
        <w:pStyle w:val="Compact"/>
      </w:pPr>
      <w:r>
        <w:t xml:space="preserve">Is the off-diagonal elder-pair density uniformly</w:t>
      </w:r>
      <w:r>
        <w:t xml:space="preserve"> </w:t>
      </w:r>
      <m:oMath>
        <m:r>
          <m:t>O</m:t>
        </m:r>
        <m:d>
          <m:dPr>
            <m:begChr m:val="("/>
            <m:endChr m:val=")"/>
            <m:sepChr m:val=""/>
            <m:grow/>
          </m:dPr>
          <m:e>
            <m:r>
              <m:t>1</m:t>
            </m:r>
          </m:e>
        </m:d>
      </m:oMath>
      <w:r>
        <w:t xml:space="preserve"> </w:t>
      </w:r>
      <w:r>
        <w:t xml:space="preserve">as</w:t>
      </w:r>
      <w:r>
        <w:t xml:space="preserve"> </w:t>
      </w:r>
      <m:oMath>
        <m:r>
          <m:rPr>
            <m:sty m:val="p"/>
          </m:rPr>
          <m:t>ℓ</m:t>
        </m:r>
        <m:r>
          <m:rPr>
            <m:sty m:val="p"/>
          </m:rPr>
          <m:t>↓</m:t>
        </m:r>
        <m:r>
          <m:t>0</m:t>
        </m:r>
      </m:oMath>
      <w:r>
        <w:t xml:space="preserve">?</w:t>
      </w:r>
    </w:p>
    <w:p>
      <w:pPr>
        <w:numPr>
          <w:ilvl w:val="0"/>
          <w:numId w:val="1003"/>
        </w:numPr>
        <w:pStyle w:val="Compact"/>
      </w:pPr>
      <w:r>
        <w:t xml:space="preserve">Recompute every scalar: gap</w:t>
      </w:r>
      <w:r>
        <w:t xml:space="preserve"> </w:t>
      </w:r>
      <m:oMath>
        <m:r>
          <m:t>1</m:t>
        </m:r>
        <m:r>
          <m:rPr>
            <m:sty m:val="p"/>
          </m:rPr>
          <m:t>/</m:t>
        </m:r>
        <m:r>
          <m:t>6</m:t>
        </m:r>
      </m:oMath>
      <w:r>
        <w:t xml:space="preserve">, polar</w:t>
      </w:r>
      <w:r>
        <w:t xml:space="preserve"> </w:t>
      </w:r>
      <m:oMath>
        <m:sSup>
          <m:e>
            <m:r>
              <m:t>r</m:t>
            </m:r>
          </m:e>
          <m:sup>
            <m:r>
              <m:t>2</m:t>
            </m:r>
          </m:sup>
        </m:sSup>
      </m:oMath>
      <w:r>
        <w:t xml:space="preserve">, pin</w:t>
      </w:r>
      <w:r>
        <w:t xml:space="preserve"> </w:t>
      </w:r>
      <m:oMath>
        <m:sSup>
          <m:e>
            <m:r>
              <m:t>r</m:t>
            </m:r>
          </m:e>
          <m:sup>
            <m:r>
              <m:rPr>
                <m:sty m:val="p"/>
              </m:rPr>
              <m:t>−</m:t>
            </m:r>
            <m:r>
              <m:t>6</m:t>
            </m:r>
          </m:sup>
        </m:sSup>
      </m:oMath>
      <w:r>
        <w:t xml:space="preserve">, endpoints</w:t>
      </w:r>
      <w:r>
        <w:t xml:space="preserve"> </w:t>
      </w:r>
      <m:oMath>
        <m:sSup>
          <m:e>
            <m:r>
              <m:t>r</m:t>
            </m:r>
          </m:e>
          <m:sup>
            <m:r>
              <m:t>2</m:t>
            </m:r>
          </m:sup>
        </m:sSup>
      </m:oMath>
      <w:r>
        <w:t xml:space="preserve">, lifetime</w:t>
      </w:r>
      <w:r>
        <w:t xml:space="preserve"> </w:t>
      </w:r>
      <m:oMath>
        <m:sSup>
          <m:e>
            <m:r>
              <m:t>6</m:t>
            </m:r>
          </m:e>
          <m:sup>
            <m:r>
              <m:t>2</m:t>
            </m:r>
            <m:r>
              <m:rPr>
                <m:sty m:val="p"/>
              </m:rPr>
              <m:t>/</m:t>
            </m:r>
            <m:r>
              <m:t>3</m:t>
            </m:r>
          </m:sup>
        </m:sSup>
        <m:r>
          <m:rPr>
            <m:sty m:val="p"/>
          </m:rPr>
          <m:t>/</m:t>
        </m:r>
        <m:r>
          <m:t>3</m:t>
        </m:r>
      </m:oMath>
      <w:r>
        <w:t xml:space="preserve">, directed</w:t>
      </w:r>
      <w:r>
        <w:t xml:space="preserve"> </w:t>
      </w:r>
      <m:oMath>
        <m:sSup>
          <m:e>
            <m:r>
              <m:t>S</m:t>
            </m:r>
          </m:e>
          <m:sup>
            <m:r>
              <m:t>2</m:t>
            </m:r>
          </m:sup>
        </m:sSup>
      </m:oMath>
      <w:r>
        <w:t xml:space="preserve">, no</w:t>
      </w:r>
      <w:r>
        <w:t xml:space="preserve"> </w:t>
      </w:r>
      <m:oMath>
        <m:r>
          <m:t>1</m:t>
        </m:r>
        <m:r>
          <m:rPr>
            <m:sty m:val="p"/>
          </m:rPr>
          <m:t>/</m:t>
        </m:r>
        <m:r>
          <m:t>2</m:t>
        </m:r>
      </m:oMath>
      <w:r>
        <w:t xml:space="preserve">, unit merge multiplicity, and per-volume normalization.</w:t>
      </w:r>
    </w:p>
    <w:p>
      <w:pPr>
        <w:numPr>
          <w:ilvl w:val="0"/>
          <w:numId w:val="1003"/>
        </w:numPr>
        <w:pStyle w:val="Compact"/>
      </w:pPr>
      <w:r>
        <w:t xml:space="preserve">Independently recompute</w:t>
      </w:r>
      <w:r>
        <w:t xml:space="preserve"> </w:t>
      </w:r>
      <m:oMath>
        <m:sSub>
          <m:e>
            <m:r>
              <m:t>D</m:t>
            </m:r>
          </m:e>
          <m:sub>
            <m:r>
              <m:t>t</m:t>
            </m:r>
          </m:sub>
        </m:sSub>
        <m:r>
          <m:rPr>
            <m:sty m:val="p"/>
          </m:rPr>
          <m:t>=</m:t>
        </m:r>
        <m:r>
          <m:t>29</m:t>
        </m:r>
        <m:r>
          <m:rPr>
            <m:sty m:val="p"/>
          </m:rPr>
          <m:t>/</m:t>
        </m:r>
        <m:r>
          <m:t>6</m:t>
        </m:r>
        <m:r>
          <m:rPr>
            <m:sty m:val="p"/>
          </m:rPr>
          <m:t>−</m:t>
        </m:r>
        <m:rad>
          <m:radPr>
            <m:degHide m:val="on"/>
          </m:radPr>
          <m:deg/>
          <m:e>
            <m:r>
              <m:t>6</m:t>
            </m:r>
          </m:e>
        </m:rad>
      </m:oMath>
      <w:r>
        <w:t xml:space="preserve">,</w:t>
      </w:r>
      <w:r>
        <w:t xml:space="preserve"> </w:t>
      </w:r>
      <m:oMath>
        <m:sSub>
          <m:e>
            <m:r>
              <m:t>c</m:t>
            </m:r>
          </m:e>
          <m:sub>
            <m:r>
              <m:t>3</m:t>
            </m:r>
            <m:r>
              <m:rPr>
                <m:sty m:val="p"/>
              </m:rPr>
              <m:t>,</m:t>
            </m:r>
            <m:r>
              <m:rPr>
                <m:sty m:val="p"/>
              </m:rPr>
              <m:t>∞</m:t>
            </m:r>
          </m:sub>
        </m:sSub>
      </m:oMath>
      <w:r>
        <w:t xml:space="preserve">,</w:t>
      </w:r>
      <w:r>
        <w:t xml:space="preserve"> </w:t>
      </w:r>
      <m:oMath>
        <m:sSub>
          <m:e>
            <m:r>
              <m:t>P</m:t>
            </m:r>
          </m:e>
          <m:sub>
            <m:r>
              <m:t>3</m:t>
            </m:r>
          </m:sub>
        </m:sSub>
        <m:d>
          <m:dPr>
            <m:begChr m:val="("/>
            <m:endChr m:val=")"/>
            <m:sepChr m:val=""/>
            <m:grow/>
          </m:dPr>
          <m:e>
            <m:r>
              <m:t>24</m:t>
            </m:r>
          </m:e>
        </m:d>
      </m:oMath>
      <w:r>
        <w:t xml:space="preserve">, and the remainder enclosure.</w:t>
      </w:r>
    </w:p>
    <w:p>
      <w:pPr>
        <w:numPr>
          <w:ilvl w:val="0"/>
          <w:numId w:val="1003"/>
        </w:numPr>
        <w:pStyle w:val="Compact"/>
      </w:pPr>
      <w:r>
        <w:t xml:space="preserve">Does any existing paper already prove the same selected near-diagonal asymptotic?</w:t>
      </w:r>
    </w:p>
    <w:bookmarkEnd w:id="54"/>
    <w:bookmarkStart w:id="55" w:name="reproducibility-status"/>
    <w:p>
      <w:pPr>
        <w:pStyle w:val="Heading1"/>
        <w:keepNext/>
      </w:pPr>
      <w:r>
        <w:t xml:space="preserve">14. Reproducibility status</w:t>
      </w:r>
    </w:p>
    <w:p>
      <w:pPr>
        <w:pStyle w:val="FirstParagraph"/>
      </w:pPr>
      <w:r>
        <w:t xml:space="preserve">The bundled scripts are small exact arithmetic or symbolic ledgers. They test:</w:t>
      </w:r>
    </w:p>
    <w:p>
      <w:pPr>
        <w:numPr>
          <w:ilvl w:val="0"/>
          <w:numId w:val="1004"/>
        </w:numPr>
        <w:pStyle w:val="Compact"/>
      </w:pPr>
      <w:r>
        <w:t xml:space="preserve">the finite-(L) scalar recombination;</w:t>
      </w:r>
    </w:p>
    <w:p>
      <w:pPr>
        <w:numPr>
          <w:ilvl w:val="0"/>
          <w:numId w:val="1004"/>
        </w:numPr>
        <w:pStyle w:val="Compact"/>
      </w:pPr>
      <w:r>
        <w:t xml:space="preserve">coefficient-map integer bounds;</w:t>
      </w:r>
    </w:p>
    <w:p>
      <w:pPr>
        <w:numPr>
          <w:ilvl w:val="0"/>
          <w:numId w:val="1004"/>
        </w:numPr>
        <w:pStyle w:val="Compact"/>
      </w:pPr>
      <w:r>
        <w:t xml:space="preserve">the image-tail rational remainder;</w:t>
      </w:r>
    </w:p>
    <w:p>
      <w:pPr>
        <w:numPr>
          <w:ilvl w:val="0"/>
          <w:numId w:val="1004"/>
        </w:numPr>
        <w:pStyle w:val="Compact"/>
      </w:pPr>
      <w:r>
        <w:t xml:space="preserve">energy-adapted rational margins;</w:t>
      </w:r>
    </w:p>
    <w:p>
      <w:pPr>
        <w:numPr>
          <w:ilvl w:val="0"/>
          <w:numId w:val="1004"/>
        </w:numPr>
        <w:pStyle w:val="Compact"/>
      </w:pPr>
      <w:r>
        <w:t xml:space="preserve">absolute normalization;</w:t>
      </w:r>
    </w:p>
    <w:p>
      <w:pPr>
        <w:numPr>
          <w:ilvl w:val="0"/>
          <w:numId w:val="1004"/>
        </w:numPr>
        <w:pStyle w:val="Compact"/>
      </w:pPr>
      <w:r>
        <w:t xml:space="preserve">the ordered-pair Jacobian and radial power.</w:t>
      </w:r>
    </w:p>
    <w:p>
      <w:pPr>
        <w:pStyle w:val="FirstParagraph"/>
      </w:pPr>
      <w:r>
        <w:t xml:space="preserve">All fourteen required ledgers and the optional 400-digit cross-check were executed successfully in a clean pinned environment: CPython 3.12.13, SymPy 1.14.0, and mpmath 1.3.0. The environment, commands, complete runner summary, optional output, optimized-mode guard, and exact-output comparisons are bundled.</w:t>
      </w:r>
    </w:p>
    <w:p>
      <w:pPr>
        <w:pStyle w:val="BodyText"/>
      </w:pPr>
      <w:r>
        <w:t xml:space="preserve">The former coefficient-bound mismatch is repaired. The revised source computes and prints the declared relative Hessian bound and the quadratic remainder</w:t>
      </w:r>
      <w:r>
        <w:t xml:space="preserve"> </w:t>
      </w:r>
      <m:oMath>
        <m:f>
          <m:fPr>
            <m:type m:val="lin"/>
          </m:fPr>
          <m:num>
            <m:r>
              <m:t>1</m:t>
            </m:r>
          </m:num>
          <m:den>
            <m:r>
              <m:t>2</m:t>
            </m:r>
          </m:den>
        </m:f>
        <m:sSup>
          <m:e>
            <m:r>
              <m:t>10</m:t>
            </m:r>
          </m:e>
          <m:sup>
            <m:r>
              <m:t>42</m:t>
            </m:r>
          </m:sup>
        </m:sSup>
        <m:sSup>
          <m:e>
            <m:d>
              <m:dPr>
                <m:begChr m:val="("/>
                <m:endChr m:val=")"/>
                <m:sepChr m:val=""/>
                <m:grow/>
              </m:dPr>
              <m:e>
                <m:sSup>
                  <m:e>
                    <m:r>
                      <m:t>10</m:t>
                    </m:r>
                  </m:e>
                  <m:sup>
                    <m:r>
                      <m:rPr>
                        <m:sty m:val="p"/>
                      </m:rPr>
                      <m:t>−</m:t>
                    </m:r>
                    <m:r>
                      <m:t>113</m:t>
                    </m:r>
                  </m:sup>
                </m:sSup>
              </m:e>
            </m:d>
          </m:e>
          <m:sup>
            <m:r>
              <m:t>2</m:t>
            </m:r>
          </m:sup>
        </m:sSup>
        <m:r>
          <m:rPr>
            <m:sty m:val="p"/>
          </m:rPr>
          <m:t>=</m:t>
        </m:r>
        <m:r>
          <m:t>5</m:t>
        </m:r>
        <m:r>
          <m:rPr>
            <m:sty m:val="p"/>
          </m:rPr>
          <m:t>⋅</m:t>
        </m:r>
        <m:sSup>
          <m:e>
            <m:r>
              <m:t>10</m:t>
            </m:r>
          </m:e>
          <m:sup>
            <m:r>
              <m:rPr>
                <m:sty m:val="p"/>
              </m:rPr>
              <m:t>−</m:t>
            </m:r>
            <m:r>
              <m:t>185</m:t>
            </m:r>
          </m:sup>
        </m:sSup>
      </m:oMath>
      <w:r>
        <w:t xml:space="preserve">; its</w:t>
      </w:r>
      <w:r>
        <w:t xml:space="preserve"> </w:t>
      </w:r>
      <w:r>
        <w:rPr>
          <w:rStyle w:val="VerbatimChar"/>
        </w:rPr>
        <w:t xml:space="preserve">.expected.txt</w:t>
      </w:r>
      <w:r>
        <w:t xml:space="preserve"> </w:t>
      </w:r>
      <w:r>
        <w:t xml:space="preserve">file matches the clean run exactly. The earlier Drive transcript is retained under its historical filename for disclosure only.</w:t>
      </w:r>
    </w:p>
    <w:p>
      <w:pPr>
        <w:pStyle w:val="BodyText"/>
      </w:pPr>
      <w:r>
        <w:t xml:space="preserve">The exact scripts verify arithmetic conditional on their encoded premises. They do not certify the correctness of Lemmas 3.4a–3.4c, the remaining determinant-weighted regional estimates, Gaussian regression assumptions, smooth dependence of the cone functional, or the analytic derivation of the bounds. In particular, the periodized-transfer ledger now labels its</w:t>
      </w:r>
      <w:r>
        <w:t xml:space="preserve"> </w:t>
      </w:r>
      <m:oMath>
        <m:sSup>
          <m:e>
            <m:r>
              <m:t>10</m:t>
            </m:r>
          </m:e>
          <m:sup>
            <m:r>
              <m:t>40</m:t>
            </m:r>
          </m:sup>
        </m:sSup>
      </m:oMath>
      <w:r>
        <w:t xml:space="preserve"> </w:t>
      </w:r>
      <w:r>
        <w:t xml:space="preserve">normalized-chart derivative bound as an assumed input and records the correction of the false inherited</w:t>
      </w:r>
      <w:r>
        <w:t xml:space="preserve"> </w:t>
      </w:r>
      <m:oMath>
        <m:r>
          <m:t>3.1</m:t>
        </m:r>
        <m:r>
          <m:rPr>
            <m:sty m:val="p"/>
          </m:rPr>
          <m:t>×</m:t>
        </m:r>
        <m:sSup>
          <m:e>
            <m:r>
              <m:t>10</m:t>
            </m:r>
          </m:e>
          <m:sup>
            <m:r>
              <m:rPr>
                <m:sty m:val="p"/>
              </m:rPr>
              <m:t>−</m:t>
            </m:r>
            <m:r>
              <m:t>109</m:t>
            </m:r>
          </m:sup>
        </m:sSup>
      </m:oMath>
      <w:r>
        <w:t xml:space="preserve"> </w:t>
      </w:r>
      <m:oMath>
        <m:sSup>
          <m:e>
            <m:r>
              <m:t>C</m:t>
            </m:r>
          </m:e>
          <m:sup>
            <m:r>
              <m:t>8</m:t>
            </m:r>
          </m:sup>
        </m:sSup>
      </m:oMath>
      <w:r>
        <w:t xml:space="preserve"> </w:t>
      </w:r>
      <w:r>
        <w:t xml:space="preserve">claim.</w:t>
      </w:r>
    </w:p>
    <w:bookmarkEnd w:id="55"/>
    <w:bookmarkStart w:id="56" w:name="literature-position"/>
    <w:p>
      <w:pPr>
        <w:pStyle w:val="Heading1"/>
        <w:keepNext/>
      </w:pPr>
      <w:r>
        <w:t xml:space="preserve">15. Literature position</w:t>
      </w:r>
    </w:p>
    <w:p>
      <w:pPr>
        <w:pStyle w:val="FirstParagraph"/>
      </w:pPr>
      <w:r>
        <w:t xml:space="preserve">The closest located literature falls into three broad groups:</w:t>
      </w:r>
    </w:p>
    <w:p>
      <w:pPr>
        <w:numPr>
          <w:ilvl w:val="0"/>
          <w:numId w:val="1005"/>
        </w:numPr>
        <w:pStyle w:val="Compact"/>
      </w:pPr>
      <w:r>
        <w:t xml:space="preserve">persistent homology of random or Gaussian fields and complexes;</w:t>
      </w:r>
    </w:p>
    <w:p>
      <w:pPr>
        <w:numPr>
          <w:ilvl w:val="0"/>
          <w:numId w:val="1005"/>
        </w:numPr>
        <w:pStyle w:val="Compact"/>
      </w:pPr>
      <w:r>
        <w:t xml:space="preserve">existence and estimation of expected persistence-diagram densities; and</w:t>
      </w:r>
    </w:p>
    <w:p>
      <w:pPr>
        <w:numPr>
          <w:ilvl w:val="0"/>
          <w:numId w:val="1005"/>
        </w:numPr>
        <w:pStyle w:val="Compact"/>
      </w:pPr>
      <w:r>
        <w:t xml:space="preserve">Kac–Rice and correlation asymptotics for Gaussian critical points.</w:t>
      </w:r>
    </w:p>
    <w:p>
      <w:pPr>
        <w:pStyle w:val="FirstParagraph"/>
      </w:pPr>
      <w:r>
        <w:t xml:space="preserve">The targeted search through 30 July 2026 did not locate a theorem giving the fixed-side three-dimensional periodized Bargmann–Fock selected near-diagonal</w:t>
      </w:r>
      <w:r>
        <w:t xml:space="preserve"> </w:t>
      </w:r>
      <m:oMath>
        <m:sSub>
          <m:e>
            <m:r>
              <m:t>H</m:t>
            </m:r>
          </m:e>
          <m:sub>
            <m:r>
              <m:t>0</m:t>
            </m:r>
          </m:sub>
        </m:sSub>
      </m:oMath>
      <w:r>
        <w:t xml:space="preserve"> </w:t>
      </w:r>
      <w:r>
        <w:t xml:space="preserve">law (1.4), coefficient (1.5), or correction (1.7). This is evidence of possible novelty, not a definitive novelty determination. A formal submission should add MathSciNet, zbMATH, backward-citation, and forward-citation searches.</w:t>
      </w:r>
    </w:p>
    <w:bookmarkEnd w:id="56"/>
    <w:bookmarkStart w:id="57" w:name="exact-scope-and-exclusions"/>
    <w:p>
      <w:pPr>
        <w:pStyle w:val="Heading1"/>
        <w:keepNext/>
      </w:pPr>
      <w:r>
        <w:t xml:space="preserve">16. Exact scope and exclusions</w:t>
      </w:r>
    </w:p>
    <w:p>
      <w:pPr>
        <w:pStyle w:val="FirstParagraph"/>
      </w:pPr>
      <w:r>
        <w:t xml:space="preserve">The candidate theorem concerns only:</w:t>
      </w:r>
    </w:p>
    <w:p>
      <w:pPr>
        <w:numPr>
          <w:ilvl w:val="0"/>
          <w:numId w:val="1006"/>
        </w:numPr>
        <w:pStyle w:val="Compact"/>
      </w:pPr>
      <w:r>
        <w:t xml:space="preserve">ambient dimension</w:t>
      </w:r>
      <w:r>
        <w:t xml:space="preserve"> </w:t>
      </w:r>
      <m:oMath>
        <m:r>
          <m:t>3</m:t>
        </m:r>
      </m:oMath>
      <w:r>
        <w:t xml:space="preserve">;</w:t>
      </w:r>
    </w:p>
    <w:p>
      <w:pPr>
        <w:numPr>
          <w:ilvl w:val="0"/>
          <w:numId w:val="1006"/>
        </w:numPr>
        <w:pStyle w:val="Compact"/>
      </w:pPr>
      <w:r>
        <w:t xml:space="preserve">torus side</w:t>
      </w:r>
      <w:r>
        <w:t xml:space="preserve"> </w:t>
      </w:r>
      <m:oMath>
        <m:r>
          <m:t>24</m:t>
        </m:r>
      </m:oMath>
      <w:r>
        <w:t xml:space="preserve">;</w:t>
      </w:r>
    </w:p>
    <w:p>
      <w:pPr>
        <w:numPr>
          <w:ilvl w:val="0"/>
          <w:numId w:val="1006"/>
        </w:numPr>
        <w:pStyle w:val="Compact"/>
      </w:pPr>
      <w:r>
        <w:t xml:space="preserve">the normalized periodized Bargmann–Fock covariance (1.1);</w:t>
      </w:r>
    </w:p>
    <w:p>
      <w:pPr>
        <w:numPr>
          <w:ilvl w:val="0"/>
          <w:numId w:val="1006"/>
        </w:numPr>
        <w:pStyle w:val="Compact"/>
      </w:pPr>
      <w:r>
        <w:t xml:space="preserve">superlevel-set filtration;</w:t>
      </w:r>
    </w:p>
    <w:p>
      <w:pPr>
        <w:numPr>
          <w:ilvl w:val="0"/>
          <w:numId w:val="1006"/>
        </w:numPr>
        <w:pStyle w:val="Compact"/>
      </w:pPr>
      <w:r>
        <w:t xml:space="preserve">finite nonessential</w:t>
      </w:r>
      <w:r>
        <w:t xml:space="preserve"> </w:t>
      </w:r>
      <m:oMath>
        <m:sSub>
          <m:e>
            <m:r>
              <m:t>H</m:t>
            </m:r>
          </m:e>
          <m:sub>
            <m:r>
              <m:t>0</m:t>
            </m:r>
          </m:sub>
        </m:sSub>
      </m:oMath>
      <w:r>
        <w:t xml:space="preserve"> </w:t>
      </w:r>
      <w:r>
        <w:t xml:space="preserve">bars;</w:t>
      </w:r>
    </w:p>
    <w:p>
      <w:pPr>
        <w:numPr>
          <w:ilvl w:val="0"/>
          <w:numId w:val="1006"/>
        </w:numPr>
        <w:pStyle w:val="Compact"/>
      </w:pPr>
      <w:r>
        <w:t xml:space="preserve">first-moment lifetime density per unit ordinary volume;</w:t>
      </w:r>
    </w:p>
    <w:p>
      <w:pPr>
        <w:numPr>
          <w:ilvl w:val="0"/>
          <w:numId w:val="1006"/>
        </w:numPr>
        <w:pStyle w:val="Compact"/>
      </w:pPr>
      <w:r>
        <w:t xml:space="preserve">the fixed-side limit</w:t>
      </w:r>
      <w:r>
        <w:t xml:space="preserve"> </w:t>
      </w:r>
      <m:oMath>
        <m:r>
          <m:rPr>
            <m:sty m:val="p"/>
          </m:rPr>
          <m:t>ℓ</m:t>
        </m:r>
        <m:r>
          <m:rPr>
            <m:sty m:val="p"/>
          </m:rPr>
          <m:t>↓</m:t>
        </m:r>
        <m:r>
          <m:t>0</m:t>
        </m:r>
      </m:oMath>
      <w:r>
        <w:t xml:space="preserve">;</w:t>
      </w:r>
    </w:p>
    <w:p>
      <w:pPr>
        <w:numPr>
          <w:ilvl w:val="0"/>
          <w:numId w:val="1006"/>
        </w:numPr>
        <w:pStyle w:val="Compact"/>
      </w:pPr>
      <w:r>
        <w:t xml:space="preserve">the ordered maximum–index-two-saddle and directed-sphere conventions stated here.</w:t>
      </w:r>
    </w:p>
    <w:p>
      <w:pPr>
        <w:pStyle w:val="FirstParagraph"/>
      </w:pPr>
      <w:r>
        <w:t xml:space="preserve">It does not claim:</w:t>
      </w:r>
    </w:p>
    <w:p>
      <w:pPr>
        <w:numPr>
          <w:ilvl w:val="0"/>
          <w:numId w:val="1007"/>
        </w:numPr>
        <w:pStyle w:val="Compact"/>
      </w:pPr>
      <w:r>
        <w:t xml:space="preserve">any other side length;</w:t>
      </w:r>
    </w:p>
    <w:p>
      <w:pPr>
        <w:numPr>
          <w:ilvl w:val="0"/>
          <w:numId w:val="1007"/>
        </w:numPr>
        <w:pStyle w:val="Compact"/>
      </w:pPr>
      <w:r>
        <w:t xml:space="preserve">an arbitrary stationary or isotropic Gaussian field;</w:t>
      </w:r>
    </w:p>
    <w:p>
      <w:pPr>
        <w:numPr>
          <w:ilvl w:val="0"/>
          <w:numId w:val="1007"/>
        </w:numPr>
        <w:pStyle w:val="Compact"/>
      </w:pPr>
      <w:r>
        <w:t xml:space="preserve">arbitrary dimension;</w:t>
      </w:r>
    </w:p>
    <w:p>
      <w:pPr>
        <w:numPr>
          <w:ilvl w:val="0"/>
          <w:numId w:val="1007"/>
        </w:numPr>
        <w:pStyle w:val="Compact"/>
      </w:pPr>
      <m:oMath>
        <m:sSub>
          <m:e>
            <m:r>
              <m:t>H</m:t>
            </m:r>
          </m:e>
          <m:sub>
            <m:r>
              <m:t>k</m:t>
            </m:r>
          </m:sub>
        </m:sSub>
      </m:oMath>
      <w:r>
        <w:t xml:space="preserve"> </w:t>
      </w:r>
      <w:r>
        <w:t xml:space="preserve">for</w:t>
      </w:r>
      <w:r>
        <w:t xml:space="preserve"> </w:t>
      </w:r>
      <m:oMath>
        <m:r>
          <m:t>k</m:t>
        </m:r>
        <m:r>
          <m:rPr>
            <m:sty m:val="p"/>
          </m:rPr>
          <m:t>&gt;</m:t>
        </m:r>
        <m:r>
          <m:t>0</m:t>
        </m:r>
      </m:oMath>
      <w:r>
        <w:t xml:space="preserve">;</w:t>
      </w:r>
    </w:p>
    <w:p>
      <w:pPr>
        <w:numPr>
          <w:ilvl w:val="0"/>
          <w:numId w:val="1007"/>
        </w:numPr>
        <w:pStyle w:val="Compact"/>
      </w:pPr>
      <w:r>
        <w:t xml:space="preserve">a probability law for an individual randomly selected lifetime;</w:t>
      </w:r>
    </w:p>
    <w:p>
      <w:pPr>
        <w:numPr>
          <w:ilvl w:val="0"/>
          <w:numId w:val="1007"/>
        </w:numPr>
        <w:pStyle w:val="Compact"/>
      </w:pPr>
      <w:r>
        <w:t xml:space="preserve">a central limit theorem or concentration theorem;</w:t>
      </w:r>
    </w:p>
    <w:p>
      <w:pPr>
        <w:numPr>
          <w:ilvl w:val="0"/>
          <w:numId w:val="1007"/>
        </w:numPr>
        <w:pStyle w:val="Compact"/>
      </w:pPr>
      <w:r>
        <w:t xml:space="preserve">an infinite-volume persistence process;</w:t>
      </w:r>
    </w:p>
    <w:p>
      <w:pPr>
        <w:numPr>
          <w:ilvl w:val="0"/>
          <w:numId w:val="1007"/>
        </w:numPr>
        <w:pStyle w:val="Compact"/>
      </w:pPr>
      <w:r>
        <w:t xml:space="preserve">interchange of</w:t>
      </w:r>
      <w:r>
        <w:t xml:space="preserve"> </w:t>
      </w:r>
      <m:oMath>
        <m:r>
          <m:t>L</m:t>
        </m:r>
        <m:r>
          <m:rPr>
            <m:sty m:val="p"/>
          </m:rPr>
          <m:t>→</m:t>
        </m:r>
        <m:r>
          <m:rPr>
            <m:sty m:val="p"/>
          </m:rPr>
          <m:t>∞</m:t>
        </m:r>
      </m:oMath>
      <w:r>
        <w:t xml:space="preserve"> </w:t>
      </w:r>
      <w:r>
        <w:t xml:space="preserve">and</w:t>
      </w:r>
      <w:r>
        <w:t xml:space="preserve"> </w:t>
      </w:r>
      <m:oMath>
        <m:r>
          <m:rPr>
            <m:sty m:val="p"/>
          </m:rPr>
          <m:t>ℓ</m:t>
        </m:r>
        <m:r>
          <m:rPr>
            <m:sty m:val="p"/>
          </m:rPr>
          <m:t>↓</m:t>
        </m:r>
        <m:r>
          <m:t>0</m:t>
        </m:r>
      </m:oMath>
      <w:r>
        <w:t xml:space="preserve">;</w:t>
      </w:r>
    </w:p>
    <w:p>
      <w:pPr>
        <w:numPr>
          <w:ilvl w:val="0"/>
          <w:numId w:val="1007"/>
        </w:numPr>
        <w:pStyle w:val="Compact"/>
      </w:pPr>
      <w:r>
        <w:t xml:space="preserve">a machine-certified nonlinear quadrature;</w:t>
      </w:r>
    </w:p>
    <w:p>
      <w:pPr>
        <w:numPr>
          <w:ilvl w:val="0"/>
          <w:numId w:val="1007"/>
        </w:numPr>
        <w:pStyle w:val="Compact"/>
      </w:pPr>
      <w:r>
        <w:t xml:space="preserve">publication readiness or community acceptance.</w:t>
      </w:r>
    </w:p>
    <w:bookmarkEnd w:id="57"/>
    <w:bookmarkStart w:id="58" w:name="recommended-reviewer-output"/>
    <w:p>
      <w:pPr>
        <w:pStyle w:val="Heading1"/>
        <w:keepNext/>
      </w:pPr>
      <w:r>
        <w:t xml:space="preserve">17. Recommended reviewer output</w:t>
      </w:r>
    </w:p>
    <w:p>
      <w:pPr>
        <w:pStyle w:val="FirstParagraph"/>
      </w:pPr>
      <w:r>
        <w:t xml:space="preserve">The most useful report has four layers:</w:t>
      </w:r>
    </w:p>
    <w:p>
      <w:pPr>
        <w:numPr>
          <w:ilvl w:val="0"/>
          <w:numId w:val="1008"/>
        </w:numPr>
        <w:pStyle w:val="Compact"/>
      </w:pPr>
      <w:r>
        <w:rPr>
          <w:bCs/>
          <w:b/>
        </w:rPr>
        <w:t xml:space="preserve">Global assessment:</w:t>
      </w:r>
      <w:r>
        <w:t xml:space="preserve"> </w:t>
      </w:r>
      <w:r>
        <w:t xml:space="preserve">no fatal defect found within the portions checked; promising but major steps unverified; a specific fatal defect found; too incomplete to assess; or outside expertise.</w:t>
      </w:r>
    </w:p>
    <w:p>
      <w:pPr>
        <w:numPr>
          <w:ilvl w:val="0"/>
          <w:numId w:val="1008"/>
        </w:numPr>
        <w:pStyle w:val="Compact"/>
      </w:pPr>
      <w:r>
        <w:rPr>
          <w:bCs/>
          <w:b/>
        </w:rPr>
        <w:t xml:space="preserve">Component assessment:</w:t>
      </w:r>
      <w:r>
        <w:t xml:space="preserve"> </w:t>
      </w:r>
      <w:r>
        <w:t xml:space="preserve">local exponent; all-typed intensity; elder-selected intensity; absolute coefficient; side-24 correction; novelty.</w:t>
      </w:r>
    </w:p>
    <w:p>
      <w:pPr>
        <w:numPr>
          <w:ilvl w:val="0"/>
          <w:numId w:val="1008"/>
        </w:numPr>
        <w:pStyle w:val="Compact"/>
      </w:pPr>
      <w:r>
        <w:rPr>
          <w:bCs/>
          <w:b/>
        </w:rPr>
        <w:t xml:space="preserve">Issue records:</w:t>
      </w:r>
      <w:r>
        <w:t xml:space="preserve"> </w:t>
      </w:r>
      <w:r>
        <w:t xml:space="preserve">severity, exact location, challenged statement, reason, minimal repair, and downstream claims affected.</w:t>
      </w:r>
    </w:p>
    <w:p>
      <w:pPr>
        <w:numPr>
          <w:ilvl w:val="0"/>
          <w:numId w:val="1008"/>
        </w:numPr>
        <w:pStyle w:val="Compact"/>
      </w:pPr>
      <w:r>
        <w:rPr>
          <w:bCs/>
          <w:b/>
        </w:rPr>
        <w:t xml:space="preserve">Next-review recommendation:</w:t>
      </w:r>
      <w:r>
        <w:t xml:space="preserve"> </w:t>
      </w:r>
      <w:r>
        <w:t xml:space="preserve">whether the work is suitable for an arXiv draft after repairs and which specialist should inspect topology, probability, or dynamics.</w:t>
      </w:r>
    </w:p>
    <w:p>
      <w:pPr>
        <w:pStyle w:val="FirstParagraph"/>
      </w:pPr>
      <w:r>
        <w:t xml:space="preserve">The separate response form in this package implements this structure.</w:t>
      </w:r>
    </w:p>
    <w:bookmarkEnd w:id="58"/>
    <w:bookmarkStart w:id="59" w:name="X7f8673f73059e39d38b7e4f6b9d585469991294"/>
    <w:p>
      <w:pPr>
        <w:pStyle w:val="Heading1"/>
        <w:keepNext/>
      </w:pPr>
      <w:r>
        <w:t xml:space="preserve">18. Recommended next mathematical work before submission</w:t>
      </w:r>
    </w:p>
    <w:p>
      <w:pPr>
        <w:numPr>
          <w:ilvl w:val="0"/>
          <w:numId w:val="1009"/>
        </w:numPr>
        <w:pStyle w:val="Compact"/>
      </w:pPr>
      <w:r>
        <w:t xml:space="preserve">Have a topology specialist verify the component-based exhaustion in Lemma 3.4a and its measurable canonical-witness construction.</w:t>
      </w:r>
    </w:p>
    <w:p>
      <w:pPr>
        <w:numPr>
          <w:ilvl w:val="0"/>
          <w:numId w:val="1009"/>
        </w:numPr>
        <w:pStyle w:val="Compact"/>
      </w:pPr>
      <w:r>
        <w:t xml:space="preserve">Independently verify Lemma 3.4b’s determinant-weighted dynamics transfer and Lemma 3.4c’s fixed-distance Kac–Rice bound.</w:t>
      </w:r>
    </w:p>
    <w:p>
      <w:pPr>
        <w:numPr>
          <w:ilvl w:val="0"/>
          <w:numId w:val="1009"/>
        </w:numPr>
        <w:pStyle w:val="Compact"/>
      </w:pPr>
      <w:r>
        <w:t xml:space="preserve">Supply the complete finite-</w:t>
      </w:r>
      <m:oMath>
        <m:r>
          <m:t>r</m:t>
        </m:r>
      </m:oMath>
      <w:r>
        <w:t xml:space="preserve"> </w:t>
      </w:r>
      <w:r>
        <w:t xml:space="preserve">collar and singular-near triple-contact envelope, angular controls, and regional integrations.</w:t>
      </w:r>
    </w:p>
    <w:p>
      <w:pPr>
        <w:numPr>
          <w:ilvl w:val="0"/>
          <w:numId w:val="1009"/>
        </w:numPr>
        <w:pStyle w:val="Compact"/>
      </w:pPr>
      <w:r>
        <w:t xml:space="preserve">Prove Module E’s joint finite-</w:t>
      </w:r>
      <m:oMath>
        <m:r>
          <m:t>r</m:t>
        </m:r>
      </m:oMath>
      <w:r>
        <w:t xml:space="preserve"> </w:t>
      </w:r>
      <w:r>
        <w:t xml:space="preserve">quantitative jet-transfer envelope on every blown-up boundary face.</w:t>
      </w:r>
    </w:p>
    <w:p>
      <w:pPr>
        <w:numPr>
          <w:ilvl w:val="0"/>
          <w:numId w:val="1009"/>
        </w:numPr>
        <w:pStyle w:val="Compact"/>
      </w:pPr>
      <w:r>
        <w:t xml:space="preserve">Have an independent expert verify the Borel mark, near pushforward, domination, off-diagonal lemma, and GOE cone calculation.</w:t>
      </w:r>
    </w:p>
    <w:p>
      <w:pPr>
        <w:numPr>
          <w:ilvl w:val="0"/>
          <w:numId w:val="1009"/>
        </w:numPr>
        <w:pStyle w:val="Compact"/>
      </w:pPr>
      <w:r>
        <w:t xml:space="preserve">Globally renumber the technical supplement and convert internal source labels to conventional mathematics.</w:t>
      </w:r>
    </w:p>
    <w:p>
      <w:pPr>
        <w:numPr>
          <w:ilvl w:val="0"/>
          <w:numId w:val="1009"/>
        </w:numPr>
        <w:pStyle w:val="Compact"/>
      </w:pPr>
      <w:r>
        <w:t xml:space="preserve">Obtain at least one independent review of the Kac–Rice/probability part and one of the Morse/persistence/dynamical part.</w:t>
      </w:r>
    </w:p>
    <w:p>
      <w:pPr>
        <w:numPr>
          <w:ilvl w:val="0"/>
          <w:numId w:val="1009"/>
        </w:numPr>
        <w:pStyle w:val="Compact"/>
      </w:pPr>
      <w:r>
        <w:t xml:space="preserve">Complete the systematic literature search.</w:t>
      </w:r>
    </w:p>
    <w:bookmarkEnd w:id="59"/>
    <w:bookmarkStart w:id="60" w:name="file-provenance"/>
    <w:p>
      <w:pPr>
        <w:pStyle w:val="Heading1"/>
        <w:keepNext/>
      </w:pPr>
      <w:r>
        <w:t xml:space="preserve">19. File provenance</w:t>
      </w:r>
    </w:p>
    <w:p>
      <w:pPr>
        <w:pStyle w:val="FirstParagraph"/>
      </w:pPr>
      <w:r>
        <w:t xml:space="preserve">The operative review manuscript source is</w:t>
      </w:r>
      <w:r>
        <w:t xml:space="preserve"> </w:t>
      </w:r>
      <w:r>
        <w:rPr>
          <w:rStyle w:val="VerbatimChar"/>
        </w:rPr>
        <w:t xml:space="preserve">03_SIDE24_MANUSCRIPT_SOURCE.md</w:t>
      </w:r>
      <w:r>
        <w:t xml:space="preserve">, derived from Google Drive file ID</w:t>
      </w:r>
      <w:r>
        <w:t xml:space="preserve"> </w:t>
      </w:r>
      <w:r>
        <w:rPr>
          <w:rStyle w:val="VerbatimChar"/>
        </w:rPr>
        <w:t xml:space="preserve">1WQbfdg83ODwtRBfKwXXGoj_OxyvdCLsh</w:t>
      </w:r>
      <w:r>
        <w:t xml:space="preserve">. The operative review appendix source is</w:t>
      </w:r>
      <w:r>
        <w:t xml:space="preserve"> </w:t>
      </w:r>
      <w:r>
        <w:rPr>
          <w:rStyle w:val="VerbatimChar"/>
        </w:rPr>
        <w:t xml:space="preserve">04_TECHNICAL_APPENDIX_SOURCE.md</w:t>
      </w:r>
      <w:r>
        <w:t xml:space="preserve">, derived from Drive ID</w:t>
      </w:r>
      <w:r>
        <w:t xml:space="preserve"> </w:t>
      </w:r>
      <w:r>
        <w:rPr>
          <w:rStyle w:val="VerbatimChar"/>
        </w:rPr>
        <w:t xml:space="preserve">161RrIl-5esy_NzDqeXF0ur_gwfyQ3t9R</w:t>
      </w:r>
      <w:r>
        <w:t xml:space="preserve">. Both contain disclosed review revisions and therefore supersede, for this packet only, the unedited baseline extractions. Their package hashes appear in</w:t>
      </w:r>
      <w:r>
        <w:t xml:space="preserve"> </w:t>
      </w:r>
      <w:r>
        <w:rPr>
          <w:rStyle w:val="VerbatimChar"/>
        </w:rPr>
        <w:t xml:space="preserve">09_PACKAGE_MANIFEST.csv</w:t>
      </w:r>
      <w:r>
        <w:t xml:space="preserve"> </w:t>
      </w:r>
      <w:r>
        <w:t xml:space="preserve">and</w:t>
      </w:r>
      <w:r>
        <w:t xml:space="preserve"> </w:t>
      </w:r>
      <w:r>
        <w:rPr>
          <w:rStyle w:val="VerbatimChar"/>
        </w:rPr>
        <w:t xml:space="preserve">10_SHA256SUMS.txt</w:t>
      </w:r>
      <w:r>
        <w:t xml:space="preserve">.</w:t>
      </w:r>
    </w:p>
    <w:p>
      <w:pPr>
        <w:pStyle w:val="BodyText"/>
      </w:pPr>
      <w:r>
        <w:t xml:space="preserve">The dossier is a new reviewer-facing synthesis. Where it labels a passage</w:t>
      </w:r>
      <w:r>
        <w:t xml:space="preserve"> </w:t>
      </w:r>
      <w:r>
        <w:t xml:space="preserve">“</w:t>
      </w:r>
      <w:r>
        <w:t xml:space="preserve">proposed repair,</w:t>
      </w:r>
      <w:r>
        <w:t xml:space="preserve">”</w:t>
      </w:r>
      <w:r>
        <w:t xml:space="preserve"> </w:t>
      </w:r>
      <w:r>
        <w:t xml:space="preserve">the passage is not part of the controlling proof and must be independently checked before incorporation.</w:t>
      </w:r>
    </w:p>
    <w:bookmarkEnd w:id="60"/>
    <w:bookmarkStart w:id="61" w:name="references"/>
    <w:p>
      <w:pPr>
        <w:pStyle w:val="Heading1"/>
        <w:keepNext/>
      </w:pPr>
      <w:r>
        <w:t xml:space="preserve">References</w:t>
      </w:r>
    </w:p>
    <w:p>
      <w:pPr>
        <w:numPr>
          <w:ilvl w:val="0"/>
          <w:numId w:val="1010"/>
        </w:numPr>
        <w:pStyle w:val="Compact"/>
      </w:pPr>
      <w:r>
        <w:t xml:space="preserve">R. J. Adler and J. E. Taylor,</w:t>
      </w:r>
      <w:r>
        <w:t xml:space="preserve"> </w:t>
      </w:r>
      <w:r>
        <w:rPr>
          <w:iCs/>
          <w:i/>
        </w:rPr>
        <w:t xml:space="preserve">Random Fields and Geometry</w:t>
      </w:r>
      <w:r>
        <w:t xml:space="preserve">, Springer, 2007.</w:t>
      </w:r>
    </w:p>
    <w:p>
      <w:pPr>
        <w:numPr>
          <w:ilvl w:val="0"/>
          <w:numId w:val="1010"/>
        </w:numPr>
        <w:pStyle w:val="Compact"/>
      </w:pPr>
      <w:r>
        <w:t xml:space="preserve">R. J. Adler, O. Bobrowski, M. S. Borman, E. Subag, and S. Weinberger,</w:t>
      </w:r>
      <w:r>
        <w:t xml:space="preserve"> </w:t>
      </w:r>
      <w:r>
        <w:t xml:space="preserve">“</w:t>
      </w:r>
      <w:r>
        <w:t xml:space="preserve">Persistent homology for random fields and complexes,</w:t>
      </w:r>
      <w:r>
        <w:t xml:space="preserve">”</w:t>
      </w:r>
      <w:r>
        <w:t xml:space="preserve"> </w:t>
      </w:r>
      <w:r>
        <w:rPr>
          <w:iCs/>
          <w:i/>
        </w:rPr>
        <w:t xml:space="preserve">IMS Collections</w:t>
      </w:r>
      <w:r>
        <w:t xml:space="preserve"> </w:t>
      </w:r>
      <w:r>
        <w:rPr>
          <w:bCs/>
          <w:b/>
        </w:rPr>
        <w:t xml:space="preserve">6</w:t>
      </w:r>
      <w:r>
        <w:t xml:space="preserve"> </w:t>
      </w:r>
      <w:r>
        <w:t xml:space="preserve">(2010), 124–143.</w:t>
      </w:r>
    </w:p>
    <w:p>
      <w:pPr>
        <w:numPr>
          <w:ilvl w:val="0"/>
          <w:numId w:val="1010"/>
        </w:numPr>
        <w:pStyle w:val="Compact"/>
      </w:pPr>
      <w:r>
        <w:t xml:space="preserve">F. Chazal and V. Divol,</w:t>
      </w:r>
      <w:r>
        <w:t xml:space="preserve"> </w:t>
      </w:r>
      <w:r>
        <w:t xml:space="preserve">“</w:t>
      </w:r>
      <w:r>
        <w:t xml:space="preserve">The density of expected persistence diagrams and its kernel based estimation,</w:t>
      </w:r>
      <w:r>
        <w:t xml:space="preserve">”</w:t>
      </w:r>
      <w:r>
        <w:t xml:space="preserve"> </w:t>
      </w:r>
      <w:r>
        <w:rPr>
          <w:iCs/>
          <w:i/>
        </w:rPr>
        <w:t xml:space="preserve">Journal of Computational Geometry</w:t>
      </w:r>
      <w:r>
        <w:t xml:space="preserve"> </w:t>
      </w:r>
      <w:r>
        <w:rPr>
          <w:bCs/>
          <w:b/>
        </w:rPr>
        <w:t xml:space="preserve">10</w:t>
      </w:r>
      <w:r>
        <w:t xml:space="preserve">(2) (2019), 127–153.</w:t>
      </w:r>
    </w:p>
    <w:p>
      <w:pPr>
        <w:numPr>
          <w:ilvl w:val="0"/>
          <w:numId w:val="1010"/>
        </w:numPr>
        <w:pStyle w:val="Compact"/>
      </w:pPr>
      <w:r>
        <w:t xml:space="preserve">A. Klein and O. Agam,</w:t>
      </w:r>
      <w:r>
        <w:t xml:space="preserve"> </w:t>
      </w:r>
      <w:r>
        <w:t xml:space="preserve">“</w:t>
      </w:r>
      <w:r>
        <w:t xml:space="preserve">Critical point correlations in random Gaussian fields,</w:t>
      </w:r>
      <w:r>
        <w:t xml:space="preserve">”</w:t>
      </w:r>
      <w:r>
        <w:t xml:space="preserve"> </w:t>
      </w:r>
      <w:r>
        <w:rPr>
          <w:iCs/>
          <w:i/>
        </w:rPr>
        <w:t xml:space="preserve">Journal of Physics A</w:t>
      </w:r>
      <w:r>
        <w:t xml:space="preserve"> </w:t>
      </w:r>
      <w:r>
        <w:rPr>
          <w:bCs/>
          <w:b/>
        </w:rPr>
        <w:t xml:space="preserve">45</w:t>
      </w:r>
      <w:r>
        <w:t xml:space="preserve"> </w:t>
      </w:r>
      <w:r>
        <w:t xml:space="preserve">(2012), 025001.</w:t>
      </w:r>
    </w:p>
    <w:p>
      <w:pPr>
        <w:numPr>
          <w:ilvl w:val="0"/>
          <w:numId w:val="1010"/>
        </w:numPr>
        <w:pStyle w:val="Compact"/>
      </w:pPr>
      <w:r>
        <w:t xml:space="preserve">P. Pranav,</w:t>
      </w:r>
      <w:r>
        <w:t xml:space="preserve"> </w:t>
      </w:r>
      <w:r>
        <w:t xml:space="preserve">“</w:t>
      </w:r>
      <w:r>
        <w:t xml:space="preserve">Topology and geometry of Gaussian random fields II: on critical points, excursion sets, and persistent homology,</w:t>
      </w:r>
      <w:r>
        <w:t xml:space="preserve">”</w:t>
      </w:r>
      <w:r>
        <w:t xml:space="preserve"> </w:t>
      </w:r>
      <w:r>
        <w:t xml:space="preserve">arXiv:2109.08721.</w:t>
      </w:r>
    </w:p>
    <w:p>
      <w:pPr>
        <w:numPr>
          <w:ilvl w:val="0"/>
          <w:numId w:val="1010"/>
        </w:numPr>
        <w:pStyle w:val="Compact"/>
      </w:pPr>
      <w:r>
        <w:t xml:space="preserve">C. Hirsch and R. Lachièze-Rey,</w:t>
      </w:r>
      <w:r>
        <w:t xml:space="preserve"> </w:t>
      </w:r>
      <w:r>
        <w:t xml:space="preserve">“</w:t>
      </w:r>
      <w:r>
        <w:t xml:space="preserve">Functional central limit theorem for topological functionals of Gaussian critical points,</w:t>
      </w:r>
      <w:r>
        <w:t xml:space="preserve">”</w:t>
      </w:r>
      <w:r>
        <w:t xml:space="preserve"> </w:t>
      </w:r>
      <w:r>
        <w:t xml:space="preserve">arXiv:2411.11429.</w:t>
      </w:r>
    </w:p>
    <w:p>
      <w:pPr>
        <w:numPr>
          <w:ilvl w:val="0"/>
          <w:numId w:val="1010"/>
        </w:numPr>
        <w:pStyle w:val="Compact"/>
      </w:pPr>
      <w:r>
        <w:t xml:space="preserve">M. Ancona, L. Gass, T. Letendre, and M. Stecconi,</w:t>
      </w:r>
      <w:r>
        <w:t xml:space="preserve"> </w:t>
      </w:r>
      <w:r>
        <w:t xml:space="preserve">“</w:t>
      </w:r>
      <w:r>
        <w:t xml:space="preserve">Zeros and critical points of Gaussian fields: cumulants asymptotics and limit theorems,</w:t>
      </w:r>
      <w:r>
        <w:t xml:space="preserve">”</w:t>
      </w:r>
      <w:r>
        <w:t xml:space="preserve"> </w:t>
      </w:r>
      <w:r>
        <w:t xml:space="preserve">arXiv:2501.10226.</w:t>
      </w:r>
    </w:p>
    <w:bookmarkEnd w:id="61"/>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Pre-peer-review dossier: short-lifetime H0 persistence for the side-24 periodized Bargmann–Fock field</dc:title>
  <dc:creator>Dylan Roy</dc:creator>
  <dc:language>en-US</dc:language>
  <cp:keywords/>
  <dcterms:created xsi:type="dcterms:W3CDTF">2026-07-31T18:53:28Z</dcterms:created>
  <dcterms:modified xsi:type="dcterms:W3CDTF">2026-07-31T18:53:28Z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review snapshot: 31 July 2026</vt:lpwstr>
  </property>
</Properties>
</file>