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spacing w:before="0" w:after="60"/>
      </w:pPr>
      <w:r>
        <w:rPr>
          <w:rFonts w:ascii="Arial" w:hAnsi="Arial"/>
          <w:b w:val="0"/>
          <w:color w:val="000000"/>
          <w:sz w:val="52"/>
          <w:u w:val="none"/>
        </w:rPr>
        <w:t xml:space="preserve">Independent</w:t>
      </w:r>
      <w:r>
        <w:rPr>
          <w:rFonts w:ascii="Arial" w:hAnsi="Arial"/>
          <w:b w:val="0"/>
          <w:color w:val="000000"/>
          <w:sz w:val="52"/>
          <w:u w:val="none"/>
        </w:rPr>
        <w:t xml:space="preserve"> </w:t>
      </w:r>
      <w:r>
        <w:rPr>
          <w:rFonts w:ascii="Arial" w:hAnsi="Arial"/>
          <w:b w:val="0"/>
          <w:color w:val="000000"/>
          <w:sz w:val="52"/>
          <w:u w:val="none"/>
        </w:rPr>
        <w:t xml:space="preserve">pre-peer-review</w:t>
      </w:r>
      <w:r>
        <w:rPr>
          <w:rFonts w:ascii="Arial" w:hAnsi="Arial"/>
          <w:b w:val="0"/>
          <w:color w:val="000000"/>
          <w:sz w:val="52"/>
          <w:u w:val="none"/>
        </w:rPr>
        <w:t xml:space="preserve"> </w:t>
      </w:r>
      <w:r>
        <w:rPr>
          <w:rFonts w:ascii="Arial" w:hAnsi="Arial"/>
          <w:b w:val="0"/>
          <w:color w:val="000000"/>
          <w:sz w:val="52"/>
          <w:u w:val="none"/>
        </w:rPr>
        <w:t xml:space="preserve">response</w:t>
      </w:r>
      <w:r>
        <w:rPr>
          <w:rFonts w:ascii="Arial" w:hAnsi="Arial"/>
          <w:b w:val="0"/>
          <w:color w:val="000000"/>
          <w:sz w:val="52"/>
          <w:u w:val="none"/>
        </w:rPr>
        <w:t xml:space="preserve"> </w:t>
      </w:r>
      <w:r>
        <w:rPr>
          <w:rFonts w:ascii="Arial" w:hAnsi="Arial"/>
          <w:b w:val="0"/>
          <w:color w:val="000000"/>
          <w:sz w:val="52"/>
          <w:u w:val="none"/>
        </w:rPr>
        <w:t xml:space="preserve">form</w:t>
      </w:r>
    </w:p>
    <w:p>
      <w:pPr>
        <w:pStyle w:val="Subtitle"/>
      </w:pPr>
      <w:r>
        <w:t xml:space="preserve">Side-24</w:t>
      </w:r>
      <w:r>
        <w:t xml:space="preserve"> </w:t>
      </w:r>
      <w:r>
        <w:t xml:space="preserve">short-lifetime</w:t>
      </w:r>
      <w:r>
        <w:t xml:space="preserve"> </w:t>
      </w:r>
      <w:r>
        <w:t xml:space="preserve">H0</w:t>
      </w:r>
      <w:r>
        <w:t xml:space="preserve"> </w:t>
      </w:r>
      <w:r>
        <w:t xml:space="preserve">persistence</w:t>
      </w:r>
      <w:r>
        <w:t xml:space="preserve"> </w:t>
      </w:r>
      <w:r>
        <w:t xml:space="preserve">project</w:t>
      </w:r>
    </w:p>
    <w:p>
      <w:pPr>
        <w:pStyle w:val="Author"/>
      </w:pPr>
      <w:r>
        <w:t xml:space="preserve">Prepared</w:t>
      </w:r>
      <w:r>
        <w:t xml:space="preserve"> </w:t>
      </w:r>
      <w:r>
        <w:t xml:space="preserve">for</w:t>
      </w:r>
      <w:r>
        <w:t xml:space="preserve"> </w:t>
      </w:r>
      <w:r>
        <w:t xml:space="preserve">Dylan</w:t>
      </w:r>
      <w:r>
        <w:t xml:space="preserve"> </w:t>
      </w:r>
      <w:r>
        <w:t xml:space="preserve">Roy</w:t>
      </w:r>
    </w:p>
    <w:p>
      <w:pPr>
        <w:pStyle w:val="Date"/>
      </w:pPr>
      <w:r>
        <w:t xml:space="preserve">Revised</w:t>
      </w:r>
      <w:r>
        <w:t xml:space="preserve"> </w:t>
      </w:r>
      <w:r>
        <w:t xml:space="preserve">review</w:t>
      </w:r>
      <w:r>
        <w:t xml:space="preserve"> </w:t>
      </w:r>
      <w:r>
        <w:t xml:space="preserve">snapshot:</w:t>
      </w:r>
      <w:r>
        <w:t xml:space="preserve"> </w:t>
      </w:r>
      <w:r>
        <w:t xml:space="preserve">31</w:t>
      </w:r>
      <w:r>
        <w:t xml:space="preserve"> </w:t>
      </w:r>
      <w:r>
        <w:t xml:space="preserve">July</w:t>
      </w:r>
      <w:r>
        <w:t xml:space="preserve"> </w:t>
      </w:r>
      <w:r>
        <w:t xml:space="preserve">2026</w:t>
      </w:r>
    </w:p>
    <w:bookmarkStart w:id="20" w:name="instructions"/>
    <w:p>
      <w:pPr>
        <w:pStyle w:val="Heading1"/>
        <w:keepNext/>
      </w:pPr>
      <w:r>
        <w:t xml:space="preserve">Instructions</w:t>
      </w:r>
    </w:p>
    <w:p>
      <w:pPr>
        <w:pStyle w:val="FirstParagraph"/>
      </w:pPr>
      <w:r>
        <w:t xml:space="preserve">Thank you for reviewing this material. Please complete only the portions within your expertise. A marked manuscript, informal email, or partial response is as useful as this form.</w:t>
      </w:r>
    </w:p>
    <w:p>
      <w:pPr>
        <w:pStyle w:val="BodyText"/>
      </w:pPr>
      <w:r>
        <w:t xml:space="preserve">The manuscript deliberately labels its headline statement a</w:t>
      </w:r>
      <w:r>
        <w:t xml:space="preserve"> </w:t>
      </w:r>
      <w:r>
        <w:rPr>
          <w:bCs/>
          <w:b/>
        </w:rPr>
        <w:t xml:space="preserve">candidate theorem</w:t>
      </w:r>
      <w:r>
        <w:t xml:space="preserve">. It now contains a component-based elder-failure exhaustion, a consolidated deterministic capture/escape theorem, its determinant-weighted exceptional-set transfer, and a fixed-distance witness bound, all submitted for checking rather than presumed correct. The full finite-</w:t>
      </w:r>
      <m:oMath>
        <m:r>
          <m:t>r</m:t>
        </m:r>
      </m:oMath>
      <w:r>
        <w:t xml:space="preserve"> </w:t>
      </w:r>
      <w:r>
        <w:t xml:space="preserve">collar and singular-near triple-contact analysis and Module E joint finite-</w:t>
      </w:r>
      <m:oMath>
        <m:r>
          <m:t>r</m:t>
        </m:r>
      </m:oMath>
      <w:r>
        <w:t xml:space="preserve"> </w:t>
      </w:r>
      <w:r>
        <w:t xml:space="preserve">transfer argument remain open. Please do not interpret the request as asking you to accept those steps by default.</w:t>
      </w:r>
    </w:p>
    <w:p>
      <w:pPr>
        <w:pStyle w:val="BodyText"/>
      </w:pPr>
      <w:r>
        <w:t xml:space="preserve">For technical items, use one of: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VERIFIED:</w:t>
      </w:r>
      <w:r>
        <w:t xml:space="preserve"> </w:t>
      </w:r>
      <w:r>
        <w:t xml:space="preserve">checked in sufficient detail; no material defect found.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CORRECTABLE GAP:</w:t>
      </w:r>
      <w:r>
        <w:t xml:space="preserve"> </w:t>
      </w:r>
      <w:r>
        <w:t xml:space="preserve">the claim appears repairable, but a stated step or hypothesis is missing.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MAJOR GAP:</w:t>
      </w:r>
      <w:r>
        <w:t xml:space="preserve"> </w:t>
      </w:r>
      <w:r>
        <w:t xml:space="preserve">the current argument does not justify the claimed conclusion.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 CHECKED:</w:t>
      </w:r>
      <w:r>
        <w:t xml:space="preserve"> </w:t>
      </w:r>
      <w:r>
        <w:t xml:space="preserve">insufficient time or not examined.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OUTSIDE EXPERTISE:</w:t>
      </w:r>
      <w:r>
        <w:t xml:space="preserve"> </w:t>
      </w:r>
      <w:r>
        <w:t xml:space="preserve">requires another specialist.</w:t>
      </w:r>
    </w:p>
    <w:p>
      <w:pPr>
        <w:pStyle w:val="FirstParagraph"/>
      </w:pPr>
      <w:r>
        <w:t xml:space="preserve">Whenever possible, cite the filename, page, theorem/lemma, and equation.</w:t>
      </w:r>
    </w:p>
    <w:bookmarkEnd w:id="20"/>
    <w:bookmarkStart w:id="21" w:name="reviewer-information"/>
    <w:p>
      <w:pPr>
        <w:pStyle w:val="Heading1"/>
        <w:keepNext/>
      </w:pPr>
      <w:r>
        <w:t xml:space="preserve">1. Reviewer information</w:t>
      </w:r>
    </w:p>
    <w:p>
      <w:pPr>
        <w:pStyle w:val="FirstParagraph"/>
      </w:pPr>
      <w:r>
        <w:rPr>
          <w:bCs/>
          <w:b/>
        </w:rPr>
        <w:t xml:space="preserve">Name:</w:t>
      </w:r>
    </w:p>
    <w:p>
      <w:pPr>
        <w:pStyle w:val="BodyText"/>
      </w:pPr>
      <w:r>
        <w:rPr>
          <w:bCs/>
          <w:b/>
        </w:rPr>
        <w:t xml:space="preserve">Affiliation:</w:t>
      </w:r>
    </w:p>
    <w:p>
      <w:pPr>
        <w:pStyle w:val="BodyText"/>
      </w:pPr>
      <w:r>
        <w:rPr>
          <w:bCs/>
          <w:b/>
        </w:rPr>
        <w:t xml:space="preserve">Relevant expertise:</w:t>
      </w:r>
    </w:p>
    <w:p>
      <w:pPr>
        <w:pStyle w:val="BodyText"/>
      </w:pPr>
      <w:r>
        <w:rPr>
          <w:bCs/>
          <w:b/>
        </w:rPr>
        <w:t xml:space="preserve">Date of response:</w:t>
      </w:r>
    </w:p>
    <w:p>
      <w:pPr>
        <w:pStyle w:val="BodyText"/>
      </w:pPr>
      <w:r>
        <w:rPr>
          <w:bCs/>
          <w:b/>
        </w:rPr>
        <w:t xml:space="preserve">Files or sections examined:</w:t>
      </w:r>
    </w:p>
    <w:p>
      <w:pPr>
        <w:pStyle w:val="BodyText"/>
      </w:pPr>
      <w:r>
        <w:rPr>
          <w:bCs/>
          <w:b/>
        </w:rPr>
        <w:t xml:space="preserve">Approximate time spent, optional:</w:t>
      </w:r>
    </w:p>
    <w:p>
      <w:pPr>
        <w:pStyle w:val="BodyText"/>
      </w:pPr>
      <w:r>
        <w:rPr>
          <w:bCs/>
          <w:b/>
        </w:rPr>
        <w:t xml:space="preserve">Computations independently executed:</w:t>
      </w:r>
    </w:p>
    <w:p>
      <w:pPr>
        <w:pStyle w:val="BodyText"/>
      </w:pPr>
      <w:r>
        <w:rPr>
          <w:bCs/>
          <w:b/>
        </w:rPr>
        <w:t xml:space="preserve">Prior familiarity with the author or project:</w:t>
      </w:r>
    </w:p>
    <w:bookmarkEnd w:id="21"/>
    <w:bookmarkStart w:id="22" w:name="overall-mathematical-assessment"/>
    <w:p>
      <w:pPr>
        <w:pStyle w:val="Heading1"/>
        <w:keepNext/>
      </w:pPr>
      <w:r>
        <w:t xml:space="preserve">2. Overall mathematical assessment</w:t>
      </w:r>
    </w:p>
    <w:p>
      <w:pPr>
        <w:pStyle w:val="FirstParagraph"/>
      </w:pPr>
      <w:r>
        <w:t xml:space="preserve">Select one:</w:t>
      </w:r>
    </w:p>
    <w:p>
      <w:pPr>
        <w:numPr>
          <w:ilvl w:val="0"/>
          <w:numId w:val="1002"/>
        </w:numPr>
        <w:pStyle w:val="Compact"/>
      </w:pPr>
      <w:r>
        <w:t xml:space="preserve">☐ No fatal defect found within the portions checked.</w:t>
      </w:r>
    </w:p>
    <w:p>
      <w:pPr>
        <w:numPr>
          <w:ilvl w:val="0"/>
          <w:numId w:val="1002"/>
        </w:numPr>
        <w:pStyle w:val="Compact"/>
      </w:pPr>
      <w:r>
        <w:t xml:space="preserve">☐ Promising, but one or more major steps remain unverified.</w:t>
      </w:r>
    </w:p>
    <w:p>
      <w:pPr>
        <w:numPr>
          <w:ilvl w:val="0"/>
          <w:numId w:val="1002"/>
        </w:numPr>
        <w:pStyle w:val="Compact"/>
      </w:pPr>
      <w:r>
        <w:t xml:space="preserve">☐ A specific fatal defect was found.</w:t>
      </w:r>
    </w:p>
    <w:p>
      <w:pPr>
        <w:numPr>
          <w:ilvl w:val="0"/>
          <w:numId w:val="1002"/>
        </w:numPr>
        <w:pStyle w:val="Compact"/>
      </w:pPr>
      <w:r>
        <w:t xml:space="preserve">☐ The argument is presently too incomplete to assess.</w:t>
      </w:r>
    </w:p>
    <w:p>
      <w:pPr>
        <w:numPr>
          <w:ilvl w:val="0"/>
          <w:numId w:val="1002"/>
        </w:numPr>
        <w:pStyle w:val="Compact"/>
      </w:pPr>
      <w:r>
        <w:t xml:space="preserve">☐ Outside my expertise or insufficient time.</w:t>
      </w:r>
    </w:p>
    <w:p>
      <w:pPr>
        <w:pStyle w:val="FirstParagraph"/>
      </w:pPr>
      <w:r>
        <w:rPr>
          <w:bCs/>
          <w:b/>
        </w:rPr>
        <w:t xml:space="preserve">Explanation:</w:t>
      </w:r>
    </w:p>
    <w:bookmarkEnd w:id="22"/>
    <w:bookmarkStart w:id="23" w:name="readiness-assessment"/>
    <w:p>
      <w:pPr>
        <w:pStyle w:val="Heading1"/>
        <w:keepNext/>
      </w:pPr>
      <w:r>
        <w:t xml:space="preserve">3. Readiness assessment</w:t>
      </w:r>
    </w:p>
    <w:p>
      <w:pPr>
        <w:pStyle w:val="FirstParagraph"/>
      </w:pPr>
      <w:r>
        <w:t xml:space="preserve">Select any that apply:</w:t>
      </w:r>
    </w:p>
    <w:p>
      <w:pPr>
        <w:numPr>
          <w:ilvl w:val="0"/>
          <w:numId w:val="1003"/>
        </w:numPr>
        <w:pStyle w:val="Compact"/>
      </w:pPr>
      <w:r>
        <w:t xml:space="preserve">☐ Suitable for preparation as a preprint after minor corrections.</w:t>
      </w:r>
    </w:p>
    <w:p>
      <w:pPr>
        <w:numPr>
          <w:ilvl w:val="0"/>
          <w:numId w:val="1003"/>
        </w:numPr>
        <w:pStyle w:val="Compact"/>
      </w:pPr>
      <w:r>
        <w:t xml:space="preserve">☐ Suitable for a preprint only after the named proof interfaces are closed.</w:t>
      </w:r>
    </w:p>
    <w:p>
      <w:pPr>
        <w:numPr>
          <w:ilvl w:val="0"/>
          <w:numId w:val="1003"/>
        </w:numPr>
        <w:pStyle w:val="Compact"/>
      </w:pPr>
      <w:r>
        <w:t xml:space="preserve">☐ Requires major mathematical revision.</w:t>
      </w:r>
    </w:p>
    <w:p>
      <w:pPr>
        <w:numPr>
          <w:ilvl w:val="0"/>
          <w:numId w:val="1003"/>
        </w:numPr>
        <w:pStyle w:val="Compact"/>
      </w:pPr>
      <w:r>
        <w:t xml:space="preserve">☐ Requires specialist review in another area.</w:t>
      </w:r>
    </w:p>
    <w:p>
      <w:pPr>
        <w:numPr>
          <w:ilvl w:val="0"/>
          <w:numId w:val="1003"/>
        </w:numPr>
        <w:pStyle w:val="Compact"/>
      </w:pPr>
      <w:r>
        <w:t xml:space="preserve">☐ Should remain an internal research draft.</w:t>
      </w:r>
    </w:p>
    <w:p>
      <w:pPr>
        <w:pStyle w:val="FirstParagraph"/>
      </w:pPr>
      <w:r>
        <w:rPr>
          <w:bCs/>
          <w:b/>
        </w:rPr>
        <w:t xml:space="preserve">Explanation:</w:t>
      </w:r>
    </w:p>
    <w:bookmarkEnd w:id="23"/>
    <w:bookmarkStart w:id="24" w:name="component-verdicts"/>
    <w:p>
      <w:pPr>
        <w:pStyle w:val="Heading1"/>
        <w:keepNext/>
      </w:pPr>
      <w:r>
        <w:t xml:space="preserve">4. Component verdicts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Component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Verdict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Exact location and comment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Existence of the lifetime density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Local all-typed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exponent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Near/far pair recombination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Determinant-weighted Palm formulation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Elder-selected intensity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Absolute coefficient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24</m:t>
                  </m:r>
                </m:sub>
              </m:sSub>
            </m:oMath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Euclidean coefficient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∞</m:t>
                  </m:r>
                </m:sub>
              </m:sSub>
            </m:oMath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Side-24 relative correction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Claimed remainder enclosure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Novelty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Any broader generalization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</w:tbl>
    <w:bookmarkEnd w:id="24"/>
    <w:bookmarkStart w:id="25" w:name="definitions-and-probabilistic-setup"/>
    <w:p>
      <w:pPr>
        <w:pStyle w:val="Heading1"/>
        <w:keepNext/>
      </w:pPr>
      <w:r>
        <w:t xml:space="preserve">5. Definitions and probabilistic setup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Question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Verdict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Location/comment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normalized periodized covariance precisely defined?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Are stationarity, smoothness, and analyticity justified?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Are the finite-jet nondegeneracy claims valid?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Are Morse genericity and distinct critical values proved or correctly cited?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expected persistence measure unambiguous?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absolute continuity of the lifetime measure established?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pointwise density representative identified rigorously?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Are finite, nonessential, and essential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classes distinguished?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elder-pair mark Borel measurable under the stated hypotheses?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</w:tbl>
    <w:bookmarkEnd w:id="25"/>
    <w:bookmarkStart w:id="26" w:name="local-kacrice-calculation"/>
    <w:p>
      <w:pPr>
        <w:pStyle w:val="Heading1"/>
        <w:keepNext/>
      </w:pPr>
      <w:r>
        <w:t xml:space="preserve">6. Local Kac–Rice calculation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Question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Verdict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Location/comment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typed maximum–index-two-saddle process measurable?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two-point Kac–Rice applicable away from the diagonal?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corrected pin determinant exactly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Fonts w:ascii="Arial" w:hAnsi="Arial"/>
                <w:sz w:val="17"/>
              </w:rPr>
              <w:t xml:space="preserve">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Does each endpoint determinant contribute exactly one soft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r>
                <m:t>r</m:t>
              </m:r>
            </m:oMath>
            <w:r>
              <w:rPr>
                <w:rFonts w:ascii="Arial" w:hAnsi="Arial"/>
                <w:sz w:val="17"/>
              </w:rPr>
              <w:t xml:space="preserve">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value-gap Jacobian exactly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oMath>
            <w:r>
              <w:rPr>
                <w:rFonts w:ascii="Arial" w:hAnsi="Arial"/>
                <w:sz w:val="17"/>
              </w:rPr>
              <w:t xml:space="preserve">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cubic fold relation sufficiently uniform?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combined radial factor exactly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e>
              </m:d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</m:oMath>
            <w:r>
              <w:rPr>
                <w:rFonts w:ascii="Arial" w:hAnsi="Arial"/>
                <w:sz w:val="17"/>
              </w:rPr>
              <w:t xml:space="preserve">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exact near-density pushforward correct?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all-mark domination integrable as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↓</m:t>
              </m:r>
              <m:r>
                <m:t>0</m:t>
              </m:r>
            </m:oMath>
            <w:r>
              <w:rPr>
                <w:rFonts w:ascii="Arial" w:hAnsi="Arial"/>
                <w:sz w:val="17"/>
              </w:rPr>
              <w:t xml:space="preserve">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Are higher-order contact double scalings excluded?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</w:tbl>
    <w:bookmarkEnd w:id="26"/>
    <w:bookmarkStart w:id="27" w:name="persistence-selection"/>
    <w:p>
      <w:pPr>
        <w:pStyle w:val="Heading1"/>
        <w:keepNext/>
      </w:pPr>
      <w:r>
        <w:t xml:space="preserve">7. Persistence selection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Question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Verdict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Location/comment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base Palm law conditioned only on the all-typed pair?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elder mark defined without circularity?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</m:oMath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uniform over the required marks?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Are the collar covariance factors correct?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Are the singular-near covariance factors correct?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sSup>
                <m:e>
                  <m:r>
                    <m:t>κ</m:t>
                  </m:r>
                </m:e>
                <m:sup>
                  <m:r>
                    <m:t>6</m:t>
                  </m:r>
                </m:sup>
              </m:sSup>
              <m:sSup>
                <m:e>
                  <m:r>
                    <m:t>η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triple-Hessian elimination correct?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Are all angular singularities controlled?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shallow-eigenvalue Palm estimate uniform?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Lemma 3.4a’s component-based failure exhaustion correct and exhaustive?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same-component attachment handled correctly?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any nonlocal pairing event omitted?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</w:tbl>
    <w:bookmarkEnd w:id="27"/>
    <w:bookmarkStart w:id="28" w:name="capture-and-escape-dynamics"/>
    <w:p>
      <w:pPr>
        <w:pStyle w:val="Heading1"/>
        <w:keepNext/>
      </w:pPr>
      <w:r>
        <w:t xml:space="preserve">8. Capture and escape dynamics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Question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Verdict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Location/comment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scaling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⊥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κ</m:t>
                  </m:r>
                  <m:r>
                    <m:t>r</m:t>
                  </m:r>
                </m:e>
              </m:d>
            </m:oMath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correct?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Do the cone/strip/tube regions cover every relevant trajectory?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Are inequalities based only on lower coercivity, with no hidden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bound?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inward branch captured by the maximum?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Must the outward branch cross above the maximum level?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Are the continuous flux and convergence estimates actually written and valid?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exact-field perturbation smaller than every stated margin?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Are predecessor references safely eliminated in the current proof?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Do the conditioned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Arial" w:hAnsi="Arial"/>
                <w:sz w:val="17"/>
              </w:rPr>
              <w:t xml:space="preserve">, shallow-layer, finite-jet, and fifth-derivative estimates transfer the deterministic theorem under the Palm law?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</w:tbl>
    <w:bookmarkEnd w:id="28"/>
    <w:bookmarkStart w:id="29" w:name="counting-and-normalization"/>
    <w:p>
      <w:pPr>
        <w:pStyle w:val="Heading1"/>
        <w:keepNext/>
      </w:pPr>
      <w:r>
        <w:t xml:space="preserve">9. Counting and normalization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Question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Verdict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Location/comment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Does the midpoint/displacement map have determinant one?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Does the full directed sphere count each typed pair once?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there correctly no factor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ascii="Arial" w:hAnsi="Arial"/>
                <w:sz w:val="17"/>
              </w:rPr>
              <w:t xml:space="preserve">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Are unstable branches an adjacency event rather than two pairs?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Does an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merge have unit multiplicity?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Kac–Rice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factor used exactly once?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lifetime factor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used exactly once?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Does the midpoint integral cancel against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sSup>
                <m:e>
                  <m:r>
                    <m:t>24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Arial" w:hAnsi="Arial"/>
                <w:sz w:val="17"/>
              </w:rPr>
              <w:t xml:space="preserve">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coefficient finite and strictly positive?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</w:tbl>
    <w:bookmarkEnd w:id="29"/>
    <w:bookmarkStart w:id="30" w:name="off-diagonal-contribution"/>
    <w:p>
      <w:pPr>
        <w:pStyle w:val="Heading1"/>
        <w:keepNext/>
      </w:pPr>
      <w:r>
        <w:t xml:space="preserve">10. Off-diagonal contribution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Question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Verdict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Location/comment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near/far partition exhaustive on the torus?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off-diagonal covariance uniformly nondegenerate?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Are conditional Hessian moments uniformly polynomially bounded?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r>
                <m:t>b</m:t>
              </m:r>
            </m:oMath>
            <w:r>
              <w:rPr>
                <w:rFonts w:ascii="Arial" w:hAnsi="Arial"/>
                <w:sz w:val="17"/>
              </w:rPr>
              <w:t xml:space="preserve">-integral uniformly Gaussian-integrable?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Does the nonlocal elder mark satisfy marked Kac–Rice hypotheses?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sSubSup>
                <m:e>
                  <m:r>
                    <m:t>ν</m:t>
                  </m:r>
                </m:e>
                <m:sub>
                  <m:r>
                    <m:t>ρ</m:t>
                  </m:r>
                </m:sub>
                <m:sup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ℓ</m:t>
                  </m:r>
                </m:e>
              </m:d>
              <m:r>
                <m:rPr>
                  <m:sty m:val="p"/>
                </m:rPr>
                <m:t>=</m:t>
              </m:r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proved?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</w:tbl>
    <w:bookmarkEnd w:id="30"/>
    <w:bookmarkStart w:id="31" w:name="coefficient-and-finite-side-calculation"/>
    <w:p>
      <w:pPr>
        <w:pStyle w:val="Heading1"/>
        <w:keepNext/>
      </w:pPr>
      <w:r>
        <w:t xml:space="preserve">11. Coefficient and finite-side calculation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Question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Verdict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Location/comment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Fourier/Poisson normalization consistent?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conditional Gaussian-cone law correctly normalized?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29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oMath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independently derivable?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closed form for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∞</m:t>
                  </m:r>
                </m:sub>
              </m:sSub>
            </m:oMath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correct?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first-image polynomial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</m:e>
              </m:d>
            </m:oMath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correct?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Does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24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620813376</m:t>
              </m:r>
              <m:r>
                <m:rPr>
                  <m:sty m:val="p"/>
                </m:rPr>
                <m:t>/</m:t>
              </m:r>
              <m:r>
                <m:t>35</m:t>
              </m:r>
            </m:oMath>
            <w:r>
              <w:rPr>
                <w:rFonts w:ascii="Arial" w:hAnsi="Arial"/>
                <w:sz w:val="17"/>
              </w:rPr>
              <w:t xml:space="preserve">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Are the coefficient-map derivative bounds justified, not only asserted?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Are the image-tail bounds correct?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Does the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180</m:t>
                  </m:r>
                </m:sup>
              </m:sSup>
            </m:oMath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remainder follow from the stated bounds?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Are computational checks clearly separated from proof?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</w:tbl>
    <w:bookmarkEnd w:id="31"/>
    <w:bookmarkStart w:id="32" w:name="literature-and-presentation"/>
    <w:p>
      <w:pPr>
        <w:pStyle w:val="Heading1"/>
        <w:keepNext/>
      </w:pPr>
      <w:r>
        <w:t xml:space="preserve">12. Literature and presentation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Question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Verdict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 xml:space="preserve">Location/comment</w:t>
            </w: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Does known literature already contain the same selected asymptotic?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Are imported theorems cited precisely enough?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Does the text consistently say first-moment intensity rather than probability density?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Does any sentence silently extend the result beyond</w:t>
            </w:r>
            <w:r>
              <w:rPr>
                <w:rFonts w:ascii="Arial" w:hAnsi="Arial"/>
                <w:sz w:val="17"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24</m:t>
              </m:r>
            </m:oMath>
            <w:r>
              <w:rPr>
                <w:rFonts w:ascii="Arial" w:hAnsi="Arial"/>
                <w:sz w:val="17"/>
              </w:rPr>
              <w:t xml:space="preserve">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Can the proof be checked without access to Google Drive history?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  <w:tr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7"/>
              </w:rPr>
              <w:t xml:space="preserve">Is the archival appendix usable despite local equation numbering?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Compact"/>
              <w:spacing w:after="40"/>
            </w:pPr>
          </w:p>
        </w:tc>
      </w:tr>
    </w:tbl>
    <w:bookmarkEnd w:id="32"/>
    <w:bookmarkStart w:id="33" w:name="individual-issue-record"/>
    <w:p>
      <w:pPr>
        <w:pStyle w:val="Heading1"/>
        <w:keepNext/>
      </w:pPr>
      <w:r>
        <w:t xml:space="preserve">13. Individual issue record</w:t>
      </w:r>
    </w:p>
    <w:p>
      <w:pPr>
        <w:pStyle w:val="FirstParagraph"/>
      </w:pPr>
      <w:r>
        <w:t xml:space="preserve">Repeat this block for each issue.</w:t>
      </w:r>
    </w:p>
    <w:p>
      <w:pPr>
        <w:pStyle w:val="BodyText"/>
      </w:pPr>
      <w:r>
        <w:rPr>
          <w:bCs/>
          <w:b/>
        </w:rPr>
        <w:t xml:space="preserve">Issue number:</w:t>
      </w:r>
    </w:p>
    <w:p>
      <w:pPr>
        <w:pStyle w:val="BodyText"/>
      </w:pPr>
      <w:r>
        <w:rPr>
          <w:bCs/>
          <w:b/>
        </w:rPr>
        <w:t xml:space="preserve">Severity:</w:t>
      </w:r>
      <w:r>
        <w:t xml:space="preserve"> </w:t>
      </w:r>
      <w:r>
        <w:t xml:space="preserve">fatal / major / minor / exposition</w:t>
      </w:r>
    </w:p>
    <w:p>
      <w:pPr>
        <w:pStyle w:val="BodyText"/>
      </w:pPr>
      <w:r>
        <w:rPr>
          <w:bCs/>
          <w:b/>
        </w:rPr>
        <w:t xml:space="preserve">File, page, theorem/lemma, equation:</w:t>
      </w:r>
    </w:p>
    <w:p>
      <w:pPr>
        <w:pStyle w:val="BodyText"/>
      </w:pPr>
      <w:r>
        <w:rPr>
          <w:bCs/>
          <w:b/>
        </w:rPr>
        <w:t xml:space="preserve">Exact statement challenged:</w:t>
      </w:r>
    </w:p>
    <w:p>
      <w:pPr>
        <w:pStyle w:val="BodyText"/>
      </w:pPr>
      <w:r>
        <w:rPr>
          <w:bCs/>
          <w:b/>
        </w:rPr>
        <w:t xml:space="preserve">Reason it fails or remains unsupported:</w:t>
      </w:r>
    </w:p>
    <w:p>
      <w:pPr>
        <w:pStyle w:val="BodyText"/>
      </w:pPr>
      <w:r>
        <w:rPr>
          <w:bCs/>
          <w:b/>
        </w:rPr>
        <w:t xml:space="preserve">Counterexample or derivation, if available:</w:t>
      </w:r>
    </w:p>
    <w:p>
      <w:pPr>
        <w:pStyle w:val="BodyText"/>
      </w:pPr>
      <w:r>
        <w:rPr>
          <w:bCs/>
          <w:b/>
        </w:rPr>
        <w:t xml:space="preserve">Minimum repair:</w:t>
      </w:r>
    </w:p>
    <w:p>
      <w:pPr>
        <w:pStyle w:val="BodyText"/>
      </w:pPr>
      <w:r>
        <w:rPr>
          <w:bCs/>
          <w:b/>
        </w:rPr>
        <w:t xml:space="preserve">Downstream claims affected:</w:t>
      </w:r>
    </w:p>
    <w:p>
      <w:pPr>
        <w:pStyle w:val="BodyText"/>
      </w:pPr>
      <w:r>
        <w:rPr>
          <w:bCs/>
          <w:b/>
        </w:rPr>
        <w:t xml:space="preserve">Components that survive unchanged:</w:t>
      </w:r>
    </w:p>
    <w:bookmarkEnd w:id="33"/>
    <w:bookmarkStart w:id="34" w:name="closing-questions"/>
    <w:p>
      <w:pPr>
        <w:pStyle w:val="Heading1"/>
        <w:keepNext/>
      </w:pPr>
      <w:r>
        <w:t xml:space="preserve">14. Closing questions</w:t>
      </w:r>
    </w:p>
    <w:p>
      <w:pPr>
        <w:pStyle w:val="FirstParagraph"/>
      </w:pPr>
      <w:r>
        <w:rPr>
          <w:bCs/>
          <w:b/>
        </w:rPr>
        <w:t xml:space="preserve">What is the strongest defensible theorem in the current material?</w:t>
      </w:r>
    </w:p>
    <w:p>
      <w:pPr>
        <w:pStyle w:val="BodyText"/>
      </w:pPr>
      <w:r>
        <w:rPr>
          <w:bCs/>
          <w:b/>
        </w:rPr>
        <w:t xml:space="preserve">What is the strongest part of the work?</w:t>
      </w:r>
    </w:p>
    <w:p>
      <w:pPr>
        <w:pStyle w:val="BodyText"/>
      </w:pPr>
      <w:r>
        <w:rPr>
          <w:bCs/>
          <w:b/>
        </w:rPr>
        <w:t xml:space="preserve">What is the weakest part?</w:t>
      </w:r>
    </w:p>
    <w:p>
      <w:pPr>
        <w:pStyle w:val="BodyText"/>
      </w:pPr>
      <w:r>
        <w:rPr>
          <w:bCs/>
          <w:b/>
        </w:rPr>
        <w:t xml:space="preserve">Is there a plausible counterexample mechanism?</w:t>
      </w:r>
    </w:p>
    <w:p>
      <w:pPr>
        <w:pStyle w:val="BodyText"/>
      </w:pPr>
      <w:r>
        <w:rPr>
          <w:bCs/>
          <w:b/>
        </w:rPr>
        <w:t xml:space="preserve">What missing reference or competing theorem should be examined?</w:t>
      </w:r>
    </w:p>
    <w:p>
      <w:pPr>
        <w:pStyle w:val="BodyText"/>
      </w:pPr>
      <w:r>
        <w:rPr>
          <w:bCs/>
          <w:b/>
        </w:rPr>
        <w:t xml:space="preserve">Would the work be suitable for arXiv after the named repairs?</w:t>
      </w:r>
    </w:p>
    <w:p>
      <w:pPr>
        <w:pStyle w:val="BodyText"/>
      </w:pPr>
      <w:r>
        <w:rPr>
          <w:bCs/>
          <w:b/>
        </w:rPr>
        <w:t xml:space="preserve">Which specialist should review any portion outside your expertise?</w:t>
      </w:r>
    </w:p>
    <w:p>
      <w:pPr>
        <w:pStyle w:val="BodyText"/>
      </w:pPr>
      <w:r>
        <w:rPr>
          <w:bCs/>
          <w:b/>
        </w:rPr>
        <w:t xml:space="preserve">Recommended journal, community, or subject classification, if appropriate:</w:t>
      </w:r>
    </w:p>
    <w:bookmarkEnd w:id="34"/>
    <w:bookmarkStart w:id="35" w:name="permission-and-attribution"/>
    <w:p>
      <w:pPr>
        <w:pStyle w:val="Heading1"/>
        <w:keepNext/>
      </w:pPr>
      <w:r>
        <w:t xml:space="preserve">15. Permission and attribution</w:t>
      </w:r>
    </w:p>
    <w:p>
      <w:pPr>
        <w:pStyle w:val="FirstParagraph"/>
      </w:pPr>
      <w:r>
        <w:t xml:space="preserve">May Dylan Roy quote or summarize this review?</w:t>
      </w:r>
    </w:p>
    <w:p>
      <w:pPr>
        <w:numPr>
          <w:ilvl w:val="0"/>
          <w:numId w:val="1004"/>
        </w:numPr>
        <w:pStyle w:val="Compact"/>
      </w:pPr>
      <w:r>
        <w:t xml:space="preserve">☐ Yes, with my name.</w:t>
      </w:r>
    </w:p>
    <w:p>
      <w:pPr>
        <w:numPr>
          <w:ilvl w:val="0"/>
          <w:numId w:val="1004"/>
        </w:numPr>
        <w:pStyle w:val="Compact"/>
      </w:pPr>
      <w:r>
        <w:t xml:space="preserve">☐ Yes, anonymously.</w:t>
      </w:r>
    </w:p>
    <w:p>
      <w:pPr>
        <w:numPr>
          <w:ilvl w:val="0"/>
          <w:numId w:val="1004"/>
        </w:numPr>
        <w:pStyle w:val="Compact"/>
      </w:pPr>
      <w:r>
        <w:t xml:space="preserve">☐ No; private feedback only.</w:t>
      </w:r>
    </w:p>
    <w:p>
      <w:pPr>
        <w:pStyle w:val="FirstParagraph"/>
      </w:pPr>
      <w:r>
        <w:t xml:space="preserve">If quoted, preferred attribution:</w:t>
      </w:r>
    </w:p>
    <w:p>
      <w:pPr>
        <w:pStyle w:val="BodyText"/>
      </w:pPr>
      <w:r>
        <w:t xml:space="preserve">Additional conditions:</w:t>
      </w:r>
    </w:p>
    <w:p>
      <w:pPr>
        <w:pStyle w:val="BodyText"/>
      </w:pPr>
      <w:r>
        <w:rPr>
          <w:bCs/>
          <w:b/>
        </w:rPr>
        <w:t xml:space="preserve">Reviewer signature, optional:</w:t>
      </w:r>
    </w:p>
    <w:p>
      <w:pPr>
        <w:pStyle w:val="BodyText"/>
      </w:pPr>
      <w:r>
        <w:rPr>
          <w:bCs/>
          <w:b/>
        </w:rPr>
        <w:t xml:space="preserve">Date:</w:t>
      </w:r>
    </w:p>
    <w:bookmarkEnd w:id="35"/>
    <w:sectPr>
      <w:pgMar w:bottom="1296" w:left="1296" w:right="1296" w:top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before="0" w:line="276" w:lineRule="auto"/>
    </w:pPr>
    <w:rPr>
      <w:rFonts w:ascii="Arial" w:cs="Arial" w:eastAsia="Arial" w:hAnsi="Arial"/>
      <w:color w:val="000000"/>
      <w:sz w:val="22"/>
    </w:rPr>
  </w:style>
  <w:style w:styleId="BodyText" w:type="paragraph">
    <w:name w:val="Body Text"/>
    <w:basedOn w:val="Normal"/>
    <w:link w:val="BodyTextChar"/>
    <w:pPr>
      <w:spacing w:after="160" w:before="0" w:line="276" w:lineRule="auto"/>
    </w:pPr>
    <w:qFormat/>
    <w:rPr>
      <w:rFonts w:ascii="Arial" w:cs="Arial" w:eastAsia="Arial" w:hAnsi="Arial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60" w:before="0" w:line="276" w:lineRule="auto"/>
    </w:pPr>
    <w:rPr>
      <w:rFonts w:ascii="Arial" w:cs="Arial" w:eastAsia="Arial" w:hAnsi="Arial"/>
      <w:color w:val="000000"/>
      <w:sz w:val="22"/>
    </w:rPr>
  </w:style>
  <w:style w:customStyle="1" w:styleId="Compact" w:type="paragraph">
    <w:name w:val="Compact"/>
    <w:basedOn w:val="BodyText"/>
    <w:qFormat/>
    <w:pPr>
      <w:spacing w:after="160" w:before="0" w:line="276" w:lineRule="auto"/>
    </w:pPr>
    <w:rPr>
      <w:rFonts w:ascii="Arial" w:cs="Arial" w:eastAsia="Arial" w:hAnsi="Arial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60" w:before="0"/>
      <w:jc w:val="center"/>
    </w:pPr>
    <w:rPr>
      <w:rFonts w:ascii="Arial" w:asciiTheme="majorHAnsi" w:cs="Arial" w:cstheme="majorBidi" w:eastAsia="Arial" w:eastAsiaTheme="majorEastAsia" w:hAnsi="Arial" w:hAnsiTheme="majorHAnsi"/>
      <w:b w:val="0"/>
      <w:bCs/>
      <w:color w:val="000000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00" w:before="0"/>
      <w:jc w:val="center"/>
    </w:pPr>
    <w:rPr>
      <w:rFonts w:ascii="Arial" w:cs="Arial" w:eastAsia="Arial" w:hAnsi="Arial"/>
      <w:b w:val="0"/>
      <w:color w:val="5F6368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60" w:before="0"/>
      <w:jc w:val="center"/>
    </w:pPr>
    <w:rPr>
      <w:rFonts w:ascii="Arial" w:cs="Arial" w:eastAsia="Arial" w:hAnsi="Arial"/>
      <w:b w:val="0"/>
      <w:color w:val="5F6368"/>
      <w:sz w:val="22"/>
    </w:rPr>
  </w:style>
  <w:style w:styleId="Date" w:type="paragraph">
    <w:name w:val="Date"/>
    <w:next w:val="BodyText"/>
    <w:qFormat/>
    <w:pPr>
      <w:keepNext/>
      <w:keepLines/>
      <w:spacing w:after="60" w:before="0"/>
      <w:jc w:val="center"/>
    </w:pPr>
    <w:rPr>
      <w:rFonts w:ascii="Arial" w:cs="Arial" w:eastAsia="Arial" w:hAnsi="Arial"/>
      <w:b w:val="0"/>
      <w:color w:val="5F6368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0" w:line="276" w:lineRule="auto"/>
      <w:ind w:firstLine="0" w:left="480" w:right="480"/>
    </w:pPr>
    <w:rPr>
      <w:rFonts w:ascii="Arial" w:cs="Arial" w:eastAsia="Arial" w:hAnsi="Arial"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000000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120" w:before="80"/>
    </w:pPr>
    <w:rPr>
      <w:rFonts w:ascii="Arial" w:cs="Arial" w:eastAsia="Arial" w:hAnsi="Arial"/>
      <w:b w:val="0"/>
      <w:color w:val="5F6368"/>
      <w:sz w:val="19"/>
    </w:rPr>
  </w:style>
  <w:style w:customStyle="1" w:styleId="ImageCaption" w:type="paragraph">
    <w:name w:val="Image Caption"/>
    <w:basedOn w:val="Caption"/>
    <w:pPr>
      <w:spacing w:after="120" w:before="80"/>
    </w:pPr>
    <w:rPr>
      <w:rFonts w:ascii="Arial" w:cs="Arial" w:eastAsia="Arial" w:hAnsi="Arial"/>
      <w:b w:val="0"/>
      <w:color w:val="5F6368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b w:val="0"/>
      <w:color w:val="202124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Independent pre-peer-review response form</dc:title>
  <dc:creator>Dylan Roy</dc:creator>
  <dc:language>en-US</dc:language>
  <cp:keywords/>
  <dcterms:created xsi:type="dcterms:W3CDTF">2026-07-31T18:53:30Z</dcterms:created>
  <dcterms:modified xsi:type="dcterms:W3CDTF">2026-07-31T18:53:30Z</dcterms:modified>
  <dc:subject>Confidential pre-submission technical review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Revised review snapshot: 31 July 2026</vt:lpwstr>
  </property>
  <property fmtid="{D5CDD505-2E9C-101B-9397-08002B2CF9AE}" pid="3" name="subtitle">
    <vt:lpwstr>Side-24 short-lifetime H0 persistence project</vt:lpwstr>
  </property>
</Properties>
</file>