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ide24-theorem-package-v1.0"/>
    <w:p>
      <w:pPr>
        <w:keepNext/>
        <w:spacing w:before="0" w:after="60" w:line="240" w:lineRule="auto"/>
      </w:pPr>
      <w:r>
        <w:rPr>
          <w:rFonts w:ascii="Arial" w:hAnsi="Arial"/>
          <w:b w:val="0"/>
          <w:color w:val="000000"/>
          <w:sz w:val="52"/>
        </w:rPr>
        <w:t xml:space="preserve">SIDE24 THEOREM PACKAGE v1.0</w:t>
      </w:r>
    </w:p>
    <w:p>
      <w:pPr>
        <w:pStyle w:val="FirstParagraph"/>
        <w:spacing w:before="0" w:after="280" w:line="259" w:lineRule="auto"/>
      </w:pPr>
      <w:r>
        <w:rPr>
          <w:bCs/>
          <w:rFonts w:ascii="Arial" w:hAnsi="Arial"/>
          <w:b/>
          <w:color w:val="555555"/>
          <w:sz w:val="20"/>
        </w:rPr>
        <w:t xml:space="preserve">Artifact ID:</w:t>
      </w:r>
      <w:r>
        <w:rPr>
          <w:rFonts w:ascii="Arial" w:hAnsi="Arial"/>
          <w:color w:val="555555"/>
          <w:sz w:val="20"/>
        </w:rPr>
        <w:t xml:space="preserve"> </w:t>
      </w:r>
      <w:r>
        <w:rPr>
          <w:rFonts w:ascii="Arial" w:hAnsi="Arial"/>
          <w:color w:val="555555"/>
          <w:sz w:val="20"/>
        </w:rPr>
        <w:t xml:space="preserve">GP-SIDE24-THM-001-v1.0</w:t>
      </w:r>
      <w:r>
        <w:rPr>
          <w:rFonts w:ascii="Arial" w:hAnsi="Arial"/>
          <w:color w:val="555555"/>
          <w:sz w:val="20"/>
        </w:rPr>
        <w:br/>
      </w:r>
      <w:r>
        <w:rPr>
          <w:bCs/>
          <w:rFonts w:ascii="Arial" w:hAnsi="Arial"/>
          <w:b/>
          <w:color w:val="555555"/>
          <w:sz w:val="20"/>
        </w:rPr>
        <w:t xml:space="preserve">Date:</w:t>
      </w:r>
      <w:r>
        <w:rPr>
          <w:rFonts w:ascii="Arial" w:hAnsi="Arial"/>
          <w:color w:val="555555"/>
          <w:sz w:val="20"/>
        </w:rPr>
        <w:t xml:space="preserve"> </w:t>
      </w:r>
      <w:r>
        <w:rPr>
          <w:rFonts w:ascii="Arial" w:hAnsi="Arial"/>
          <w:color w:val="555555"/>
          <w:sz w:val="20"/>
        </w:rPr>
        <w:t xml:space="preserve">2026-08-02</w:t>
      </w:r>
      <w:r>
        <w:rPr>
          <w:rFonts w:ascii="Arial" w:hAnsi="Arial"/>
          <w:color w:val="555555"/>
          <w:sz w:val="20"/>
        </w:rPr>
        <w:br/>
      </w:r>
      <w:r>
        <w:rPr>
          <w:bCs/>
          <w:rFonts w:ascii="Arial" w:hAnsi="Arial"/>
          <w:b/>
          <w:color w:val="555555"/>
          <w:sz w:val="20"/>
        </w:rPr>
        <w:t xml:space="preserve">Owner and operator:</w:t>
      </w:r>
      <w:r>
        <w:rPr>
          <w:rFonts w:ascii="Arial" w:hAnsi="Arial"/>
          <w:color w:val="555555"/>
          <w:sz w:val="20"/>
        </w:rPr>
        <w:t xml:space="preserve"> </w:t>
      </w:r>
      <w:r>
        <w:rPr>
          <w:rFonts w:ascii="Arial" w:hAnsi="Arial"/>
          <w:color w:val="555555"/>
          <w:sz w:val="20"/>
        </w:rPr>
        <w:t xml:space="preserve">Dylan Roy</w:t>
      </w:r>
      <w:r>
        <w:rPr>
          <w:rFonts w:ascii="Arial" w:hAnsi="Arial"/>
          <w:color w:val="555555"/>
          <w:sz w:val="20"/>
        </w:rPr>
        <w:br/>
      </w:r>
      <w:r>
        <w:rPr>
          <w:bCs/>
          <w:rFonts w:ascii="Arial" w:hAnsi="Arial"/>
          <w:b/>
          <w:color w:val="555555"/>
          <w:sz w:val="20"/>
        </w:rPr>
        <w:t xml:space="preserve">Track:</w:t>
      </w:r>
      <w:r>
        <w:rPr>
          <w:rFonts w:ascii="Arial" w:hAnsi="Arial"/>
          <w:color w:val="555555"/>
          <w:sz w:val="20"/>
        </w:rPr>
        <w:t xml:space="preserve"> </w:t>
      </w:r>
      <w:r>
        <w:rPr>
          <w:rFonts w:ascii="Arial" w:hAnsi="Arial"/>
          <w:color w:val="555555"/>
          <w:sz w:val="20"/>
        </w:rPr>
        <w:t xml:space="preserve">three-dimensional SIDE24 compact-positive-mark theorem</w:t>
      </w:r>
      <w:r>
        <w:rPr>
          <w:rFonts w:ascii="Arial" w:hAnsi="Arial"/>
          <w:color w:val="555555"/>
          <w:sz w:val="20"/>
        </w:rPr>
        <w:br/>
      </w:r>
      <w:r>
        <w:rPr>
          <w:bCs/>
          <w:rFonts w:ascii="Arial" w:hAnsi="Arial"/>
          <w:b/>
          <w:color w:val="555555"/>
          <w:sz w:val="20"/>
        </w:rPr>
        <w:t xml:space="preserve">Controlling disposition:</w:t>
      </w:r>
      <w:r>
        <w:rPr>
          <w:rFonts w:ascii="Arial" w:hAnsi="Arial"/>
          <w:color w:val="555555"/>
          <w:sz w:val="20"/>
        </w:rPr>
        <w:t xml:space="preserve"> </w:t>
      </w:r>
      <w:r>
        <w:rPr>
          <w:bCs/>
          <w:rFonts w:ascii="Arial" w:hAnsi="Arial"/>
          <w:b/>
          <w:color w:val="555555"/>
          <w:sz w:val="20"/>
        </w:rPr>
        <w:t xml:space="preserve">RATIFIED-AT-STATED-SCOPE</w:t>
      </w:r>
      <w:r>
        <w:rPr>
          <w:rFonts w:ascii="Arial" w:hAnsi="Arial"/>
          <w:color w:val="555555"/>
          <w:sz w:val="20"/>
        </w:rPr>
        <w:br/>
      </w:r>
      <w:r>
        <w:rPr>
          <w:bCs/>
          <w:rFonts w:ascii="Arial" w:hAnsi="Arial"/>
          <w:b/>
          <w:color w:val="555555"/>
          <w:sz w:val="20"/>
        </w:rPr>
        <w:t xml:space="preserve">Purpose:</w:t>
      </w:r>
      <w:r>
        <w:rPr>
          <w:rFonts w:ascii="Arial" w:hAnsi="Arial"/>
          <w:color w:val="555555"/>
          <w:sz w:val="20"/>
        </w:rPr>
        <w:t xml:space="preserve"> </w:t>
      </w:r>
      <w:r>
        <w:rPr>
          <w:rFonts w:ascii="Arial" w:hAnsi="Arial"/>
          <w:color w:val="555555"/>
          <w:sz w:val="20"/>
        </w:rPr>
        <w:t xml:space="preserve">self-contained export surface for external human specialist review</w:t>
      </w:r>
    </w:p>
    <w:bookmarkStart w:id="20" w:name="controlling-statement"/>
    <w:p>
      <w:pPr>
        <w:pStyle w:val="Heading2"/>
      </w:pPr>
      <w:r>
        <w:t xml:space="preserve">1. Controlling statement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normalized periodized Bargmann–Fock Gaussian field on the</w:t>
      </w:r>
      <w:r>
        <w:t xml:space="preserve"> </w:t>
      </w:r>
      <w:r>
        <w:t xml:space="preserve">side-24 three-torus. Use the SIDE24 pair chart, Palm normalization, critical</w:t>
      </w:r>
      <w:r>
        <w:t xml:space="preserve"> </w:t>
      </w:r>
      <w:r>
        <w:t xml:space="preserve">point typing, elder selection, and finite nonessential superlevel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-lifetime convention fixed by the cited supplement. For pair separation</w:t>
      </w:r>
      <w:r>
        <w:t xml:space="preserve"> </w:t>
      </w:r>
      <m:oMath>
        <m:r>
          <m:t>r</m:t>
        </m:r>
      </m:oMath>
      <w:r>
        <w:t xml:space="preserve">, pair direction</w:t>
      </w:r>
      <w:r>
        <w:t xml:space="preserve"> </w:t>
      </w:r>
      <m:oMath>
        <m:r>
          <m:t>t</m:t>
        </m:r>
      </m:oMath>
      <w:r>
        <w:t xml:space="preserve">, level parameter</w:t>
      </w:r>
      <w:r>
        <w:t xml:space="preserve"> </w:t>
      </w:r>
      <m:oMath>
        <m:r>
          <m:t>b</m:t>
        </m:r>
      </m:oMath>
      <w:r>
        <w:t xml:space="preserve">, and positive gap parameter</w:t>
      </w:r>
      <w:r>
        <w:t xml:space="preserve"> </w:t>
      </w:r>
      <m:oMath>
        <m:r>
          <m:t>κ</m:t>
        </m:r>
      </m:oMath>
      <w:r>
        <w:t xml:space="preserve">, let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κ</m:t>
            </m:r>
          </m:e>
        </m:d>
      </m:oMath>
      <w:r>
        <w:t xml:space="preserve"> </w:t>
      </w:r>
      <w:r>
        <w:t xml:space="preserve">be the conditional probability that the</w:t>
      </w:r>
      <w:r>
        <w:t xml:space="preserve"> </w:t>
      </w:r>
      <w:r>
        <w:t xml:space="preserve">canonical compact-positive-mark configuration survives the collar,</w:t>
      </w:r>
      <w:r>
        <w:t xml:space="preserve"> </w:t>
      </w:r>
      <w:r>
        <w:t xml:space="preserve">singular-near, far-witness, and elder-selection exclusions.</w:t>
      </w:r>
    </w:p>
    <w:p>
      <w:pPr>
        <w:pStyle w:val="BodyText"/>
      </w:pPr>
      <w:r>
        <w:t xml:space="preserve">For every compact</w:t>
      </w:r>
      <w:r>
        <w:t xml:space="preserve"> </w:t>
      </w:r>
      <m:oMath>
        <m:r>
          <m:t>K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, there are constants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sup</m:t>
              </m:r>
            </m:e>
            <m:lim>
              <m:r>
                <m:t>t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κ</m:t>
                  </m:r>
                </m:e>
              </m:d>
              <m:r>
                <m:rPr>
                  <m:sty m:val="p"/>
                </m:rPr>
                <m:t>∈</m:t>
              </m:r>
              <m:r>
                <m:t>K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κ</m:t>
                  </m:r>
                </m:e>
              </m:d>
            </m:e>
          </m:d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&lt;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Consequently, the first-moment lifetime density</w:t>
      </w:r>
      <w:r>
        <w:t xml:space="preserve"> </w:t>
      </w:r>
      <m:oMath>
        <m:sSub>
          <m:e>
            <m:r>
              <m:t>ν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24</m:t>
            </m:r>
          </m:sub>
        </m:sSub>
      </m:oMath>
      <w:r>
        <w:t xml:space="preserve"> </w:t>
      </w:r>
      <w:r>
        <w:t xml:space="preserve">of finite</w:t>
      </w:r>
      <w:r>
        <w:t xml:space="preserve"> </w:t>
      </w:r>
      <w:r>
        <w:t xml:space="preserve">nonessential superlevel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bars obeys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t>24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ℓ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t>24</m:t>
              </m:r>
            </m:sub>
          </m:sSub>
          <m:sSup>
            <m:e>
              <m:r>
                <m:rPr>
                  <m:sty m:val="p"/>
                </m:rPr>
                <m:t>ℓ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ℓ</m:t>
          </m:r>
          <m:r>
            <m:rPr>
              <m:sty m:val="p"/>
            </m:rPr>
            <m:t>↓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acceptance is exactly at this scope. It is not a statement about another</w:t>
      </w:r>
      <w:r>
        <w:t xml:space="preserve"> </w:t>
      </w:r>
      <w:r>
        <w:t xml:space="preserve">torus side length, a different Gaussian law, essential bars, higher homology,</w:t>
      </w:r>
      <w:r>
        <w:t xml:space="preserve"> </w:t>
      </w:r>
      <w:r>
        <w:t xml:space="preserve">an unbounded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κ</m:t>
            </m:r>
          </m:e>
        </m:d>
      </m:oMath>
      <w:r>
        <w:t xml:space="preserve"> </w:t>
      </w:r>
      <w:r>
        <w:t xml:space="preserve">range, or the separate two-dimensional q0/P0.1</w:t>
      </w:r>
      <w:r>
        <w:t xml:space="preserve"> </w:t>
      </w:r>
      <w:r>
        <w:t xml:space="preserve">program.</w:t>
      </w:r>
    </w:p>
    <w:p>
      <w:pPr>
        <w:pStyle w:val="BodyText"/>
      </w:pPr>
      <w:r>
        <w:t xml:space="preserve">The operator’s signed controlling language is:</w:t>
      </w:r>
    </w:p>
    <w:p>
      <w:pPr>
        <w:pStyle w:val="BlockText"/>
      </w:pPr>
      <w:r>
        <w:t xml:space="preserve">I, the human owner of this work, ratify the closure of RP-C and RP-S per the</w:t>
      </w:r>
      <w:r>
        <w:t xml:space="preserve"> </w:t>
      </w:r>
      <w:r>
        <w:t xml:space="preserve">KIMI-AUD-006/006b audit chain and accept the theorem sup(1−p_r) ≤ Cr³ and</w:t>
      </w:r>
      <w:r>
        <w:t xml:space="preserve"> </w:t>
      </w:r>
      <w:r>
        <w:t xml:space="preserve">the statement ν₃,₂₄(ℓ) = c₃,₂₄ℓ^(−1/3)(1+o(1)) at their stated scopes, with</w:t>
      </w:r>
      <w:r>
        <w:t xml:space="preserve"> </w:t>
      </w:r>
      <w:r>
        <w:t xml:space="preserve">the carried dependencies recorded in AO48-AUD-044 §C.</w:t>
      </w:r>
    </w:p>
    <w:p>
      <w:pPr>
        <w:pStyle w:val="FirstParagraph"/>
      </w:pPr>
      <w:r>
        <w:t xml:space="preserve">The signed record is AO48-OPR-045-v1.0: Drive</w:t>
      </w:r>
      <w:r>
        <w:t xml:space="preserve"> </w:t>
      </w:r>
      <w:r>
        <w:rPr>
          <w:rStyle w:val="VerbatimChar"/>
        </w:rPr>
        <w:t xml:space="preserve">1MfA94SaoYpnnAs7HYLNvowG9EHIR3Opk</w:t>
      </w:r>
      <w:r>
        <w:t xml:space="preserve">, 3,397 bytes, SHA-256</w:t>
      </w:r>
      <w:r>
        <w:t xml:space="preserve"> </w:t>
      </w:r>
      <w:r>
        <w:rPr>
          <w:rStyle w:val="VerbatimChar"/>
        </w:rPr>
        <w:t xml:space="preserve">e48d7c271dff9c120316ee2129a303aed6f78b518c2e0c08337eb357bd60e2e8</w:t>
      </w:r>
      <w:r>
        <w:t xml:space="preserve">.</w:t>
      </w:r>
    </w:p>
    <w:bookmarkEnd w:id="20"/>
    <w:bookmarkStart w:id="21" w:name="constant-and-local-parameterization"/>
    <w:p>
      <w:pPr>
        <w:pStyle w:val="Heading2"/>
      </w:pPr>
      <w:r>
        <w:t xml:space="preserve">2. Constant and local parameterization</w:t>
      </w:r>
    </w:p>
    <w:p>
      <w:pPr>
        <w:pStyle w:val="FirstParagraph"/>
      </w:pPr>
      <w:r>
        <w:t xml:space="preserve">The two contact values are pinned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κ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/</m:t>
        </m:r>
        <m:r>
          <m:t>2</m:t>
        </m:r>
      </m:oMath>
      <w:r>
        <w:t xml:space="preserve">. Thus the height gap is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=</m:t>
        </m:r>
        <m:r>
          <m:t>κ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, and the gap-coordinate Jacobian contributes</w:t>
      </w:r>
      <w:r>
        <w:t xml:space="preserve"> </w:t>
      </w:r>
      <m:oMath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. The pushforward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ℓ</m:t>
                </m:r>
                <m:r>
                  <m:rPr>
                    <m:sty m:val="p"/>
                  </m:rPr>
                  <m:t>/</m:t>
                </m:r>
                <m:r>
                  <m:t>κ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, together with the</w:t>
      </w:r>
      <w:r>
        <w:t xml:space="preserve"> </w:t>
      </w:r>
      <w:r>
        <w:t xml:space="preserve">contact intensity and the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failure estimate, produces the exponent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in (T2).</w:t>
      </w:r>
    </w:p>
    <w:p>
      <w:pPr>
        <w:pStyle w:val="BodyText"/>
      </w:pPr>
      <w:r>
        <w:t xml:space="preserve">Write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κ</m:t>
            </m:r>
          </m:e>
        </m:d>
      </m:oMath>
      <w:r>
        <w:t xml:space="preserve"> </w:t>
      </w:r>
      <w:r>
        <w:t xml:space="preserve">for the limiting all-typed,</w:t>
      </w:r>
      <w:r>
        <w:t xml:space="preserve"> </w:t>
      </w:r>
      <w:r>
        <w:t xml:space="preserve">determinant-weighted contact integrand after the pair blow-up and let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denote its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-marginal over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rPr>
            <m:sty m:val="p"/>
            <m:scr m:val="double-struck"/>
          </m:rPr>
          <m:t>R</m:t>
        </m:r>
      </m:oMath>
      <w:r>
        <w:t xml:space="preserve">. The finite-side constant is represented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t>24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6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num>
            <m:den>
              <m:r>
                <m:t>18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κ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nary>
          <m:sSubSup>
            <m:e>
              <m:r>
                <m:t>G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κ</m:t>
              </m:r>
            </m:e>
          </m:d>
          <m:r>
            <m:t> </m:t>
          </m:r>
          <m:r>
            <m:t>d</m:t>
          </m:r>
          <m:r>
            <m:t>κ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infinite-volume reference value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  <m:r>
                <m:rPr>
                  <m:sty m:val="p"/>
                </m:rPr>
                <m:t>/</m:t>
              </m:r>
              <m:r>
                <m:t>6</m:t>
              </m:r>
            </m:sup>
          </m:sSup>
          <m:sSup>
            <m:e>
              <m:r>
                <m:t>3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29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−</m:t>
              </m:r>
              <m:r>
                <m:t>36</m:t>
              </m:r>
            </m:e>
          </m:d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</m:d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numerically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0.041775931840598343342936665428575556466681519661</m:t>
          </m:r>
          <m:r>
            <m:rPr>
              <m:sty m:val="p"/>
            </m:rPr>
            <m:t>…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certified side-24 correction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24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620813376</m:t>
              </m:r>
            </m:num>
            <m:den>
              <m:r>
                <m:t>35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288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24</m:t>
              </m:r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24</m:t>
                  </m:r>
                </m:sub>
              </m:sSub>
            </m:e>
          </m:d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180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arithmetic route uses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147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315</m:t>
                  </m:r>
                </m:e>
              </m:d>
            </m:num>
            <m:den>
              <m:r>
                <m:t>105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24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620813376</m:t>
              </m:r>
            </m:num>
            <m:den>
              <m:r>
                <m:t>35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cone coefficient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29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identities belong to the constant chain. They do not replace the</w:t>
      </w:r>
      <w:r>
        <w:t xml:space="preserve"> </w:t>
      </w:r>
      <w:r>
        <w:t xml:space="preserve">probabilistic and facewise estimates needed for (T1).</w:t>
      </w:r>
    </w:p>
    <w:bookmarkEnd w:id="21"/>
    <w:bookmarkStart w:id="22" w:name="proof-architecture"/>
    <w:p>
      <w:pPr>
        <w:pStyle w:val="Heading2"/>
      </w:pPr>
      <w:r>
        <w:t xml:space="preserve">3. Proof architecture</w:t>
      </w:r>
    </w:p>
    <w:p>
      <w:pPr>
        <w:pStyle w:val="FirstParagraph"/>
      </w:pPr>
      <w:r>
        <w:t xml:space="preserve">The proof is organized as one local-to-global implication rather than as a</w:t>
      </w:r>
      <w:r>
        <w:t xml:space="preserve"> </w:t>
      </w:r>
      <w:r>
        <w:t xml:space="preserve">collection of script outputs:</w:t>
      </w:r>
    </w:p>
    <w:p>
      <w:pPr>
        <w:numPr>
          <w:ilvl w:val="0"/>
          <w:numId w:val="1001"/>
        </w:numPr>
        <w:pStyle w:val="Compact"/>
      </w:pPr>
      <w:r>
        <w:t xml:space="preserve">The contact Kac–Rice/Palm formula writes the small-lifetime first moment</w:t>
      </w:r>
      <w:r>
        <w:t xml:space="preserve"> </w:t>
      </w:r>
      <w:r>
        <w:t xml:space="preserve">in the pair variables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κ</m:t>
            </m:r>
          </m:e>
        </m:d>
      </m:oMath>
      <w:r>
        <w:t xml:space="preserve">, with determinant weight and</w:t>
      </w:r>
      <w:r>
        <w:t xml:space="preserve"> </w:t>
      </w:r>
      <w:r>
        <w:t xml:space="preserve">critical-point typing.</w:t>
      </w:r>
    </w:p>
    <w:p>
      <w:pPr>
        <w:numPr>
          <w:ilvl w:val="0"/>
          <w:numId w:val="1001"/>
        </w:numPr>
        <w:pStyle w:val="Compact"/>
      </w:pPr>
      <w:r>
        <w:t xml:space="preserve">The Palm-repair normalizer satisfies</w:t>
      </w:r>
      <w: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b>
          <m:e>
            <m:r>
              <m:t>Z</m:t>
            </m:r>
          </m:e>
          <m:sub>
            <m:r>
              <m:t>r</m:t>
            </m:r>
          </m:sub>
        </m:sSub>
        <m:r>
          <m:rPr>
            <m:sty m:val="p"/>
          </m:rPr>
          <m:t>≤</m:t>
        </m:r>
        <m:r>
          <m:t>C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RP-A/RP-L control the local same-pair failures, capture/escape events, and</w:t>
      </w:r>
      <w:r>
        <w:t xml:space="preserve"> </w:t>
      </w:r>
      <w:r>
        <w:t xml:space="preserve">the weighted Palm/coarea passage by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RP-F controls a fixed-distance or far witness by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RP-C/RP-S control every collar and singular-near face, including the</w:t>
      </w:r>
      <w:r>
        <w:t xml:space="preserve"> </w:t>
      </w:r>
      <w:r>
        <w:t xml:space="preserve">angular axis, by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. This is the V3.4/FACEWISE closure.</w:t>
      </w:r>
    </w:p>
    <w:p>
      <w:pPr>
        <w:numPr>
          <w:ilvl w:val="0"/>
          <w:numId w:val="1001"/>
        </w:numPr>
        <w:pStyle w:val="Compact"/>
      </w:pPr>
      <w:r>
        <w:t xml:space="preserve">The elder-selection recombination joins the mutually compatible local and</w:t>
      </w:r>
      <w:r>
        <w:t xml:space="preserve"> </w:t>
      </w:r>
      <w:r>
        <w:t xml:space="preserve">far exclusions without changing the</w:t>
      </w:r>
      <w:r>
        <w:t xml:space="preserve"> </w:t>
      </w:r>
      <m:oMath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order.</w:t>
      </w:r>
    </w:p>
    <w:p>
      <w:pPr>
        <w:numPr>
          <w:ilvl w:val="0"/>
          <w:numId w:val="1001"/>
        </w:numPr>
        <w:pStyle w:val="Compact"/>
      </w:pPr>
      <w:r>
        <w:t xml:space="preserve">The change of variables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=</m:t>
        </m:r>
        <m:r>
          <m:t>κ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, the full-mark integrable</w:t>
      </w:r>
      <w:r>
        <w:t xml:space="preserve"> </w:t>
      </w:r>
      <w:r>
        <w:t xml:space="preserve">majorant of Theorem A.3.3, and the constant ledger give (T2) and</w:t>
      </w:r>
      <w:r>
        <w:t xml:space="preserve"> </w:t>
      </w:r>
      <w:r>
        <w:t xml:space="preserve">(2.2)–(2.5). This is a genuine truncation-and-dominated-convergence</w:t>
      </w:r>
      <w:r>
        <w:t xml:space="preserve"> </w:t>
      </w:r>
      <w:r>
        <w:t xml:space="preserve">argument 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, not an</w:t>
      </w:r>
      <w:r>
        <w:t xml:space="preserve"> </w:t>
      </w:r>
      <w:r>
        <w:t xml:space="preserve">inference from compact convergence alone.</w:t>
      </w:r>
    </w:p>
    <w:p>
      <w:pPr>
        <w:pStyle w:val="FirstParagraph"/>
      </w:pPr>
      <w:r>
        <w:t xml:space="preserve">The role of each closing artifact is made explicit below.</w:t>
      </w:r>
    </w:p>
    <w:bookmarkEnd w:id="22"/>
    <w:bookmarkStart w:id="29" w:name="premise-by-premise-proof-chain-map"/>
    <w:p>
      <w:pPr>
        <w:pStyle w:val="Heading2"/>
      </w:pPr>
      <w:r>
        <w:t xml:space="preserve">4. Premise-by-premise proof-chain map</w:t>
      </w:r>
    </w:p>
    <w:bookmarkStart w:id="23" w:name="X984865c8013a7a44b480f73d795dbc0603fcc41"/>
    <w:p>
      <w:pPr>
        <w:pStyle w:val="Heading3"/>
      </w:pPr>
      <w:r>
        <w:t xml:space="preserve">4.1 RP-A and RP-L: Palm/coarea and local same-pair control</w:t>
      </w:r>
    </w:p>
    <w:p>
      <w:pPr>
        <w:pStyle w:val="FirstParagraph"/>
      </w:pPr>
      <w:r>
        <w:t xml:space="preserve">Theorem G.7.1 supplies the local Palm/coarea interface and the same-pair</w:t>
      </w:r>
      <w:r>
        <w:t xml:space="preserve"> </w:t>
      </w:r>
      <w:r>
        <w:t xml:space="preserve">failure estimate. Its proof is stratified into:</w:t>
      </w:r>
    </w:p>
    <w:p>
      <w:pPr>
        <w:numPr>
          <w:ilvl w:val="0"/>
          <w:numId w:val="1002"/>
        </w:numPr>
        <w:pStyle w:val="Compact"/>
      </w:pPr>
      <w:r>
        <w:t xml:space="preserve">covariance eigenfloors and Gaussian regression on the normalized contact</w:t>
      </w:r>
      <w:r>
        <w:t xml:space="preserve"> </w:t>
      </w:r>
      <w:r>
        <w:t xml:space="preserve">variables;</w:t>
      </w:r>
    </w:p>
    <w:p>
      <w:pPr>
        <w:numPr>
          <w:ilvl w:val="0"/>
          <w:numId w:val="1002"/>
        </w:numPr>
        <w:pStyle w:val="Compact"/>
      </w:pPr>
      <w:r>
        <w:t xml:space="preserve">soft Hessian columns and determinant weights;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</m:sub>
        </m:sSub>
        <m:r>
          <m:rPr>
            <m:sty m:val="p"/>
          </m:rPr>
          <m:t>≍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Palm normalizer and the required weighted moments;</w:t>
      </w:r>
    </w:p>
    <w:p>
      <w:pPr>
        <w:numPr>
          <w:ilvl w:val="0"/>
          <w:numId w:val="1002"/>
        </w:numPr>
        <w:pStyle w:val="Compact"/>
      </w:pPr>
      <w:r>
        <w:t xml:space="preserve">shallow value layers and the unique value-window integral of length</w:t>
      </w:r>
      <w:r>
        <w:t xml:space="preserve"> </w:t>
      </w:r>
      <m:oMath>
        <m:r>
          <m:t>κ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Gaussian tail budgets;</w:t>
      </w:r>
    </w:p>
    <w:p>
      <w:pPr>
        <w:numPr>
          <w:ilvl w:val="0"/>
          <w:numId w:val="1002"/>
        </w:numPr>
        <w:pStyle w:val="Compact"/>
      </w:pPr>
      <w:r>
        <w:t xml:space="preserve">the exact gap parameter and the deterministic capture/escape geometry.</w:t>
      </w:r>
    </w:p>
    <w:p>
      <w:pPr>
        <w:pStyle w:val="FirstParagraph"/>
      </w:pPr>
      <w:r>
        <w:t xml:space="preserve">The conclusion used downstream is an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bound under the exact weighted</w:t>
      </w:r>
      <w:r>
        <w:t xml:space="preserve"> </w:t>
      </w:r>
      <w:r>
        <w:t xml:space="preserve">Palm law, uniform at the stated compact-positive-mark scope. The closing</w:t>
      </w:r>
      <w:r>
        <w:t xml:space="preserve"> </w:t>
      </w:r>
      <w:r>
        <w:t xml:space="preserve">carrier is the recovered V5</w:t>
      </w:r>
      <w:r>
        <w:t xml:space="preserve"> </w:t>
      </w:r>
      <w:r>
        <w:rPr>
          <w:rStyle w:val="VerbatimChar"/>
        </w:rPr>
        <w:t xml:space="preserve">SIDE24_GAP_FILL_SUPPLEMENT.md</w:t>
      </w:r>
      <w:r>
        <w:t xml:space="preserve">: Drive</w:t>
      </w:r>
      <w:r>
        <w:t xml:space="preserve"> </w:t>
      </w:r>
      <w:r>
        <w:rPr>
          <w:rStyle w:val="VerbatimChar"/>
        </w:rPr>
        <w:t xml:space="preserve">1D5eRshQWyiugIrIikBUhItasLyiyV1FX</w:t>
      </w:r>
      <w:r>
        <w:t xml:space="preserve">, 105,980 bytes, SHA-256</w:t>
      </w:r>
      <w:r>
        <w:t xml:space="preserve"> </w:t>
      </w:r>
      <w:r>
        <w:rPr>
          <w:rStyle w:val="VerbatimChar"/>
        </w:rPr>
        <w:t xml:space="preserve">05967f14a8b8d6a9e2637210807872ba4f30810987cb7f3017e10b186d07f6da</w:t>
      </w:r>
      <w:r>
        <w:t xml:space="preserve">.</w:t>
      </w:r>
    </w:p>
    <w:bookmarkEnd w:id="23"/>
    <w:bookmarkStart w:id="24" w:name="X76df23e6ea9328281f0efb23a0d868302d05e88"/>
    <w:p>
      <w:pPr>
        <w:pStyle w:val="Heading3"/>
      </w:pPr>
      <w:r>
        <w:t xml:space="preserve">4.2 RP-F: fixed-distance endpoint and far-witness control</w:t>
      </w:r>
    </w:p>
    <w:p>
      <w:pPr>
        <w:pStyle w:val="FirstParagraph"/>
      </w:pPr>
      <w:r>
        <w:t xml:space="preserve">Section G.8 uses the same normalized pair pins and determinant-weighted Palm</w:t>
      </w:r>
      <w:r>
        <w:t xml:space="preserve"> </w:t>
      </w:r>
      <w:r>
        <w:t xml:space="preserve">law to bound a witness outside the shrinking local charts. The joint density</w:t>
      </w:r>
      <w:r>
        <w:t xml:space="preserve"> </w:t>
      </w:r>
      <w:r>
        <w:t xml:space="preserve">is nonsingular at fixed separation; its conditional mean/covariance and the</w:t>
      </w:r>
      <w:r>
        <w:t xml:space="preserve"> </w:t>
      </w:r>
      <w:r>
        <w:t xml:space="preserve">Hessian moment envelope are uniform on the compact complement. The single</w:t>
      </w:r>
      <w:r>
        <w:t xml:space="preserve"> </w:t>
      </w:r>
      <w:r>
        <w:t xml:space="preserve">value window contributes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, while polynomial factors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+</m:t>
            </m:r>
            <m:r>
              <m:t>κ</m:t>
            </m:r>
          </m:e>
        </m:d>
      </m:oMath>
      <w:r>
        <w:t xml:space="preserve"> </w:t>
      </w:r>
      <w:r>
        <w:t xml:space="preserve">are controlled on the stated compact set. The result is the</w:t>
      </w:r>
      <w:r>
        <w:t xml:space="preserve"> </w:t>
      </w:r>
      <w:r>
        <w:t xml:space="preserve">required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far-witness contribution.</w:t>
      </w:r>
    </w:p>
    <w:p>
      <w:pPr>
        <w:pStyle w:val="BodyText"/>
      </w:pPr>
      <w:r>
        <w:t xml:space="preserve">G.8 is frozen in the same 105,980-byte supplement and therefore has the same</w:t>
      </w:r>
      <w:r>
        <w:t xml:space="preserve"> </w:t>
      </w:r>
      <w:r>
        <w:t xml:space="preserve">Drive ID and SHA-256 as §4.1.</w:t>
      </w:r>
    </w:p>
    <w:bookmarkEnd w:id="24"/>
    <w:bookmarkStart w:id="25" w:name="rp-c-collar-faces"/>
    <w:p>
      <w:pPr>
        <w:pStyle w:val="Heading3"/>
      </w:pPr>
      <w:r>
        <w:t xml:space="preserve">4.3 RP-C: collar faces</w:t>
      </w:r>
    </w:p>
    <w:p>
      <w:pPr>
        <w:pStyle w:val="FirstParagraph"/>
      </w:pPr>
      <w:r>
        <w:t xml:space="preserve">The collar proof does not extend a transverse compactness argument through the</w:t>
      </w:r>
      <w:r>
        <w:t xml:space="preserve"> </w:t>
      </w:r>
      <w:r>
        <w:t xml:space="preserve">axis. It uses separate normalized charts:</w:t>
      </w:r>
    </w:p>
    <w:p>
      <w:pPr>
        <w:pStyle w:val="BodyText"/>
      </w:pPr>
      <w:r>
        <w:rPr>
          <w:bCs/>
          <w:b/>
        </w:rPr>
        <w:t xml:space="preserve">Generic transverse face.</w:t>
      </w:r>
      <w:r>
        <w:t xml:space="preserve"> </w:t>
      </w:r>
      <w:r>
        <w:t xml:space="preserve">With axial coordinate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transverse</w:t>
      </w:r>
      <w:r>
        <w:t xml:space="preserve"> </w:t>
      </w:r>
      <w:r>
        <w:t xml:space="preserve">radius</w:t>
      </w:r>
      <w:r>
        <w:t xml:space="preserve"> </w:t>
      </w:r>
      <m:oMath>
        <m:r>
          <m:rPr>
            <m:sty m:val="p"/>
          </m:rPr>
          <m:t>𝜚</m:t>
        </m:r>
      </m:oMath>
      <w:r>
        <w:t xml:space="preserve">, exact residualization and Fourier independence give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Cov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∇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∣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≍</m:t>
          </m:r>
          <m:sSup>
            <m:e>
              <m:r>
                <m:rPr>
                  <m:sty m:val="p"/>
                </m:rPr>
                <m:t>𝜚</m:t>
              </m:r>
            </m:e>
            <m:sup>
              <m:r>
                <m:t>6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𝜚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on normalized strict-transverse compact charts, with uniform side-24 Schur</w:t>
      </w:r>
      <w:r>
        <w:t xml:space="preserve"> </w:t>
      </w:r>
      <w:r>
        <w:t xml:space="preserve">constants.</w:t>
      </w:r>
    </w:p>
    <w:p>
      <w:pPr>
        <w:pStyle w:val="BodyText"/>
      </w:pPr>
      <w:r>
        <w:rPr>
          <w:bCs/>
          <w:b/>
        </w:rPr>
        <w:t xml:space="preserve">Axial face.</w:t>
      </w:r>
      <w:r>
        <w:t xml:space="preserve"> </w:t>
      </w:r>
      <w:r>
        <w:t xml:space="preserve">Exact Hermite divided differences factor the centered value</w:t>
      </w:r>
      <w:r>
        <w:t xml:space="preserve"> </w:t>
      </w:r>
      <w:r>
        <w:t xml:space="preserve">and gradient. Positivity of the residual covariance is proved by Fourier</w:t>
      </w:r>
      <w:r>
        <w:t xml:space="preserve"> </w:t>
      </w:r>
      <w:r>
        <w:t xml:space="preserve">independence. The exact axis has its own projective compactification; it is not</w:t>
      </w:r>
      <w:r>
        <w:t xml:space="preserve"> </w:t>
      </w:r>
      <w:r>
        <w:t xml:space="preserve">obtained from (4.1) by compactness. The target mean yields an exponential</w:t>
      </w:r>
      <w:r>
        <w:t xml:space="preserve"> </w:t>
      </w:r>
      <w:r>
        <w:t xml:space="preserve">penalty on the axial cone.</w:t>
      </w:r>
    </w:p>
    <w:p>
      <w:pPr>
        <w:pStyle w:val="BodyText"/>
      </w:pPr>
      <w:r>
        <w:rPr>
          <w:bCs/>
          <w:b/>
        </w:rPr>
        <w:t xml:space="preserve">Midpoint face.</w:t>
      </w:r>
      <w:r>
        <w:t xml:space="preserve"> </w:t>
      </w:r>
      <w:r>
        <w:t xml:space="preserve">The secondary expansion retains the fourth/fifth-order</w:t>
      </w:r>
      <w:r>
        <w:t xml:space="preserve"> </w:t>
      </w:r>
      <w:r>
        <w:t xml:space="preserve">rows that survive the midpoint cancellation. Equivalently, the separated</w:t>
      </w:r>
      <w:r>
        <w:t xml:space="preserve"> </w:t>
      </w:r>
      <w:r>
        <w:t xml:space="preserve">target-mean mismatch supplies an integrable exponential penalty. The full</w:t>
      </w:r>
      <w:r>
        <w:t xml:space="preserve"> </w:t>
      </w:r>
      <w:r>
        <w:t xml:space="preserve">projective frame records the simultaneous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ρ</m:t>
            </m:r>
            <m:r>
              <m:rPr>
                <m:sty m:val="p"/>
              </m:rPr>
              <m:t>,</m:t>
            </m:r>
            <m:r>
              <m:t>ζ</m:t>
            </m:r>
          </m:e>
        </m:d>
      </m:oMath>
      <w:r>
        <w:t xml:space="preserve"> </w:t>
      </w:r>
      <w:r>
        <w:t xml:space="preserve">directions.</w:t>
      </w:r>
    </w:p>
    <w:p>
      <w:pPr>
        <w:pStyle w:val="BodyText"/>
      </w:pPr>
      <w:r>
        <w:rPr>
          <w:bCs/>
          <w:b/>
        </w:rPr>
        <w:t xml:space="preserve">Endpoint faces.</w:t>
      </w:r>
      <w:r>
        <w:t xml:space="preserve"> </w:t>
      </w:r>
      <w:r>
        <w:t xml:space="preserve">Reflected endpoint charts cover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→</m:t>
        </m:r>
        <m:r>
          <m:t>1</m:t>
        </m:r>
      </m:oMath>
      <w:r>
        <w:t xml:space="preserve">. Their exact Hermite residuals give the determinant and mean</w:t>
      </w:r>
      <w:r>
        <w:t xml:space="preserve"> </w:t>
      </w:r>
      <w:r>
        <w:t xml:space="preserve">mismatch at the endpoint collision scale without borrowing a transverse</w:t>
      </w:r>
      <w:r>
        <w:t xml:space="preserve"> </w:t>
      </w:r>
      <w:r>
        <w:t xml:space="preserve">constant.</w:t>
      </w:r>
    </w:p>
    <w:p>
      <w:pPr>
        <w:pStyle w:val="BodyText"/>
      </w:pPr>
      <w:r>
        <w:rPr>
          <w:bCs/>
          <w:b/>
        </w:rPr>
        <w:t xml:space="preserve">Confluent row.</w:t>
      </w:r>
      <w:r>
        <w:t xml:space="preserve"> </w:t>
      </w:r>
      <w:r>
        <w:t xml:space="preserve">In the</w:t>
      </w:r>
      <w:r>
        <w:t xml:space="preserve"> </w:t>
      </w:r>
      <m:oMath>
        <m:r>
          <m:t>s</m:t>
        </m:r>
      </m:oMath>
      <w:r>
        <w:t xml:space="preserve">-scaled interpolating plane, put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s</m:t>
        </m:r>
      </m:oMath>
      <w:r>
        <w:t xml:space="preserve">, take the endpoint nodes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η</m:t>
        </m:r>
        <m:r>
          <m:rPr>
            <m:sty m:val="p"/>
          </m:rPr>
          <m:t>/</m:t>
        </m:r>
        <m:r>
          <m:t>2</m:t>
        </m:r>
      </m:oMath>
      <w:r>
        <w:t xml:space="preserve">,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axial component of the normalized witness</w:t>
      </w:r>
      <w:r>
        <w:t xml:space="preserve"> </w:t>
      </w:r>
      <w:r>
        <w:t xml:space="preserve">direction, and let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be its signed noncollinearity coordinate (so</w:t>
      </w:r>
      <w:r>
        <w:t xml:space="preserve"> </w:t>
      </w:r>
      <w:r>
        <w:t xml:space="preserve">the witness value-gradient minor is</w:t>
      </w:r>
      <w:r>
        <w:t xml:space="preserve"> </w:t>
      </w:r>
      <m:oMath>
        <m:sSup>
          <m:e>
            <m:r>
              <m:t>σ</m:t>
            </m:r>
          </m:e>
          <m:sup>
            <m:r>
              <m:t>6</m:t>
            </m:r>
          </m:sup>
        </m:sSup>
      </m:oMath>
      <w:r>
        <w:t xml:space="preserve">). FACEWISE v1.1 makes the</w:t>
      </w:r>
      <w:r>
        <w:t xml:space="preserve"> </w:t>
      </w:r>
      <w:r>
        <w:t xml:space="preserve">third-order row explicit: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num>
                <m:den>
                  <m:r>
                    <m:t>2</m:t>
                  </m:r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whose unit limit is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  <m:r>
              <m:t>X</m:t>
            </m:r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This distinguishes the literal</w:t>
      </w:r>
      <w:r>
        <w:t xml:space="preserve"> </w:t>
      </w:r>
      <w:r>
        <w:t xml:space="preserve">average/divided-difference normalization, whose ten-by-ten determinant is</w:t>
      </w:r>
      <w:r>
        <w:t xml:space="preserve"> </w:t>
      </w:r>
      <m:oMath>
        <m:r>
          <m:t>2</m:t>
        </m:r>
        <m:sSup>
          <m:e>
            <m:r>
              <m:t>η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6</m:t>
            </m:r>
          </m:sup>
        </m:sSup>
      </m:oMath>
      <w:r>
        <w:t xml:space="preserve">, from the confluent normalization, whose determinant is</w:t>
      </w:r>
      <w:r>
        <w:t xml:space="preserve"> </w:t>
      </w:r>
      <m:oMath>
        <m:r>
          <m:rPr>
            <m:sty m:val="p"/>
          </m:rPr>
          <m:t>−</m:t>
        </m:r>
        <m:r>
          <m:t>24</m:t>
        </m:r>
        <m:sSup>
          <m:e>
            <m:r>
              <m:t>σ</m:t>
            </m:r>
          </m:e>
          <m:sup>
            <m:r>
              <m:t>6</m:t>
            </m:r>
          </m:sup>
        </m:sSup>
      </m:oMath>
      <w:r>
        <w:t xml:space="preserve">, independent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η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.</w:t>
      </w:r>
    </w:p>
    <w:bookmarkEnd w:id="25"/>
    <w:bookmarkStart w:id="26" w:name="rp-s-singular-near-faces"/>
    <w:p>
      <w:pPr>
        <w:pStyle w:val="Heading3"/>
      </w:pPr>
      <w:r>
        <w:t xml:space="preserve">4.4 RP-S: singular-near faces</w:t>
      </w:r>
    </w:p>
    <w:p>
      <w:pPr>
        <w:pStyle w:val="FirstParagraph"/>
      </w:pPr>
      <w:r>
        <w:t xml:space="preserve">The singular-near proof preserves both anisotropic quadratic factors. At the</w:t>
      </w:r>
      <w:r>
        <w:t xml:space="preserve"> </w:t>
      </w:r>
      <w:r>
        <w:t xml:space="preserve">Euclidean contact face its covariance determinant has the form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sSubSup>
            <m:e>
              <m:r>
                <m:t>C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𝜚</m:t>
                  </m:r>
                </m:e>
                <m:sup>
                  <m:r>
                    <m:t>10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𝜚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𝜚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24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the exact side-24 field the numerical factor is replaced by a continuous</w:t>
      </w:r>
      <w:r>
        <w:t xml:space="preserve"> </w:t>
      </w:r>
      <w:r>
        <w:t xml:space="preserve">positive factor. A mixed axial blow-up is then used near the collinear face.</w:t>
      </w:r>
      <w:r>
        <w:t xml:space="preserve"> </w:t>
      </w:r>
      <w:r>
        <w:t xml:space="preserve">The already established collinear target-mean mismatch produces the</w:t>
      </w:r>
      <w:r>
        <w:t xml:space="preserve"> </w:t>
      </w:r>
      <w:r>
        <w:t xml:space="preserve">exponential penalty needed to absorb every fixed projective power.</w:t>
      </w:r>
    </w:p>
    <w:p>
      <w:pPr>
        <w:pStyle w:val="BodyText"/>
      </w:pPr>
      <w:r>
        <w:t xml:space="preserve">The conditional three-Hessian moment bound is face-compatible. It retains the</w:t>
      </w:r>
      <w:r>
        <w:t xml:space="preserve"> </w:t>
      </w:r>
      <w:r>
        <w:t xml:space="preserve">same monomial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d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on the transverse, axial, endpoint, and singular-near faces. On noncollinear</w:t>
      </w:r>
      <w:r>
        <w:t xml:space="preserve"> </w:t>
      </w:r>
      <w:r>
        <w:t xml:space="preserve">charts it is a pathwise polynomial-jet envelope; on the exact axis it is a</w:t>
      </w:r>
      <w:r>
        <w:t xml:space="preserve"> </w:t>
      </w:r>
      <w:r>
        <w:t xml:space="preserve">density-weighted replacement. The false universal pointwise assertion is not</w:t>
      </w:r>
      <w:r>
        <w:t xml:space="preserve"> </w:t>
      </w:r>
      <w:r>
        <w:t xml:space="preserve">used.</w:t>
      </w:r>
    </w:p>
    <w:p>
      <w:pPr>
        <w:pStyle w:val="BodyText"/>
      </w:pPr>
      <w:r>
        <w:t xml:space="preserve">Here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is the third-station radius,</w:t>
      </w:r>
      <w:r>
        <w:t xml:space="preserve"> </w:t>
      </w:r>
      <m:oMath>
        <m:r>
          <m:rPr>
            <m:sty m:val="p"/>
          </m:rPr>
          <m:t>𝜚</m:t>
        </m:r>
      </m:oMath>
      <w:r>
        <w:t xml:space="preserve"> </w:t>
      </w:r>
      <w:r>
        <w:t xml:space="preserve">is the transverse</w:t>
      </w:r>
      <w:r>
        <w:t xml:space="preserve"> </w:t>
      </w:r>
      <w:r>
        <w:t xml:space="preserve">distance from the pair axis, and</w:t>
      </w:r>
      <w:r>
        <w:t xml:space="preserve"> </w:t>
      </w:r>
      <m:oMath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𝜚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</w:t>
      </w:r>
      <w:r>
        <w:t xml:space="preserve"> </w:t>
      </w:r>
      <w:r>
        <w:t xml:space="preserve">singular-near chart. On the collar charts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denotes the corresponding</w:t>
      </w:r>
      <w:r>
        <w:t xml:space="preserve"> </w:t>
      </w:r>
      <w:r>
        <w:t xml:space="preserve">projective scale</w:t>
      </w:r>
      <w:r>
        <w:t xml:space="preserve"> </w:t>
      </w:r>
      <m:oMath>
        <m:sSub>
          <m:e>
            <m:r>
              <m:t>ϵ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. The collar integrations split</w:t>
      </w:r>
      <w:r>
        <w:t xml:space="preserve"> </w:t>
      </w:r>
      <w:r>
        <w:t xml:space="preserve">the near-axis and angular-dominant overlap:</w:t>
      </w:r>
    </w:p>
    <w:p>
      <w:pPr>
        <w:numPr>
          <w:ilvl w:val="0"/>
          <w:numId w:val="1003"/>
        </w:numPr>
        <w:pStyle w:val="Compact"/>
      </w:pPr>
      <w:r>
        <w:t xml:space="preserve">near the axis,</w:t>
      </w:r>
      <w:r>
        <w:t xml:space="preserve"> </w:t>
      </w:r>
      <m:oMath>
        <m:r>
          <m:t>Θ</m:t>
        </m:r>
        <m:r>
          <m:rPr>
            <m:sty m:val="p"/>
          </m:rPr>
          <m:t>≍</m:t>
        </m:r>
        <m:r>
          <m:t>s</m:t>
        </m:r>
      </m:oMath>
      <w:r>
        <w:t xml:space="preserve">, and the exponential absorbs the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deficit;</w:t>
      </w:r>
    </w:p>
    <w:p>
      <w:pPr>
        <w:numPr>
          <w:ilvl w:val="0"/>
          <w:numId w:val="1003"/>
        </w:numPr>
        <w:pStyle w:val="Compact"/>
      </w:pPr>
      <w:r>
        <w:t xml:space="preserve">in the angular-dominant overlap, the deficit-free transverse estimate</w:t>
      </w:r>
      <w:r>
        <w:t xml:space="preserve"> </w:t>
      </w:r>
      <w:r>
        <w:t xml:space="preserve">applies.</w:t>
      </w:r>
    </w:p>
    <w:p>
      <w:pPr>
        <w:pStyle w:val="FirstParagraph"/>
      </w:pPr>
      <w:r>
        <w:t xml:space="preserve">A single-chart pointwise absorption for</w:t>
      </w:r>
      <w:r>
        <w:t xml:space="preserve"> </w:t>
      </w:r>
      <m:oMath>
        <m:r>
          <m:t>Θ</m:t>
        </m:r>
        <m:r>
          <m:rPr>
            <m:sty m:val="p"/>
          </m:rPr>
          <m:t>≫</m:t>
        </m:r>
        <m:r>
          <m:t>s</m:t>
        </m:r>
      </m:oMath>
      <w:r>
        <w:t xml:space="preserve"> </w:t>
      </w:r>
      <w:r>
        <w:t xml:space="preserve">is not asserted.</w:t>
      </w:r>
      <w:r>
        <w:t xml:space="preserve"> </w:t>
      </w:r>
      <w:r>
        <w:t xml:space="preserve">This explicit two-case display is the second FACEWISE v1.1 amendment.</w:t>
      </w:r>
    </w:p>
    <w:p>
      <w:pPr>
        <w:pStyle w:val="BodyText"/>
      </w:pPr>
      <w:r>
        <w:t xml:space="preserve">The angular-axis integral has the uniform model bound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sup>
            <m:e>
              <m:r>
                <m:t>ρ</m:t>
              </m:r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sup>
          </m:sSup>
          <m:r>
            <m:t> </m:t>
          </m:r>
          <m:r>
            <m:t>d</m:t>
          </m:r>
          <m:r>
            <m:t>ρ</m:t>
          </m:r>
          <m:r>
            <m:rPr>
              <m:sty m:val="p"/>
            </m:rPr>
            <m:t>≤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the value window, radial volume, determinant weights, and</w:t>
      </w:r>
      <w:r>
        <w:t xml:space="preserve"> </w:t>
      </w:r>
      <m:oMath>
        <m:sSubSup>
          <m:e>
            <m:r>
              <m:t>Z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, the remaining monomials are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7</m:t>
              </m:r>
            </m:sup>
          </m:sSup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2</m:t>
          </m:r>
          <m:sSup>
            <m:e>
              <m:r>
                <m:t>r</m:t>
              </m:r>
            </m:e>
            <m:sup>
              <m:r>
                <m:t>6</m:t>
              </m:r>
            </m:sup>
          </m:sSup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 </m:t>
          </m:r>
          <m:sSup>
            <m:e>
              <m:r>
                <m:t>r</m:t>
              </m:r>
            </m:e>
            <m:sup>
              <m:r>
                <m:t>5</m:t>
              </m:r>
            </m:sup>
          </m:sSup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 </m:t>
          </m:r>
          <m:sSup>
            <m:e>
              <m:r>
                <m:t>r</m:t>
              </m:r>
            </m:e>
            <m:sup>
              <m:r>
                <m:t>5</m:t>
              </m:r>
            </m:sup>
          </m:sSup>
          <m:sSup>
            <m:e>
              <m: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2</m:t>
          </m:r>
          <m:sSup>
            <m:e>
              <m:r>
                <m:t>r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 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respective integrated orders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 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 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 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</m:e>
              </m:d>
            </m:e>
          </m:d>
          <m:r>
            <m:rPr>
              <m:sty m:val="p"/>
            </m:rPr>
            <m:t>,</m:t>
          </m:r>
          <m:r>
            <m:t> 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 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every collar and singular-near face, including the angular axis,</w:t>
      </w:r>
      <w:r>
        <w:t xml:space="preserve"> </w:t>
      </w:r>
      <w:r>
        <w:t xml:space="preserve">contributes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. In (4.5)–(4.7),</w:t>
      </w:r>
      <w:r>
        <w:t xml:space="preserve"> </w:t>
      </w:r>
      <m:oMath>
        <m:r>
          <m:t>d</m:t>
        </m:r>
        <m:r>
          <m:t>ρ</m:t>
        </m:r>
      </m:oMath>
      <w:r>
        <w:t xml:space="preserve"> </w:t>
      </w:r>
      <w:r>
        <w:t xml:space="preserve">is the transverse radial</w:t>
      </w:r>
      <w:r>
        <w:t xml:space="preserve"> </w:t>
      </w:r>
      <w:r>
        <w:t xml:space="preserve">measure after the angular variables have been separated, and the subsequent</w:t>
      </w:r>
      <w:r>
        <w:t xml:space="preserve"> </w:t>
      </w:r>
      <m:oMath>
        <m:r>
          <m:t>s</m:t>
        </m:r>
      </m:oMath>
      <w:r>
        <w:t xml:space="preserve">-integration runs over the singular-near radial chart specified in</w:t>
      </w:r>
      <w:r>
        <w:t xml:space="preserve"> </w:t>
      </w:r>
      <w:r>
        <w:t xml:space="preserve">FACEWISE Sections 5 and 9.</w:t>
      </w:r>
    </w:p>
    <w:bookmarkEnd w:id="26"/>
    <w:bookmarkStart w:id="27" w:name="elder-selection-and-recombination"/>
    <w:p>
      <w:pPr>
        <w:pStyle w:val="Heading3"/>
      </w:pPr>
      <w:r>
        <w:t xml:space="preserve">4.5 Elder selection and recombination</w:t>
      </w:r>
    </w:p>
    <w:p>
      <w:pPr>
        <w:pStyle w:val="FirstParagraph"/>
      </w:pPr>
      <w:r>
        <w:t xml:space="preserve">The canonical all-witness count uses one legitimate value integration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b</m:t>
            </m:r>
            <m:r>
              <m:rPr>
                <m:sty m:val="p"/>
              </m:rPr>
              <m:t>−</m:t>
            </m:r>
            <m:r>
              <m:t>κ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/</m:t>
            </m:r>
            <m:r>
              <m:t>6</m:t>
            </m:r>
          </m:sub>
          <m:sup>
            <m:r>
              <m:t>b</m:t>
            </m:r>
          </m:sup>
          <m:e>
            <m:r>
              <m:t>d</m:t>
            </m:r>
          </m:e>
        </m:nary>
        <m:r>
          <m:t>u</m:t>
        </m:r>
      </m:oMath>
      <w:r>
        <w:t xml:space="preserve">. The local collar, singular-near, and far</w:t>
      </w:r>
      <w:r>
        <w:t xml:space="preserve"> </w:t>
      </w:r>
      <w:r>
        <w:t xml:space="preserve">regions form the prescribed cover; endpoint overlaps are counted through the</w:t>
      </w:r>
      <w:r>
        <w:t xml:space="preserve"> </w:t>
      </w:r>
      <w:r>
        <w:t xml:space="preserve">reflected endpoint charts, and the elder-selection rule is applied to the</w:t>
      </w:r>
      <w:r>
        <w:t xml:space="preserve"> </w:t>
      </w:r>
      <w:r>
        <w:t xml:space="preserve">same critical-point typing as the Palm formula. Union and first-moment bounds</w:t>
      </w:r>
      <w:r>
        <w:t xml:space="preserve"> </w:t>
      </w:r>
      <w:r>
        <w:t xml:space="preserve">therefore preserve the common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order. No extra value-window factor</w:t>
      </w:r>
      <w:r>
        <w:t xml:space="preserve"> </w:t>
      </w:r>
      <w:r>
        <w:t xml:space="preserve">is introduced, and no chart is promoted from a diagnostic grid alone.</w:t>
      </w:r>
    </w:p>
    <w:p>
      <w:pPr>
        <w:pStyle w:val="BodyText"/>
      </w:pPr>
      <w:r>
        <w:t xml:space="preserve">The measurable elder mark, the disjoint elder-failure exhaustion, and the</w:t>
      </w:r>
      <w:r>
        <w:t xml:space="preserve"> </w:t>
      </w:r>
      <w:r>
        <w:t xml:space="preserve">selected/all-typed recombination are carried by Parts A.1, F.1–F.2, and</w:t>
      </w:r>
      <w:r>
        <w:t xml:space="preserve"> </w:t>
      </w:r>
      <w:r>
        <w:t xml:space="preserve">Theorem A.3.3 of the recovered 105,980-byte supplement, Drive</w:t>
      </w:r>
      <w:r>
        <w:t xml:space="preserve"> </w:t>
      </w:r>
      <w:r>
        <w:rPr>
          <w:rStyle w:val="VerbatimChar"/>
        </w:rPr>
        <w:t xml:space="preserve">1D5eRshQWyiugIrIikBUhItasLyiyV1FX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05967f14a8b8d6a9e2637210807872ba4f30810987cb7f3017e10b186d07f6da</w:t>
      </w:r>
      <w:r>
        <w:t xml:space="preserve">.</w:t>
      </w:r>
    </w:p>
    <w:bookmarkEnd w:id="27"/>
    <w:bookmarkStart w:id="28" w:name="X245bd8b49b63c1799a84df90976d2be8fbdd271"/>
    <w:p>
      <w:pPr>
        <w:pStyle w:val="Heading3"/>
      </w:pPr>
      <w:r>
        <w:t xml:space="preserve">4.6 Full-mark integration and constant identification</w:t>
      </w:r>
    </w:p>
    <w:p>
      <w:pPr>
        <w:pStyle w:val="FirstParagraph"/>
      </w:pPr>
      <w:r>
        <w:t xml:space="preserve">The compact-positive-mark estimate (T1) supplies pointwise convergence of the</w:t>
      </w:r>
      <w:r>
        <w:t xml:space="preserve"> </w:t>
      </w:r>
      <w:r>
        <w:t xml:space="preserve">selected integrand on each compact mark set, but the constant in (2.2) uses</w:t>
      </w:r>
      <w:r>
        <w:t xml:space="preserve"> </w:t>
      </w:r>
      <w:r>
        <w:t xml:space="preserve">the whole mark space. Theorem A.3.3 closes that interface with the uniform</w:t>
      </w:r>
      <w:r>
        <w:t xml:space="preserve"> </w:t>
      </w:r>
      <w:r>
        <w:t xml:space="preserve">majorant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 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b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κ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κ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sup>
          </m:sSup>
          <m:sSup>
            <m:e>
              <m:r>
                <m:t>κ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integrable 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: the</w:t>
      </w:r>
      <w:r>
        <w:t xml:space="preserve"> </w:t>
      </w:r>
      <m:oMath>
        <m:sSup>
          <m:e>
            <m:r>
              <m:t>κ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singularity is integrable at zero, while the Gaussian</w:t>
      </w:r>
      <w:r>
        <w:t xml:space="preserve"> </w:t>
      </w:r>
      <w:r>
        <w:t xml:space="preserve">factor controls both noncompact tails. Truncate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κ</m:t>
            </m:r>
          </m:e>
        </m:d>
      </m:oMath>
      <w:r>
        <w:t xml:space="preserve">, apply the</w:t>
      </w:r>
      <w:r>
        <w:t xml:space="preserve"> </w:t>
      </w:r>
      <w:r>
        <w:t xml:space="preserve">compact facewise limit on each truncation, and then remove the truncation by</w:t>
      </w:r>
      <w:r>
        <w:t xml:space="preserve"> </w:t>
      </w:r>
      <w:r>
        <w:t xml:space="preserve">(4.8). The off-diagonal lifetime density is uniformly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, hence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</m:rPr>
                  <m:t>ℓ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e>
        </m:d>
      </m:oMath>
      <w:r>
        <w:t xml:space="preserve">. The selected and all-typed limits agree because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, and the same majorant applies. Theorem A.3.3</w:t>
      </w:r>
      <w:r>
        <w:t xml:space="preserve"> </w:t>
      </w:r>
      <w:r>
        <w:t xml:space="preserve">and the exact constant recombination in Part B of the recovered supplement</w:t>
      </w:r>
      <w:r>
        <w:t xml:space="preserve"> </w:t>
      </w:r>
      <w:r>
        <w:t xml:space="preserve">therefore close the global passage to (T2) and (2.2)–(2.7), under the same</w:t>
      </w:r>
      <w:r>
        <w:t xml:space="preserve"> </w:t>
      </w:r>
      <w:r>
        <w:t xml:space="preserve">Drive ID and SHA-256 cited above.</w:t>
      </w:r>
    </w:p>
    <w:bookmarkEnd w:id="28"/>
    <w:bookmarkEnd w:id="29"/>
    <w:bookmarkStart w:id="30" w:name="exact-v3.4-and-facewise-evidence"/>
    <w:p>
      <w:pPr>
        <w:pStyle w:val="Heading2"/>
      </w:pPr>
      <w:r>
        <w:t xml:space="preserve">5. Exact V3.4 and FACEWISE evidence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0" w:type="dxa"/>
      </w:tblPr>
      <w:tblGrid>
        <w:gridCol w:w="1450"/>
        <w:gridCol w:w="1650"/>
        <w:gridCol w:w="1500"/>
        <w:gridCol w:w="650"/>
        <w:gridCol w:w="4110"/>
      </w:tblGrid>
      <w:tr>
        <w:trPr>
          <w:tblHeader w:val="true"/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Role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Artifact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b/>
                <w:sz w:val="17"/>
              </w:rPr>
              <w:t xml:space="preserve">Drive ID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b/>
                <w:sz w:val="17"/>
              </w:rPr>
              <w:t xml:space="preserve">Bytes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SHA-256 / identity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Audited facewise input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rp_c_rp_s_facewise_closure_RELAY.md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1rF9YAVw19fEG_QlRvHIesXev4nsegA7w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35,310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40faad08824e4e77520143078ed606c8681532cc77ae9c9d42551baa5277b400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Pre-audit disposition/check record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V3.4 closure disposition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1QJ_H5A-xg2TINB7CqHBopjvY4-AVTJdJ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8,157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d262021d7c0819ba09a6680c29379e3d731e982705a939bd60b8361e3382fbb1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Full audit-replay archive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SIDE24_V3_4_AUDIT_REPLAY_FULL_ARCHIVE.zip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1TSH5V0f-7BwdlHlY6-VarfuDFEQT-TIf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12,465,983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ba2a296b6a9c438eaf9f30aeaa40d4162195b256a9b2516259cd30a2468dd480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Conditional-moment companion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three_hessian_conditional_moment_envelope.md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1y0ZFl-S4BU7ZmBg7gDBy7ts3J7oJDduu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12,145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f19132b47dd58339d632ffe8ef5c9466dbcf9b353b406a31e22d3e35b5e5d0fb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Withdrawn-route audit note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quartic_remainder_audit_note.md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17pL94ArcdpMGm89kwSGui9DnJWnlH41l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5,830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e344ccec3945ecd1c931e7e84eb25ef2fe2a0c9b41f5768eb03619400b2b38db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Endpoint counterexample regression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verify_quartic_endpoint_counterexample.py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1EzOG80ErsPf785utTcBq7x_DIp_ZSPV1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13,329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461959368dfc7759c78ee105e4b82ff97659ddfc3a28837bbf7e8092da2f39d9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Post-006b authoring-conformance carrier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SIDE24_FACEWISE_v1.1_SHA_d5677359.md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1Yky0N-Y5M4HzST8-1EfPgsvYPKksnYGL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36,542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d5677359e72243a89450c14d324051948d721aa031bb729f2ce9f76fb392804e</w:t>
            </w:r>
          </w:p>
        </w:tc>
      </w:tr>
    </w:tbl>
    <w:p>
      <w:pPr>
        <w:pStyle w:val="BodyText"/>
      </w:pPr>
      <w:r>
        <w:t xml:space="preserve">The full V3.4 archive is the source for the §6X withdrawal-completeness check;</w:t>
      </w:r>
      <w:r>
        <w:t xml:space="preserve"> </w:t>
      </w:r>
      <w:r>
        <w:t xml:space="preserve">the shorter relay intentionally omits the withdrawn argument block.</w:t>
      </w:r>
    </w:p>
    <w:p>
      <w:pPr>
        <w:pStyle w:val="BodyText"/>
      </w:pPr>
      <w:r>
        <w:t xml:space="preserve">FACEWISE v1.1 was authored after the 006b reconciliation and before</w:t>
      </w:r>
      <w:r>
        <w:t xml:space="preserve"> </w:t>
      </w:r>
      <w:r>
        <w:t xml:space="preserve">AO48-OPR-045. Its</w:t>
      </w:r>
      <w:r>
        <w:t xml:space="preserve"> </w:t>
      </w:r>
      <w:r>
        <w:rPr>
          <w:rStyle w:val="VerbatimChar"/>
        </w:rPr>
        <w:t xml:space="preserve">d567…</w:t>
      </w:r>
      <w:r>
        <w:t xml:space="preserve"> </w:t>
      </w:r>
      <w:r>
        <w:t xml:space="preserve">hash is therefore the post-audit</w:t>
      </w:r>
      <w:r>
        <w:t xml:space="preserve"> </w:t>
      </w:r>
      <w:r>
        <w:t xml:space="preserve">authoring-conformance carrier covered by the later operator ratification. It</w:t>
      </w:r>
      <w:r>
        <w:t xml:space="preserve"> </w:t>
      </w:r>
      <w:r>
        <w:t xml:space="preserve">must not be described as the byte object Kimi originally read.</w:t>
      </w:r>
    </w:p>
    <w:bookmarkEnd w:id="30"/>
    <w:bookmarkStart w:id="31" w:name="audit-and-operator-chain"/>
    <w:p>
      <w:pPr>
        <w:pStyle w:val="Heading2"/>
      </w:pPr>
      <w:r>
        <w:t xml:space="preserve">6. Audit and operator chain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0" w:type="dxa"/>
      </w:tblPr>
      <w:tblGrid>
        <w:gridCol w:w="1450"/>
        <w:gridCol w:w="1650"/>
        <w:gridCol w:w="1500"/>
        <w:gridCol w:w="650"/>
        <w:gridCol w:w="4110"/>
      </w:tblGrid>
      <w:tr>
        <w:trPr>
          <w:tblHeader w:val="true"/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Stage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Record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b/>
                <w:sz w:val="17"/>
              </w:rPr>
              <w:t xml:space="preserve">Drive ID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b/>
                <w:sz w:val="17"/>
              </w:rPr>
              <w:t xml:space="preserve">Bytes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SHA-256 / qualification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Initial third-family audit reconciliation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AO48-AUD-043-v1.0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1wDuGvUxFnWTYe8PEIgjo6upwzjdBMV4-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4,818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b41b1e1ff37632cd3034b4bcdf73cc30b999745db2ef68b3ef28a3a1306ef0cc</w:t>
            </w:r>
            <w:r>
              <w:rPr>
                <w:rFonts w:ascii="Arial" w:hAnsi="Arial"/>
                <w:sz w:val="16"/>
              </w:rPr>
              <w:t xml:space="preserve">; records KIMI-AUD-006 only as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4b66f85e…5a38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APPROVE-conversion reconciliation and ratification package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AO48-AUD-044-v1.0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1qX_KJz2KreWDy7BXNmCBesUmbkJCoPBa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5,245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be6b53a21370984650733d9f00c60d0648b452fe65f32bf3ce93846f5c22737c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Operator ratification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AO48-OPR-045-v1.0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1MfA94SaoYpnnAs7HYLNvowG9EHIR3Opk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3,397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e48d7c271dff9c120316ee2129a303aed6f78b518c2e0c08337eb357bd60e2e8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Controlling status fold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GP-SIDE24-CTL-001-v1.0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1U8tFvVjqXjXO8Eih_SEUgy8AGBOJC_wp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5,117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ed688cb64d8ff5b6d8bb09d6d03df0668009ecbbff9bdc83e770a38a3cb86491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Native status mirror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SIDE24 post-ratification status fold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1my81FaIbVIuMhzyxg34kXuBPCGOwJah_1abJv4mJWwo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native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mirrors the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ed688cb6…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controller</w:t>
            </w:r>
          </w:p>
        </w:tc>
      </w:tr>
      <w:tr>
        <w:trPr>
          <w:cantSplit/>
        </w:trPr>
        <w:tc>
          <w:tcPr>
            <w:vAlign w:val="top"/>
            <w:tcW w:w="14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Native closure register</w:t>
            </w:r>
          </w:p>
        </w:tc>
        <w:tc>
          <w:tcPr>
            <w:vAlign w:val="top"/>
            <w:tcW w:w="165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SIDE24 Closure Register R2.8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1Yjre5iYWJDHgxask_cuZoEFX4hXn9uCJUnVFc478K9A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native</w:t>
            </w:r>
          </w:p>
        </w:tc>
        <w:tc>
          <w:tcPr>
            <w:vAlign w:val="top"/>
            <w:tcW w:w="41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RP-C/RP-S/theorem state and carried dependencies</w:t>
            </w:r>
          </w:p>
        </w:tc>
      </w:tr>
    </w:tbl>
    <w:p>
      <w:pPr>
        <w:pStyle w:val="BodyText"/>
      </w:pPr>
      <w:r>
        <w:t xml:space="preserve">The exact raw texts of KIMI-AUD-006 and KIMI-AUD-006b have not yet been</w:t>
      </w:r>
      <w:r>
        <w:t xml:space="preserve"> </w:t>
      </w:r>
      <w:r>
        <w:t xml:space="preserve">supplied to this Drive line. Their current corpus representations are the</w:t>
      </w:r>
      <w:r>
        <w:t xml:space="preserve"> </w:t>
      </w:r>
      <w:r>
        <w:t xml:space="preserve">AO48-AUD-043 and AO48-AUD-044 reconciliation records and the operator’s signed</w:t>
      </w:r>
      <w:r>
        <w:t xml:space="preserve"> </w:t>
      </w:r>
      <w:r>
        <w:t xml:space="preserve">ratification. This package does not invent full Kimi hashes or quote text not</w:t>
      </w:r>
      <w:r>
        <w:t xml:space="preserve"> </w:t>
      </w:r>
      <w:r>
        <w:t xml:space="preserve">present in those records. When Dylan Roy supplies the raw report texts, they</w:t>
      </w:r>
      <w:r>
        <w:t xml:space="preserve"> </w:t>
      </w:r>
      <w:r>
        <w:t xml:space="preserve">should be landed as numbered, whole-file-frozen audit carriers and appended to</w:t>
      </w:r>
      <w:r>
        <w:t xml:space="preserve"> </w:t>
      </w:r>
      <w:r>
        <w:t xml:space="preserve">this chain without changing the theorem statement.</w:t>
      </w:r>
    </w:p>
    <w:bookmarkEnd w:id="31"/>
    <w:bookmarkStart w:id="32" w:name="carried-dependencies-verbatim"/>
    <w:p>
      <w:pPr>
        <w:pStyle w:val="Heading2"/>
      </w:pPr>
      <w:r>
        <w:t xml:space="preserve">7. Carried dependencies — verbatim</w:t>
      </w:r>
    </w:p>
    <w:p>
      <w:pPr>
        <w:pStyle w:val="FirstParagraph"/>
      </w:pPr>
      <w:r>
        <w:t xml:space="preserve">The following is reproduced verbatim from AO48-AUD-044 §C:</w:t>
      </w:r>
    </w:p>
    <w:p>
      <w:pPr>
        <w:numPr>
          <w:ilvl w:val="0"/>
          <w:numId w:val="1004"/>
        </w:numPr>
        <w:pStyle w:val="Compact"/>
      </w:pPr>
      <w:r>
        <w:t xml:space="preserve">The frozen V3.3 eigenfloor tables — the O(r⁻⁷) collar density origin and</w:t>
      </w:r>
      <w:r>
        <w:t xml:space="preserve"> </w:t>
      </w:r>
      <w:r>
        <w:t xml:space="preserve">s⁻⁷ frame bounds — consistent with, but not re-derived in, the audit; same</w:t>
      </w:r>
      <w:r>
        <w:t xml:space="preserve"> </w:t>
      </w:r>
      <w:r>
        <w:t xml:space="preserve">object class as Kimi’s independently proved G.3/G.7.1 normalizer. (b) Three</w:t>
      </w:r>
      <w:r>
        <w:t xml:space="preserve"> </w:t>
      </w:r>
      <w:r>
        <w:t xml:space="preserve">V3.4 diagnostic scripts absent from Kimi’s corpus — non-blocking; every</w:t>
      </w:r>
      <w:r>
        <w:t xml:space="preserve"> </w:t>
      </w:r>
      <w:r>
        <w:t xml:space="preserve">analytic claim they corroborate was independently recomputed. (c) The</w:t>
      </w:r>
      <w:r>
        <w:t xml:space="preserve"> </w:t>
      </w:r>
      <w:r>
        <w:t xml:space="preserve">Palm-repair normalizer cr² ≤ Z_r ≤ Cr² (V3.3, previously audited).</w:t>
      </w:r>
    </w:p>
    <w:p>
      <w:pPr>
        <w:pStyle w:val="FirstParagraph"/>
      </w:pPr>
      <w:r>
        <w:t xml:space="preserve">Dependency (b)’s connected-Drive availability issue is now resolved; delivery</w:t>
      </w:r>
      <w:r>
        <w:t xml:space="preserve"> </w:t>
      </w:r>
      <w:r>
        <w:t xml:space="preserve">of these carriers into Kimi’s corpus remains pending. The three scripts are</w:t>
      </w:r>
      <w:r>
        <w:t xml:space="preserve"> </w:t>
      </w:r>
      <w:r>
        <w:t xml:space="preserve">present byte-for-byte in Drive: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0" w:type="dxa"/>
      </w:tblPr>
      <w:tblGrid>
        <w:gridCol w:w="1800"/>
        <w:gridCol w:w="1500"/>
        <w:gridCol w:w="650"/>
        <w:gridCol w:w="2700"/>
        <w:gridCol w:w="2710"/>
      </w:tblGrid>
      <w:tr>
        <w:trPr>
          <w:tblHeader w:val="true"/>
          <w:cantSplit/>
        </w:trPr>
        <w:tc>
          <w:tcPr>
            <w:vAlign w:val="top"/>
            <w:tcW w:w="180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Script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b/>
                <w:sz w:val="17"/>
              </w:rPr>
              <w:t xml:space="preserve">Drive ID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b/>
                <w:sz w:val="17"/>
              </w:rPr>
              <w:t xml:space="preserve">Bytes</w:t>
            </w:r>
          </w:p>
        </w:tc>
        <w:tc>
          <w:tcPr>
            <w:vAlign w:val="top"/>
            <w:tcW w:w="270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SHA-256</w:t>
            </w:r>
          </w:p>
        </w:tc>
        <w:tc>
          <w:tcPr>
            <w:vAlign w:val="top"/>
            <w:tcW w:w="27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Replay</w:t>
            </w:r>
          </w:p>
        </w:tc>
      </w:tr>
      <w:tr>
        <w:trPr>
          <w:cantSplit/>
        </w:trPr>
        <w:tc>
          <w:tcPr>
            <w:vAlign w:val="top"/>
            <w:tcW w:w="180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verify_hybrid_mixed_curvature_and_axis_absorption.py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1VPYlprjcWgNmoIMiVaTL5sa6wUirseVr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31,533</w:t>
            </w:r>
          </w:p>
        </w:tc>
        <w:tc>
          <w:tcPr>
            <w:vAlign w:val="top"/>
            <w:tcW w:w="270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0ba99085cf5b1655deb95859a63f02478057491fe1d394124d853e93bea8c481</w:t>
            </w:r>
          </w:p>
        </w:tc>
        <w:tc>
          <w:tcPr>
            <w:vAlign w:val="top"/>
            <w:tcW w:w="27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202/202 PASS; normal/optimized byte-identical</w:t>
            </w:r>
          </w:p>
        </w:tc>
      </w:tr>
      <w:tr>
        <w:trPr>
          <w:cantSplit/>
        </w:trPr>
        <w:tc>
          <w:tcPr>
            <w:vAlign w:val="top"/>
            <w:tcW w:w="180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verify_facewise_collar_axis_integration.py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1a67DJHnF8NKPxDdhdKvIDpOHi0FWCeQR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19,538</w:t>
            </w:r>
          </w:p>
        </w:tc>
        <w:tc>
          <w:tcPr>
            <w:vAlign w:val="top"/>
            <w:tcW w:w="270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bb4fdb739636e504d2c2eeafd8d8582dbf1dba12225bca88788927b049d58e5f</w:t>
            </w:r>
          </w:p>
        </w:tc>
        <w:tc>
          <w:tcPr>
            <w:vAlign w:val="top"/>
            <w:tcW w:w="27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Fonts w:ascii="Arial" w:hAnsi="Arial"/>
                <w:sz w:val="16"/>
              </w:rPr>
              <w:t xml:space="preserve">62/62 PASS in both modes</w:t>
            </w:r>
          </w:p>
        </w:tc>
      </w:tr>
      <w:tr>
        <w:trPr>
          <w:cantSplit/>
        </w:trPr>
        <w:tc>
          <w:tcPr>
            <w:vAlign w:val="top"/>
            <w:tcW w:w="180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diagnose_side24_generic_collar.py</w:t>
            </w:r>
          </w:p>
        </w:tc>
        <w:tc>
          <w:tcPr>
            <w:vAlign w:val="top"/>
            <w:tcW w:w="150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Style w:val="VerbatimChar"/>
                <w:rFonts w:ascii="Arial" w:hAnsi="Arial"/>
                <w:sz w:val="16"/>
              </w:rPr>
              <w:t xml:space="preserve">1iiyLpIDkYR0YDiwv9vGRVQ-Rel8uh0sD</w:t>
            </w:r>
          </w:p>
        </w:tc>
        <w:tc>
          <w:tcPr>
            <w:vAlign w:val="top"/>
            <w:tcW w:w="650" w:type="dxa"/>
          </w:tcPr>
          <w:p>
            <w:pPr>
              <w:pStyle w:val="Compact"/>
              <w:spacing w:before="0" w:after="60" w:line="252" w:lineRule="auto"/>
              <w:jc w:val="right"/>
            </w:pPr>
            <w:r>
              <w:rPr>
                <w:rFonts w:ascii="Arial" w:hAnsi="Arial"/>
                <w:sz w:val="16"/>
              </w:rPr>
              <w:t xml:space="preserve">6,551</w:t>
            </w:r>
          </w:p>
        </w:tc>
        <w:tc>
          <w:tcPr>
            <w:vAlign w:val="top"/>
            <w:tcW w:w="270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abc5b8cd3f03c251a8bf47115a9d0097ef03ae62dd65debcb23082ba973176c0</w:t>
            </w:r>
          </w:p>
        </w:tc>
        <w:tc>
          <w:tcPr>
            <w:vAlign w:val="top"/>
            <w:tcW w:w="2710" w:type="dxa"/>
          </w:tcPr>
          <w:p>
            <w:pPr>
              <w:pStyle w:val="Compact"/>
              <w:spacing w:before="0" w:after="60" w:line="252" w:lineRule="auto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ALL_CHECKS_PASS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on its declared grid</w:t>
            </w:r>
          </w:p>
        </w:tc>
      </w:tr>
    </w:tbl>
    <w:p>
      <w:pPr>
        <w:pStyle w:val="BodyText"/>
      </w:pPr>
      <w:r>
        <w:t xml:space="preserve">Replay environment: Python 3.12.13; SymPy 1.14.0; mpmath 1.3.0; NumPy</w:t>
      </w:r>
      <w:r>
        <w:t xml:space="preserve"> </w:t>
      </w:r>
      <w:r>
        <w:t xml:space="preserve">2.4.4; SciPy 1.17.1. These scripts are regression and ledger evidence within</w:t>
      </w:r>
      <w:r>
        <w:t xml:space="preserve"> </w:t>
      </w:r>
      <w:r>
        <w:t xml:space="preserve">their own scope statements. They do not replace the analytic</w:t>
      </w:r>
      <w:r>
        <w:t xml:space="preserve"> </w:t>
      </w:r>
      <w:r>
        <w:t xml:space="preserve">Fourier-independence, compact-atlas, regression, conditional-moment, or</w:t>
      </w:r>
      <w:r>
        <w:t xml:space="preserve"> </w:t>
      </w:r>
      <w:r>
        <w:t xml:space="preserve">Kac–Rice arguments.</w:t>
      </w:r>
    </w:p>
    <w:p>
      <w:pPr>
        <w:pStyle w:val="BodyText"/>
      </w:pPr>
      <w:r>
        <w:t xml:space="preserve">The specific historical V3.3 eigenfloor-table carrier and its individual</w:t>
      </w:r>
      <w:r>
        <w:t xml:space="preserve"> </w:t>
      </w:r>
      <w:r>
        <w:t xml:space="preserve">whole-file hash are not exposed by the current connected-Drive index. The</w:t>
      </w:r>
      <w:r>
        <w:t xml:space="preserve"> </w:t>
      </w:r>
      <w:r>
        <w:t xml:space="preserve">tables are carried inside the full V3.4 replay archive, Drive</w:t>
      </w:r>
      <w:r>
        <w:t xml:space="preserve"> </w:t>
      </w:r>
      <w:r>
        <w:rPr>
          <w:rStyle w:val="VerbatimChar"/>
        </w:rPr>
        <w:t xml:space="preserve">1TSH5V0f-7BwdlHlY6-VarfuDFEQT-TIf</w:t>
      </w:r>
      <w:r>
        <w:t xml:space="preserve">, whose envelope is frozen at 12,465,983</w:t>
      </w:r>
      <w:r>
        <w:t xml:space="preserve"> </w:t>
      </w:r>
      <w:r>
        <w:t xml:space="preserve">bytes and SHA-256</w:t>
      </w:r>
      <w:r>
        <w:t xml:space="preserve"> </w:t>
      </w:r>
      <w:r>
        <w:rPr>
          <w:rStyle w:val="VerbatimChar"/>
        </w:rPr>
        <w:t xml:space="preserve">ba2a296b6a9c438eaf9f30aeaa40d4162195b256a9b2516259cd30a2468dd480</w:t>
      </w:r>
      <w:r>
        <w:t xml:space="preserve">.</w:t>
      </w:r>
      <w:r>
        <w:t xml:space="preserve"> </w:t>
      </w:r>
      <w:r>
        <w:t xml:space="preserve">No standalone table hash is invented here. The mathematical</w:t>
      </w:r>
      <w: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b>
          <m:e>
            <m:r>
              <m:t>Z</m:t>
            </m:r>
          </m:e>
          <m:sub>
            <m:r>
              <m:t>r</m:t>
            </m:r>
          </m:sub>
        </m:sSub>
        <m:r>
          <m:rPr>
            <m:sty m:val="p"/>
          </m:rPr>
          <m:t>≤</m:t>
        </m:r>
        <m:r>
          <m:t>C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normalizer is also stated in the historical V3.3</w:t>
      </w:r>
      <w:r>
        <w:t xml:space="preserve"> </w:t>
      </w:r>
      <w:r>
        <w:t xml:space="preserve">checkpoint; its independently citable proof is Theorem G.3.1 in the recovered</w:t>
      </w:r>
      <w:r>
        <w:t xml:space="preserve"> </w:t>
      </w:r>
      <w:r>
        <w:t xml:space="preserve">105,980-byte supplement, Drive</w:t>
      </w:r>
      <w:r>
        <w:t xml:space="preserve"> </w:t>
      </w:r>
      <w:r>
        <w:rPr>
          <w:rStyle w:val="VerbatimChar"/>
        </w:rPr>
        <w:t xml:space="preserve">1D5eRshQWyiugIrIikBUhItasLyiyV1FX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05967f14a8b8d6a9e2637210807872ba4f30810987cb7f3017e10b186d07f6da</w:t>
      </w:r>
      <w:r>
        <w:t xml:space="preserve">.</w:t>
      </w:r>
      <w:r>
        <w:t xml:space="preserve"> </w:t>
      </w:r>
      <w:r>
        <w:t xml:space="preserve">The absence of a separately indexed V3.3 checkpoint hash is a carrier-level</w:t>
      </w:r>
      <w:r>
        <w:t xml:space="preserve"> </w:t>
      </w:r>
      <w:r>
        <w:t xml:space="preserve">limitation preserved by this package, not a new mathematical claim.</w:t>
      </w:r>
    </w:p>
    <w:bookmarkEnd w:id="32"/>
    <w:bookmarkStart w:id="33" w:name="failed-approaches-and-correction-ledger"/>
    <w:p>
      <w:pPr>
        <w:pStyle w:val="Heading2"/>
      </w:pPr>
      <w:r>
        <w:t xml:space="preserve">8. Failed approaches and correction ledger</w:t>
      </w:r>
    </w:p>
    <w:p>
      <w:pPr>
        <w:pStyle w:val="FirstParagraph"/>
      </w:pPr>
      <w:r>
        <w:t xml:space="preserve">The package preserves the unsuccessful routes because they define the proof’s</w:t>
      </w:r>
      <w:r>
        <w:t xml:space="preserve"> </w:t>
      </w:r>
      <w:r>
        <w:t xml:space="preserve">current safety boundaries.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Mirror-sign error in the triple-contact display.</w:t>
      </w:r>
      <w:r>
        <w:t xml:space="preserve"> </w:t>
      </w:r>
      <w:r>
        <w:t xml:space="preserve">The printed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det</m:t>
        </m:r>
        <m:sSub>
          <m:e>
            <m:r>
              <m:t>H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cross-term originally had the wrong sign. After the third</w:t>
      </w:r>
      <w:r>
        <w:t xml:space="preserve"> </w:t>
      </w:r>
      <w:r>
        <w:t xml:space="preserve">witness-value pin is restored, that sign controls the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cancellation and is load-bearing. The corrected negative sign is used in</w:t>
      </w:r>
      <w:r>
        <w:t xml:space="preserve"> </w:t>
      </w:r>
      <w:r>
        <w:t xml:space="preserve">V3 and later.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Raw degree and collision overstatement.</w:t>
      </w:r>
      <w:r>
        <w:t xml:space="preserve"> </w:t>
      </w:r>
      <w:r>
        <w:t xml:space="preserve">The three-factor determinant</w:t>
      </w:r>
      <w:r>
        <w:t xml:space="preserve"> </w:t>
      </w:r>
      <w:r>
        <w:t xml:space="preserve">product has generic degree six in</w:t>
      </w:r>
      <w:r>
        <w:t xml:space="preserve"> </w:t>
      </w:r>
      <m:oMath>
        <m:r>
          <m:t>κ</m:t>
        </m:r>
      </m:oMath>
      <w:r>
        <w:t xml:space="preserve">, but the degree drops on</w:t>
      </w:r>
      <w:r>
        <w:t xml:space="preserve"> </w:t>
      </w:r>
      <w:r>
        <w:t xml:space="preserve">coefficient-degeneracy faces</w:t>
      </w:r>
      <w:r>
        <w:t xml:space="preserve"> </w:t>
      </w:r>
      <m:oMath>
        <m:r>
          <m:t>2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η</m:t>
        </m:r>
      </m:oMath>
      <w:r>
        <w:t xml:space="preserve">. Those faces are not geometric</w:t>
      </w:r>
      <w:r>
        <w:t xml:space="preserve"> </w:t>
      </w:r>
      <w:r>
        <w:t xml:space="preserve">collisions unless the transverse coordinate also vanishes.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Far-density order.</w:t>
      </w:r>
      <w:r>
        <w:t xml:space="preserve"> </w:t>
      </w:r>
      <w:r>
        <w:t xml:space="preserve">A claimed extra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ℓ</m:t>
            </m:r>
          </m:e>
        </m:d>
      </m:oMath>
      <w:r>
        <w:t xml:space="preserve"> </w:t>
      </w:r>
      <w:r>
        <w:t xml:space="preserve">density factor was</w:t>
      </w:r>
      <w:r>
        <w:t xml:space="preserve"> </w:t>
      </w:r>
      <w:r>
        <w:t xml:space="preserve">withdrawn; the correct fixed-distance density is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 The sole value</w:t>
      </w:r>
      <w:r>
        <w:t xml:space="preserve"> </w:t>
      </w:r>
      <w:r>
        <w:t xml:space="preserve">window supplies the needed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Capture/escape threshold and tube cost.</w:t>
      </w:r>
      <w:r>
        <w:t xml:space="preserve"> </w:t>
      </w:r>
      <w:r>
        <w:t xml:space="preserve">An earlier deterministic</w:t>
      </w:r>
      <w:r>
        <w:t xml:space="preserve"> </w:t>
      </w:r>
      <w:r>
        <w:t xml:space="preserve">threshold and a tube-cost count were insufficient. The G.7.1 route uses</w:t>
      </w:r>
      <w:r>
        <w:t xml:space="preserve"> </w:t>
      </w:r>
      <w:r>
        <w:t xml:space="preserve">the corrected geometry and weighted Palm budgets.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Unpinned midpoint subtraction.</w:t>
      </w:r>
      <w:r>
        <w:t xml:space="preserve"> </w:t>
      </w:r>
      <w:r>
        <w:t xml:space="preserve">A singular-near value row subtracted a</w:t>
      </w:r>
      <w:r>
        <w:t xml:space="preserve"> </w:t>
      </w:r>
      <w:r>
        <w:t xml:space="preserve">random midpoint value not contained in the pin block. It was replaced by a</w:t>
      </w:r>
      <w:r>
        <w:t xml:space="preserve"> </w:t>
      </w:r>
      <w:r>
        <w:t xml:space="preserve">pair-measurable residual and the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normalized frame.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Universal pointwise Hessian envelope.</w:t>
      </w:r>
      <w:r>
        <w:t xml:space="preserve"> </w:t>
      </w:r>
      <w:r>
        <w:t xml:space="preserve">The literal all-face</w:t>
      </w:r>
      <w:r>
        <w:t xml:space="preserve"> </w:t>
      </w:r>
      <w:r>
        <w:t xml:space="preserve">pointwise curvature route fails on the exact axis. It was withdrawn and</w:t>
      </w:r>
      <w:r>
        <w:t xml:space="preserve"> </w:t>
      </w:r>
      <w:r>
        <w:t xml:space="preserve">replaced by the hybrid monomial envelope: pathwise off-axis and</w:t>
      </w:r>
      <w:r>
        <w:t xml:space="preserve"> </w:t>
      </w:r>
      <w:r>
        <w:t xml:space="preserve">density-weighted on-axis.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Quartic endpoint remainder.</w:t>
      </w:r>
      <w:r>
        <w:t xml:space="preserve"> </w:t>
      </w:r>
      <w:r>
        <w:t xml:space="preserve">A purported uniform quartic remainder has</w:t>
      </w:r>
      <w:r>
        <w:t xml:space="preserve"> </w:t>
      </w:r>
      <w:r>
        <w:t xml:space="preserve">an endpoint counterexample. The withdrawn §6X block is retained only as</w:t>
      </w:r>
      <w:r>
        <w:t xml:space="preserve"> </w:t>
      </w:r>
      <w:r>
        <w:t xml:space="preserve">provenance; the live proof uses EP.1/EP.2 and the endpoint measure ledger.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Confluent-row ambiguity.</w:t>
      </w:r>
      <w:r>
        <w:t xml:space="preserve"> </w:t>
      </w:r>
      <w:r>
        <w:t xml:space="preserve">The literal 10-by-10 average/divided-difference</w:t>
      </w:r>
      <w:r>
        <w:t xml:space="preserve"> </w:t>
      </w:r>
      <w:r>
        <w:t xml:space="preserve">reading yields</w:t>
      </w:r>
      <w:r>
        <w:t xml:space="preserve"> </w:t>
      </w:r>
      <m:oMath>
        <m:r>
          <m:t>2</m:t>
        </m:r>
        <m:sSup>
          <m:e>
            <m:r>
              <m:t>η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6</m:t>
            </m:r>
          </m:sup>
        </m:sSup>
      </m:oMath>
      <w:r>
        <w:t xml:space="preserve">; it cannot be cited for the</w:t>
      </w:r>
      <w:r>
        <w:t xml:space="preserve"> </w:t>
      </w:r>
      <w:r>
        <w:t xml:space="preserve">parameter-free</w:t>
      </w:r>
      <w:r>
        <w:t xml:space="preserve"> </w:t>
      </w:r>
      <w:r>
        <w:t xml:space="preserve">coefficient. FACEWISE v1.1 writes the confluent row (4.2) explicitly.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Single-chart axial absorption.</w:t>
      </w:r>
      <w:r>
        <w:t xml:space="preserve"> </w:t>
      </w:r>
      <w:r>
        <w:t xml:space="preserve">Pointwise absorption fails when</w:t>
      </w:r>
      <w:r>
        <w:t xml:space="preserve"> </w:t>
      </w:r>
      <m:oMath>
        <m:r>
          <m:t>Θ</m:t>
        </m:r>
        <m:r>
          <m:rPr>
            <m:sty m:val="p"/>
          </m:rPr>
          <m:t>≫</m:t>
        </m:r>
        <m:r>
          <m:t>s</m:t>
        </m:r>
      </m:oMath>
      <w:r>
        <w:t xml:space="preserve">. FACEWISE v1.1 displays the near-axis and</w:t>
      </w:r>
      <w:r>
        <w:t xml:space="preserve"> </w:t>
      </w:r>
      <w:r>
        <w:t xml:space="preserve">angular-dominant regimes separately.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Independent-audit overreach.</w:t>
      </w:r>
      <w:r>
        <w:t xml:space="preserve"> </w:t>
      </w:r>
      <w:r>
        <w:t xml:space="preserve">Early local checks supported only the</w:t>
      </w:r>
      <w:r>
        <w:t xml:space="preserve"> </w:t>
      </w:r>
      <w:r>
        <w:t xml:space="preserve">components they exercised; they did not close RP-A/RP-L, RP-C/RP-S,</w:t>
      </w:r>
      <w:r>
        <w:t xml:space="preserve"> </w:t>
      </w:r>
      <w:r>
        <w:t xml:space="preserve">RP-F, or elder recombination. The final status rests on the complete</w:t>
      </w:r>
      <w:r>
        <w:t xml:space="preserve"> </w:t>
      </w:r>
      <w:r>
        <w:t xml:space="preserve">facewise proof, the third-family audit/reconciliation chain, and operator</w:t>
      </w:r>
      <w:r>
        <w:t xml:space="preserve"> </w:t>
      </w:r>
      <w:r>
        <w:t xml:space="preserve">ratification.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Fail-open reproduction scripts.</w:t>
      </w:r>
      <w:r>
        <w:t xml:space="preserve"> </w:t>
      </w:r>
      <w:r>
        <w:t xml:space="preserve">Bare Python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statements and</w:t>
      </w:r>
      <w:r>
        <w:t xml:space="preserve"> </w:t>
      </w:r>
      <w:r>
        <w:t xml:space="preserve">scripts that printed FAIL while returning status zero were treated as</w:t>
      </w:r>
      <w:r>
        <w:t xml:space="preserve"> </w:t>
      </w:r>
      <w:r>
        <w:t xml:space="preserve">non-evidentiary for closure. Later verifiers use explicit fail-closed</w:t>
      </w:r>
      <w:r>
        <w:t xml:space="preserve"> </w:t>
      </w:r>
      <w:r>
        <w:t xml:space="preserve">checks and optimized-mode transcript comparisons.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G.9.1 pin-block factorization.</w:t>
      </w:r>
      <w:r>
        <w:t xml:space="preserve"> </w:t>
      </w:r>
      <w:r>
        <w:t xml:space="preserve">The historical polynomial</w:t>
      </w:r>
      <w:r>
        <w:t xml:space="preserve"> </w:t>
      </w:r>
      <w:r>
        <w:t xml:space="preserve">factorization of the pin determinant was false. The corrected planar</w:t>
      </w:r>
      <w:r>
        <w:t xml:space="preserve"> </w:t>
      </w:r>
      <w:r>
        <w:t xml:space="preserve">determinant was independently reconstructed as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g</m:t>
            </m:r>
            <m:r>
              <m:t>U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g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v</m:t>
            </m:r>
            <m:r>
              <m:t>U</m:t>
            </m:r>
            <m:r>
              <m:t>P</m:t>
            </m:r>
            <m:r>
              <m:rPr>
                <m:sty m:val="p"/>
              </m:rPr>
              <m:t>+</m:t>
            </m:r>
            <m:r>
              <m:t>g</m:t>
            </m:r>
            <m:r>
              <m:t>v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where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Sup>
          <m:e>
            <m:r>
              <m:t>u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Sup>
          <m:e>
            <m:r>
              <m:t>u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u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pins</m:t>
            </m:r>
          </m:e>
        </m:d>
      </m:oMath>
      <w:r>
        <w:t xml:space="preserve">, 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pins</m:t>
            </m:r>
          </m:e>
        </m:d>
      </m:oMath>
      <w:r>
        <w:t xml:space="preserve">. The explicitly labeled</w:t>
      </w:r>
      <w:r>
        <w:t xml:space="preserve"> </w:t>
      </w:r>
      <w:r>
        <w:t xml:space="preserve">reconstruction and its 26/26 verifier are indexed by the SIDE24 G.9/R2</w:t>
      </w:r>
      <w:r>
        <w:t xml:space="preserve"> </w:t>
      </w:r>
      <w:r>
        <w:t xml:space="preserve">Recovery Index, Drive</w:t>
      </w:r>
      <w:r>
        <w:t xml:space="preserve"> </w:t>
      </w:r>
      <w:r>
        <w:rPr>
          <w:rStyle w:val="VerbatimChar"/>
        </w:rPr>
        <w:t xml:space="preserve">1yQQfid0m0U7Wwu0_e0zr663hrAflZy0srRZGkT0tPyg</w:t>
      </w:r>
      <w:r>
        <w:t xml:space="preserve">. That recovery is</w:t>
      </w:r>
      <w:r>
        <w:t xml:space="preserve"> </w:t>
      </w:r>
      <w:r>
        <w:t xml:space="preserve">supporting local covariance evidence, not a substitute for the facewise</w:t>
      </w:r>
      <w:r>
        <w:t xml:space="preserve"> </w:t>
      </w:r>
      <w:r>
        <w:t xml:space="preserve">side-24 theorem.</w:t>
      </w:r>
    </w:p>
    <w:bookmarkEnd w:id="33"/>
    <w:bookmarkStart w:id="34" w:name="reopening-rule"/>
    <w:p>
      <w:pPr>
        <w:pStyle w:val="Heading2"/>
      </w:pPr>
      <w:r>
        <w:t xml:space="preserve">9. Reopening rule</w:t>
      </w:r>
    </w:p>
    <w:p>
      <w:pPr>
        <w:pStyle w:val="FirstParagraph"/>
      </w:pPr>
      <w:r>
        <w:t xml:space="preserve">The ratified result reopens only upon one of the following:</w:t>
      </w:r>
    </w:p>
    <w:p>
      <w:pPr>
        <w:numPr>
          <w:ilvl w:val="0"/>
          <w:numId w:val="1006"/>
        </w:numPr>
        <w:pStyle w:val="Compact"/>
      </w:pPr>
      <w:r>
        <w:t xml:space="preserve">an exact counterexample to an audited display;</w:t>
      </w:r>
    </w:p>
    <w:p>
      <w:pPr>
        <w:numPr>
          <w:ilvl w:val="0"/>
          <w:numId w:val="1006"/>
        </w:numPr>
        <w:pStyle w:val="Compact"/>
      </w:pPr>
      <w:r>
        <w:t xml:space="preserve">failure of a carried V3.3 eigenfloor table; or</w:t>
      </w:r>
    </w:p>
    <w:p>
      <w:pPr>
        <w:numPr>
          <w:ilvl w:val="0"/>
          <w:numId w:val="1006"/>
        </w:numPr>
        <w:pStyle w:val="Compact"/>
      </w:pPr>
      <w:r>
        <w:t xml:space="preserve">a landed diagnostic script contradicting a claim it was said to</w:t>
      </w:r>
      <w:r>
        <w:t xml:space="preserve"> </w:t>
      </w:r>
      <w:r>
        <w:t xml:space="preserve">corroborate.</w:t>
      </w:r>
    </w:p>
    <w:p>
      <w:pPr>
        <w:pStyle w:val="FirstParagraph"/>
      </w:pPr>
      <w:r>
        <w:t xml:space="preserve">An unavailable raw report, a stale historical HOLD banner, or a diagnostic</w:t>
      </w:r>
      <w:r>
        <w:t xml:space="preserve"> </w:t>
      </w:r>
      <w:r>
        <w:t xml:space="preserve">script’s absence from a reviewer’s corpus is a preservation or routing issue,</w:t>
      </w:r>
      <w:r>
        <w:t xml:space="preserve"> </w:t>
      </w:r>
      <w:r>
        <w:t xml:space="preserve">not by itself a mathematical counterexample. Such issues must nevertheless be</w:t>
      </w:r>
      <w:r>
        <w:t xml:space="preserve"> </w:t>
      </w:r>
      <w:r>
        <w:t xml:space="preserve">recorded honestly, as the Kimi raw-carrier gap is recorded here.</w:t>
      </w:r>
    </w:p>
    <w:bookmarkEnd w:id="34"/>
    <w:bookmarkStart w:id="35" w:name="track-firewall"/>
    <w:p>
      <w:pPr>
        <w:pStyle w:val="Heading2"/>
      </w:pPr>
      <w:r>
        <w:t xml:space="preserve">10. Track firewall</w:t>
      </w:r>
    </w:p>
    <w:p>
      <w:pPr>
        <w:pStyle w:val="FirstParagraph"/>
      </w:pPr>
      <w:r>
        <w:t xml:space="preserve">Nothing in this package changes the q0/P0.1 program. GP-DER-118 and</w:t>
      </w:r>
      <w:r>
        <w:t xml:space="preserve"> </w:t>
      </w:r>
      <w:r>
        <w:t xml:space="preserve">LS-CTL-003-v1.1 remain controlling there; PZ0/N1/E0/E2/D0/I0 and the</w:t>
      </w:r>
      <w:r>
        <w:t xml:space="preserve"> </w:t>
      </w:r>
      <w:r>
        <w:t xml:space="preserve">independence lanes remain open, LB-RATE remains measured-grade, and P0.1</w:t>
      </w:r>
      <w:r>
        <w:t xml:space="preserve"> </w:t>
      </w:r>
      <w:r>
        <w:t xml:space="preserve">remains HOLD. No q0 sealing, release, or cross-track promotion is authorized.</w:t>
      </w:r>
      <w:r>
        <w:t xml:space="preserve"> </w:t>
      </w:r>
      <w:r>
        <w:t xml:space="preserve">The blind</w:t>
      </w:r>
      <w:r>
        <w:t xml:space="preserve"> </w:t>
      </w:r>
      <m:oMath>
        <m:sSup>
          <m:e>
            <m:r>
              <m:t>d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48</m:t>
        </m:r>
      </m:oMath>
      <w:r>
        <w:t xml:space="preserve"> </w:t>
      </w:r>
      <w:r>
        <w:t xml:space="preserve">midpoint-reflection result remains frozen and untouched</w:t>
      </w:r>
      <w:r>
        <w:t xml:space="preserve"> </w:t>
      </w:r>
      <w:r>
        <w:t xml:space="preserve">pending the pre-registered Kimi Task-6 comparison.</w:t>
      </w:r>
    </w:p>
    <w:bookmarkEnd w:id="35"/>
    <w:bookmarkStart w:id="36" w:name="external-review-route"/>
    <w:p>
      <w:pPr>
        <w:pStyle w:val="Heading2"/>
      </w:pPr>
      <w:r>
        <w:t xml:space="preserve">11. External-review route</w:t>
      </w:r>
    </w:p>
    <w:p>
      <w:pPr>
        <w:pStyle w:val="FirstParagraph"/>
      </w:pPr>
      <w:r>
        <w:t xml:space="preserve">An external specialist can review the result in this order:</w:t>
      </w:r>
    </w:p>
    <w:p>
      <w:pPr>
        <w:numPr>
          <w:ilvl w:val="0"/>
          <w:numId w:val="1007"/>
        </w:numPr>
        <w:pStyle w:val="Compact"/>
      </w:pPr>
      <w:r>
        <w:t xml:space="preserve">verify the operator scope and status in AO48-OPR-045 and this package’s</w:t>
      </w:r>
      <w:r>
        <w:t xml:space="preserve"> </w:t>
      </w:r>
      <w:r>
        <w:t xml:space="preserve">separate freeze receipt (a file cannot contain its own whole-file hash);</w:t>
      </w:r>
    </w:p>
    <w:p>
      <w:pPr>
        <w:numPr>
          <w:ilvl w:val="0"/>
          <w:numId w:val="1007"/>
        </w:numPr>
        <w:pStyle w:val="Compact"/>
      </w:pPr>
      <w:r>
        <w:t xml:space="preserve">read G.7.1 and G.8 in the recovered 105,980-byte supplement;</w:t>
      </w:r>
    </w:p>
    <w:p>
      <w:pPr>
        <w:numPr>
          <w:ilvl w:val="0"/>
          <w:numId w:val="1007"/>
        </w:numPr>
        <w:pStyle w:val="Compact"/>
      </w:pPr>
      <w:r>
        <w:t xml:space="preserve">read the audited 35,310-byte V3.4 facewise input and the</w:t>
      </w:r>
      <w:r>
        <w:t xml:space="preserve"> </w:t>
      </w:r>
      <w:r>
        <w:t xml:space="preserve">12,145-byte three-Hessian envelope;</w:t>
      </w:r>
    </w:p>
    <w:p>
      <w:pPr>
        <w:numPr>
          <w:ilvl w:val="0"/>
          <w:numId w:val="1007"/>
        </w:numPr>
        <w:pStyle w:val="Compact"/>
      </w:pPr>
      <w:r>
        <w:t xml:space="preserve">inspect FACEWISE v1.1 only for the two authoring-conformance amendments,</w:t>
      </w:r>
      <w:r>
        <w:t xml:space="preserve"> </w:t>
      </w:r>
      <w:r>
        <w:t xml:space="preserve">using the provenance distinction in §5;</w:t>
      </w:r>
    </w:p>
    <w:p>
      <w:pPr>
        <w:numPr>
          <w:ilvl w:val="0"/>
          <w:numId w:val="1007"/>
        </w:numPr>
        <w:pStyle w:val="Compact"/>
      </w:pPr>
      <w:r>
        <w:t xml:space="preserve">audit the §6X withdrawal against the full V3.4 archive and the quartic</w:t>
      </w:r>
      <w:r>
        <w:t xml:space="preserve"> </w:t>
      </w:r>
      <w:r>
        <w:t xml:space="preserve">counterexample pair;</w:t>
      </w:r>
    </w:p>
    <w:p>
      <w:pPr>
        <w:numPr>
          <w:ilvl w:val="0"/>
          <w:numId w:val="1007"/>
        </w:numPr>
        <w:pStyle w:val="Compact"/>
      </w:pPr>
      <w:r>
        <w:t xml:space="preserve">replay the three diagnostic carriers and the endpoint counterexample under</w:t>
      </w:r>
      <w:r>
        <w:t xml:space="preserve"> </w:t>
      </w:r>
      <w:r>
        <w:t xml:space="preserve">the pinned environment;</w:t>
      </w:r>
    </w:p>
    <w:p>
      <w:pPr>
        <w:numPr>
          <w:ilvl w:val="0"/>
          <w:numId w:val="1007"/>
        </w:numPr>
        <w:pStyle w:val="Compact"/>
      </w:pPr>
      <w:r>
        <w:t xml:space="preserve">inspect AO48-AUD-043, AO48-AUD-044, and AO48-OPR-045; then append the</w:t>
      </w:r>
      <w:r>
        <w:t xml:space="preserve"> </w:t>
      </w:r>
      <w:r>
        <w:t xml:space="preserve">direct KIMI-AUD-006/006b carriers when supplied;</w:t>
      </w:r>
    </w:p>
    <w:p>
      <w:pPr>
        <w:numPr>
          <w:ilvl w:val="0"/>
          <w:numId w:val="1007"/>
        </w:numPr>
        <w:pStyle w:val="Compact"/>
      </w:pPr>
      <w:r>
        <w:t xml:space="preserve">keep the three carried dependencies in §7 visible when assessing the</w:t>
      </w:r>
      <w:r>
        <w:t xml:space="preserve"> </w:t>
      </w:r>
      <w:r>
        <w:t xml:space="preserve">theorem’s stated scope.</w:t>
      </w:r>
    </w:p>
    <w:p>
      <w:pPr>
        <w:pStyle w:val="FirstParagraph"/>
      </w:pPr>
      <w:r>
        <w:t xml:space="preserve">This is an export and routing surface. The frozen mathematical sources remain</w:t>
      </w:r>
      <w:r>
        <w:t xml:space="preserve"> </w:t>
      </w:r>
      <w:r>
        <w:t xml:space="preserve">the authoritative proof bodies.</w:t>
      </w:r>
    </w:p>
    <w:bookmarkEnd w:id="36"/>
    <w:bookmarkStart w:id="37" w:name="package-local-controllers"/>
    <w:p>
      <w:pPr>
        <w:pStyle w:val="Heading2"/>
      </w:pPr>
      <w:r>
        <w:t xml:space="preserve">12. Package-local controllers</w:t>
      </w:r>
    </w:p>
    <w:p>
      <w:pPr>
        <w:numPr>
          <w:ilvl w:val="0"/>
          <w:numId w:val="1008"/>
        </w:numPr>
        <w:pStyle w:val="Compact"/>
      </w:pPr>
      <w:r>
        <w:t xml:space="preserve">Raw post-ratification status fold: Drive</w:t>
      </w:r>
      <w:r>
        <w:t xml:space="preserve"> </w:t>
      </w:r>
      <w:r>
        <w:rPr>
          <w:rStyle w:val="VerbatimChar"/>
        </w:rPr>
        <w:t xml:space="preserve">1U8tFvVjqXjXO8Eih_SEUgy8AGBOJC_wp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ed688cb64d8ff5b6d8bb09d6d03df0668009ecbbff9bdc83e770a38a3cb86491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Native status mirror: Drive</w:t>
      </w:r>
      <w:r>
        <w:t xml:space="preserve"> </w:t>
      </w:r>
      <w:r>
        <w:rPr>
          <w:rStyle w:val="VerbatimChar"/>
        </w:rPr>
        <w:t xml:space="preserve">1my81FaIbVIuMhzyxg34kXuBPCGOwJah_1abJv4mJWwo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Diagnostic handoff: Drive</w:t>
      </w:r>
      <w:r>
        <w:t xml:space="preserve"> </w:t>
      </w:r>
      <w:r>
        <w:rPr>
          <w:rStyle w:val="VerbatimChar"/>
        </w:rPr>
        <w:t xml:space="preserve">1dolk9RcGWt7vRNopLmbfDXZi0yv8upjI</w:t>
      </w:r>
      <w:r>
        <w:t xml:space="preserve">,</w:t>
      </w:r>
      <w:r>
        <w:t xml:space="preserve"> </w:t>
      </w:r>
      <w:r>
        <w:t xml:space="preserve">SHA-256</w:t>
      </w:r>
      <w:r>
        <w:t xml:space="preserve"> </w:t>
      </w:r>
      <w:r>
        <w:rPr>
          <w:rStyle w:val="VerbatimChar"/>
        </w:rPr>
        <w:t xml:space="preserve">6aef6bd213876245e74040700370c8dc632fab9efef9296143739a8b55c0984e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Raw closure register R2.8: Drive</w:t>
      </w:r>
      <w:r>
        <w:t xml:space="preserve"> </w:t>
      </w:r>
      <w:r>
        <w:rPr>
          <w:rStyle w:val="VerbatimChar"/>
        </w:rPr>
        <w:t xml:space="preserve">1isOnrX0VG9QeLOTAIrinArHPyzZZu2Sa</w:t>
      </w:r>
      <w:r>
        <w:t xml:space="preserve">, SHA-256</w:t>
      </w:r>
      <w:r>
        <w:t xml:space="preserve"> </w:t>
      </w:r>
      <w:r>
        <w:rPr>
          <w:rStyle w:val="VerbatimChar"/>
        </w:rPr>
        <w:t xml:space="preserve">fbfa7f8f095a82e9a8a0c62401d73dd6101252db93411149a788ac6b4751e43f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Native closure register R2.8: Drive</w:t>
      </w:r>
      <w:r>
        <w:t xml:space="preserve"> </w:t>
      </w:r>
      <w:r>
        <w:rPr>
          <w:rStyle w:val="VerbatimChar"/>
        </w:rPr>
        <w:t xml:space="preserve">1Yjre5iYWJDHgxask_cuZoEFX4hXn9uCJUnVFc478K9A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Coupled research registers: Drive</w:t>
      </w:r>
      <w:r>
        <w:t xml:space="preserve"> </w:t>
      </w:r>
      <w:r>
        <w:rPr>
          <w:rStyle w:val="VerbatimChar"/>
        </w:rPr>
        <w:t xml:space="preserve">1O6x8ivmaVUxYqKmCOXmToIHpMXqDI362ibqBl8HY8no</w:t>
      </w:r>
      <w:r>
        <w:t xml:space="preserve">; SIDE24 append rows are</w:t>
      </w:r>
      <w:r>
        <w:t xml:space="preserve"> </w:t>
      </w:r>
      <w:r>
        <w:t xml:space="preserve">recorded without changing any q0 row.</w:t>
      </w:r>
    </w:p>
    <w:p>
      <w:pPr>
        <w:pStyle w:val="FirstParagraph"/>
      </w:pPr>
      <w:r>
        <w:rPr>
          <w:bCs/>
          <w:b/>
        </w:rPr>
        <w:t xml:space="preserve">End of SIDE24 THEOREM PACKAGE v1.0.</w:t>
      </w:r>
    </w:p>
    <w:bookmarkEnd w:id="37"/>
    <w:bookmarkEnd w:id="38"/>
    <w:sectPr>
      <w:headerReference r:id="rId9" w:type="default"/>
      <w:footerReference r:id="rId10" w:type="default"/>
      <w:pgSz w:h="15840" w:w="12240"/>
      <w:pgMar w:bottom="1440" w:footer="708" w:header="708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Arial" w:eastAsia="Arial" w:hAnsi="Arial"/>
      <w:color w:val="000000"/>
      <w:sz w:val="22"/>
    </w:rPr>
  </w:style>
  <w:style w:styleId="BodyText" w:type="paragraph">
    <w:name w:val="Body Text"/>
    <w:basedOn w:val="Normal"/>
    <w:link w:val="BodyTextChar"/>
    <w:pPr>
      <w:spacing w:after="160" w:before="0" w:line="276" w:lineRule="auto"/>
    </w:pPr>
    <w:qFormat/>
    <w:rPr>
      <w:rFonts w:ascii="Arial" w:eastAsia="Arial" w:hAnsi="Arial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76" w:lineRule="auto"/>
    </w:pPr>
    <w:rPr>
      <w:rFonts w:ascii="Arial" w:eastAsia="Arial" w:hAnsi="Arial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 w:line="276" w:lineRule="auto"/>
    </w:pPr>
    <w:rPr>
      <w:rFonts w:ascii="Arial" w:eastAsia="Arial" w:hAnsi="Arial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0" w:line="276" w:lineRule="auto"/>
      <w:ind w:firstLine="0" w:left="432" w:right="216"/>
    </w:pPr>
    <w:rPr>
      <w:rFonts w:ascii="Arial" w:eastAsia="Arial" w:hAnsi="Arial"/>
      <w:color w:val="555555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eastAsia="Arial" w:hAnsi="Arial"/>
      <w:b w:val="0"/>
      <w:color w:val="00000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Arial" w:eastAsia="Arial" w:hAnsi="Arial"/>
      <w:b w:val="0"/>
      <w:color w:val="000000"/>
      <w:sz w:val="18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SIDE24 THEOREM PACKAGE v1.0</dc:title>
  <dc:creator>Dylan Roy / OpenAI GP integration line</dc:creator>
  <cp:keywords/>
  <dcterms:created xsi:type="dcterms:W3CDTF">2026-08-02T16:29:56Z</dcterms:created>
  <dcterms:modified xsi:type="dcterms:W3CDTF">2026-08-02T16:29:56Z</dcterms:modified>
  <dc:subject>Ratified-at-stated-scope theorem export and proof-chain map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