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ERC Consolidator Grant 2018</w:t>
      </w: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Research proposal [Part B1]</w:t>
      </w: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(Part B1 is evaluated both in Step 1 and Step 2,</w:t>
      </w: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Part B2 is evaluated in Step 2 only)</w:t>
      </w: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rtl w:val="0"/>
        </w:rPr>
      </w:pPr>
    </w:p>
    <w:p>
      <w:pPr>
        <w:pStyle w:val="Body"/>
        <w:spacing w:line="288" w:lineRule="auto"/>
        <w:jc w:val="center"/>
        <w:rPr>
          <w:rStyle w:val="Emphasis"/>
          <w:rFonts w:ascii="Georgia" w:cs="Georgia" w:hAnsi="Georgia" w:eastAsia="Georgia"/>
          <w:b w:val="1"/>
          <w:bCs w:val="1"/>
          <w:i w:val="0"/>
          <w:iCs w:val="0"/>
          <w:sz w:val="30"/>
          <w:szCs w:val="30"/>
        </w:rPr>
      </w:pPr>
      <w:r>
        <w:rPr>
          <w:rStyle w:val="Emphasis"/>
          <w:rFonts w:ascii="Georgia" w:cs="Arial Unicode MS" w:hAnsi="Georgia" w:eastAsia="Arial Unicode MS"/>
          <w:b w:val="1"/>
          <w:bCs w:val="1"/>
          <w:i w:val="0"/>
          <w:iCs w:val="0"/>
          <w:sz w:val="30"/>
          <w:szCs w:val="30"/>
          <w:rtl w:val="0"/>
          <w:lang w:val="es-ES_tradnl"/>
        </w:rPr>
        <w:t xml:space="preserve">Quasars </w:t>
      </w:r>
      <w:r>
        <w:rPr>
          <w:rStyle w:val="Emphasis"/>
          <w:rFonts w:ascii="Georgia" w:cs="Arial Unicode MS" w:hAnsi="Georgia" w:eastAsia="Arial Unicode MS"/>
          <w:b w:val="1"/>
          <w:bCs w:val="1"/>
          <w:i w:val="0"/>
          <w:iCs w:val="0"/>
          <w:sz w:val="30"/>
          <w:szCs w:val="30"/>
          <w:rtl w:val="0"/>
          <w:lang w:val="en-US"/>
        </w:rPr>
        <w:t>in the 4th Dimension</w:t>
      </w:r>
    </w:p>
    <w:p>
      <w:pPr>
        <w:pStyle w:val="Body"/>
        <w:spacing w:line="288" w:lineRule="auto"/>
        <w:jc w:val="center"/>
        <w:rPr>
          <w:rStyle w:val="Emphasis"/>
          <w:rFonts w:ascii="Georgia" w:cs="Georgia" w:hAnsi="Georgia" w:eastAsia="Georgia"/>
          <w:b w:val="1"/>
          <w:bCs w:val="1"/>
          <w:i w:val="0"/>
          <w:iCs w:val="0"/>
          <w:sz w:val="30"/>
          <w:szCs w:val="30"/>
        </w:rPr>
      </w:pPr>
    </w:p>
    <w:p>
      <w:pPr>
        <w:pStyle w:val="Body"/>
        <w:spacing w:line="288" w:lineRule="auto"/>
        <w:jc w:val="center"/>
        <w:rPr>
          <w:rStyle w:val="Emphasis"/>
          <w:rFonts w:ascii="Georgia" w:cs="Georgia" w:hAnsi="Georgia" w:eastAsia="Georgia"/>
          <w:b w:val="1"/>
          <w:bCs w:val="1"/>
          <w:i w:val="0"/>
          <w:iCs w:val="0"/>
          <w:sz w:val="30"/>
          <w:szCs w:val="30"/>
        </w:rPr>
      </w:pPr>
      <w:r>
        <w:rPr>
          <w:rStyle w:val="Emphasis"/>
          <w:rFonts w:ascii="Georgia" w:cs="Arial Unicode MS" w:hAnsi="Georgia" w:eastAsia="Arial Unicode MS"/>
          <w:b w:val="1"/>
          <w:bCs w:val="1"/>
          <w:i w:val="0"/>
          <w:iCs w:val="0"/>
          <w:sz w:val="30"/>
          <w:szCs w:val="30"/>
          <w:rtl w:val="0"/>
          <w:lang w:val="en-US"/>
        </w:rPr>
        <w:t>Q4D</w:t>
      </w:r>
    </w:p>
    <w:p>
      <w:pPr>
        <w:pStyle w:val="Body"/>
        <w:spacing w:line="288" w:lineRule="auto"/>
        <w:jc w:val="center"/>
        <w:rPr>
          <w:rFonts w:ascii="Georgia" w:cs="Georgia" w:hAnsi="Georgia" w:eastAsia="Georgia"/>
          <w:b w:val="1"/>
          <w:bCs w:val="1"/>
          <w:sz w:val="30"/>
          <w:szCs w:val="30"/>
        </w:rPr>
      </w:pPr>
    </w:p>
    <w:p>
      <w:pPr>
        <w:pStyle w:val="Default"/>
        <w:bidi w:val="0"/>
        <w:spacing w:line="288" w:lineRule="auto"/>
        <w:ind w:left="0" w:right="0" w:firstLine="0"/>
        <w:jc w:val="both"/>
        <w:rPr>
          <w:rFonts w:ascii="Georgia" w:cs="Georgia" w:hAnsi="Georgia" w:eastAsia="Georgia"/>
          <w:b w:val="1"/>
          <w:bCs w:val="1"/>
          <w:sz w:val="26"/>
          <w:szCs w:val="26"/>
          <w:rtl w:val="0"/>
        </w:rPr>
      </w:pPr>
    </w:p>
    <w:p>
      <w:pPr>
        <w:pStyle w:val="Body"/>
        <w:spacing w:line="288" w:lineRule="auto"/>
        <w:jc w:val="left"/>
        <w:rPr>
          <w:rFonts w:ascii="Georgia" w:cs="Georgia" w:hAnsi="Georgia" w:eastAsia="Georgia"/>
          <w:b w:val="1"/>
          <w:bCs w:val="1"/>
          <w:sz w:val="26"/>
          <w:szCs w:val="26"/>
        </w:rPr>
      </w:pP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>Principle Investigator:</w:t>
      </w: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Georgia" w:hAnsi="Georgia"/>
          <w:b w:val="0"/>
          <w:bCs w:val="0"/>
          <w:sz w:val="26"/>
          <w:szCs w:val="26"/>
          <w:rtl w:val="0"/>
          <w:lang w:val="en-US"/>
        </w:rPr>
        <w:t>Nicholas P. Ross</w:t>
      </w:r>
    </w:p>
    <w:p>
      <w:pPr>
        <w:pStyle w:val="Body"/>
        <w:spacing w:line="288" w:lineRule="auto"/>
        <w:jc w:val="left"/>
        <w:rPr>
          <w:rFonts w:ascii="Georgia" w:cs="Georgia" w:hAnsi="Georgia" w:eastAsia="Georgia"/>
          <w:b w:val="0"/>
          <w:bCs w:val="0"/>
          <w:sz w:val="26"/>
          <w:szCs w:val="26"/>
        </w:rPr>
      </w:pP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>Host Institution:</w:t>
      </w: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Georgia" w:hAnsi="Georgia"/>
          <w:b w:val="0"/>
          <w:bCs w:val="0"/>
          <w:sz w:val="26"/>
          <w:szCs w:val="26"/>
          <w:rtl w:val="0"/>
          <w:lang w:val="en-US"/>
        </w:rPr>
        <w:t xml:space="preserve">University of Edinburgh </w:t>
      </w:r>
    </w:p>
    <w:p>
      <w:pPr>
        <w:pStyle w:val="Body"/>
        <w:spacing w:line="288" w:lineRule="auto"/>
        <w:jc w:val="left"/>
        <w:rPr>
          <w:rFonts w:ascii="Georgia" w:cs="Georgia" w:hAnsi="Georgia" w:eastAsia="Georgia"/>
          <w:b w:val="0"/>
          <w:bCs w:val="0"/>
          <w:sz w:val="26"/>
          <w:szCs w:val="26"/>
        </w:rPr>
      </w:pP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>Duration:</w:t>
      </w:r>
      <w:r>
        <w:rPr>
          <w:rFonts w:ascii="Georgia" w:hAnsi="Georgia"/>
          <w:b w:val="0"/>
          <w:bCs w:val="0"/>
          <w:sz w:val="26"/>
          <w:szCs w:val="26"/>
          <w:rtl w:val="0"/>
          <w:lang w:val="en-US"/>
        </w:rPr>
        <w:t xml:space="preserve"> 60 months</w:t>
      </w:r>
    </w:p>
    <w:p>
      <w:pPr>
        <w:pStyle w:val="Body"/>
        <w:spacing w:line="288" w:lineRule="auto"/>
        <w:jc w:val="left"/>
        <w:rPr>
          <w:rFonts w:ascii="Georgia" w:cs="Georgia" w:hAnsi="Georgia" w:eastAsia="Georgia"/>
        </w:rPr>
      </w:pPr>
    </w:p>
    <w:p>
      <w:pPr>
        <w:pStyle w:val="Body"/>
        <w:spacing w:line="288" w:lineRule="auto"/>
        <w:jc w:val="left"/>
        <w:rPr>
          <w:rFonts w:ascii="Georgia" w:cs="Georgia" w:hAnsi="Georgia" w:eastAsia="Georgia"/>
        </w:rPr>
      </w:pPr>
    </w:p>
    <w:p>
      <w:pPr>
        <w:pStyle w:val="Body"/>
        <w:spacing w:line="26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Along with </w:t>
      </w:r>
      <w:r>
        <w:rPr>
          <w:rFonts w:ascii="Times New Roman" w:hAnsi="Times New Roman"/>
          <w:rtl w:val="0"/>
          <w:lang w:val="en-US"/>
        </w:rPr>
        <w:t xml:space="preserve">nuclear </w:t>
      </w:r>
      <w:r>
        <w:rPr>
          <w:rFonts w:ascii="Times New Roman" w:hAnsi="Times New Roman"/>
          <w:rtl w:val="0"/>
          <w:lang w:val="en-US"/>
        </w:rPr>
        <w:t xml:space="preserve">fusion in stars, accretion onto 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 xml:space="preserve"> central supermassive black hole is the main energy source available to a galaxy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>All massive galaxies are thought to have supermassive black holes at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their centres, and to have undergone a</w:t>
      </w:r>
      <w:r>
        <w:rPr>
          <w:rFonts w:ascii="Times New Roman" w:hAnsi="Times New Roman" w:hint="default"/>
          <w:rtl w:val="0"/>
          <w:lang w:val="en-US"/>
        </w:rPr>
        <w:t xml:space="preserve"> “</w:t>
      </w:r>
      <w:r>
        <w:rPr>
          <w:rFonts w:ascii="Times New Roman" w:hAnsi="Times New Roman"/>
          <w:rtl w:val="0"/>
          <w:lang w:val="fr-FR"/>
        </w:rPr>
        <w:t>quasar phase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</w:rPr>
        <w:t>in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their pas</w:t>
      </w:r>
      <w:r>
        <w:rPr>
          <w:rFonts w:ascii="Times New Roman" w:hAnsi="Times New Roman"/>
          <w:rtl w:val="0"/>
          <w:lang w:val="en-US"/>
        </w:rPr>
        <w:t xml:space="preserve">t, which has led to the hypothesis that energy from the quasar feeds back into the galaxy, becoming a regulating mechanism and shutting down star formation. However, while the </w:t>
      </w:r>
      <w:r>
        <w:rPr>
          <w:rFonts w:ascii="Times New Roman" w:hAnsi="Times New Roman"/>
          <w:rtl w:val="0"/>
          <w:lang w:val="fr-FR"/>
        </w:rPr>
        <w:t xml:space="preserve">fusion processes </w:t>
      </w:r>
      <w:r>
        <w:rPr>
          <w:rFonts w:ascii="Times New Roman" w:hAnsi="Times New Roman"/>
          <w:rtl w:val="0"/>
          <w:lang w:val="en-US"/>
        </w:rPr>
        <w:t xml:space="preserve">in stars have been on a solid theoretical footing for over 70 years, current theories of galaxy formation and evolution are still missing a </w:t>
      </w:r>
      <w:r>
        <w:rPr>
          <w:rFonts w:ascii="Times New Roman" w:hAnsi="Times New Roman"/>
          <w:rtl w:val="0"/>
          <w:lang w:val="en-US"/>
        </w:rPr>
        <w:t>deep understanding o</w:t>
      </w:r>
      <w:r>
        <w:rPr>
          <w:rFonts w:ascii="Times New Roman" w:hAnsi="Times New Roman"/>
          <w:rtl w:val="0"/>
          <w:lang w:val="en-US"/>
        </w:rPr>
        <w:t xml:space="preserve">f how the </w:t>
      </w:r>
      <w:r>
        <w:rPr>
          <w:rFonts w:ascii="Times New Roman" w:hAnsi="Times New Roman"/>
          <w:rtl w:val="0"/>
          <w:lang w:val="en-US"/>
        </w:rPr>
        <w:t>energy associated with the supermassive black hole escapes the central engine to impact the host galaxy and the intergalactic medium.</w:t>
      </w:r>
    </w:p>
    <w:p>
      <w:pPr>
        <w:pStyle w:val="Body"/>
        <w:spacing w:line="264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line="26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Further issues arise since </w:t>
      </w:r>
      <w:r>
        <w:rPr>
          <w:rFonts w:ascii="Times New Roman" w:hAnsi="Times New Roman"/>
          <w:rtl w:val="0"/>
          <w:lang w:val="en-US"/>
        </w:rPr>
        <w:t xml:space="preserve">very </w:t>
      </w:r>
      <w:r>
        <w:rPr>
          <w:rFonts w:ascii="Times New Roman" w:hAnsi="Times New Roman"/>
          <w:rtl w:val="0"/>
          <w:lang w:val="en-US"/>
        </w:rPr>
        <w:t>recent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observations of extreme variability in quasars</w:t>
      </w:r>
      <w:r>
        <w:rPr>
          <w:rFonts w:ascii="Times New Roman" w:hAnsi="Times New Roman"/>
          <w:rtl w:val="0"/>
          <w:lang w:val="en-US"/>
        </w:rPr>
        <w:t xml:space="preserve">, where </w:t>
      </w:r>
      <w:r>
        <w:rPr>
          <w:rFonts w:ascii="Times New Roman" w:hAnsi="Times New Roman"/>
          <w:rtl w:val="0"/>
          <w:lang w:val="en-US"/>
        </w:rPr>
        <w:t>some</w:t>
      </w:r>
      <w:r>
        <w:rPr>
          <w:rFonts w:ascii="Times New Roman" w:hAnsi="Times New Roman"/>
          <w:spacing w:val="0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objects</w:t>
      </w:r>
      <w:r>
        <w:rPr>
          <w:rFonts w:ascii="Times New Roman" w:hAnsi="Times New Roman"/>
          <w:spacing w:val="0"/>
          <w:rtl w:val="0"/>
        </w:rPr>
        <w:t xml:space="preserve"> </w:t>
      </w:r>
      <w:r>
        <w:rPr>
          <w:rFonts w:ascii="Times New Roman" w:hAnsi="Times New Roman"/>
          <w:spacing w:val="0"/>
          <w:rtl w:val="0"/>
          <w:lang w:val="en-US"/>
        </w:rPr>
        <w:t xml:space="preserve">show changes in luminosity and activity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o</w:t>
      </w:r>
      <w:r>
        <w:rPr>
          <w:rFonts w:ascii="Times New Roman" w:hAnsi="Times New Roman"/>
          <w:i w:val="1"/>
          <w:iCs w:val="1"/>
          <w:rtl w:val="0"/>
        </w:rPr>
        <w:t>ver</w:t>
      </w:r>
      <w:r>
        <w:rPr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the course of weeks to years,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have broken standard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viscous accretion disk models.</w:t>
      </w:r>
    </w:p>
    <w:p>
      <w:pPr>
        <w:pStyle w:val="Body"/>
        <w:spacing w:line="264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spacing w:line="264" w:lineRule="auto"/>
        <w:jc w:val="both"/>
      </w:pPr>
      <w:r>
        <w:rPr>
          <w:rFonts w:ascii="Times New Roman" w:hAnsi="Times New Roman"/>
          <w:rtl w:val="0"/>
          <w:lang w:val="en-US"/>
        </w:rPr>
        <w:t xml:space="preserve">Here </w:t>
      </w:r>
      <w:r>
        <w:rPr>
          <w:rFonts w:ascii="Times New Roman" w:hAnsi="Times New Roman"/>
          <w:rtl w:val="0"/>
          <w:lang w:val="en-US"/>
        </w:rPr>
        <w:t xml:space="preserve">we propose </w:t>
      </w:r>
      <w:r>
        <w:rPr>
          <w:rFonts w:ascii="Times New Roman" w:hAnsi="Times New Roman"/>
          <w:rtl w:val="0"/>
          <w:lang w:val="en-US"/>
        </w:rPr>
        <w:t xml:space="preserve">to use and combine </w:t>
      </w:r>
      <w:r>
        <w:rPr>
          <w:rFonts w:ascii="Times New Roman" w:hAnsi="Times New Roman"/>
          <w:rtl w:val="0"/>
          <w:lang w:val="en-US"/>
        </w:rPr>
        <w:t>the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data from several next-generation state-of-the art surveys (SDSS-V,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 xml:space="preserve">DESI, LSST, 4MOST, ESA </w:t>
      </w:r>
      <w:r>
        <w:rPr>
          <w:rFonts w:ascii="Times New Roman" w:hAnsi="Times New Roman"/>
          <w:i w:val="1"/>
          <w:iCs w:val="1"/>
          <w:rtl w:val="0"/>
          <w:lang w:val="fr-FR"/>
        </w:rPr>
        <w:t>Euclid</w:t>
      </w:r>
      <w:r>
        <w:rPr>
          <w:rFonts w:ascii="Times New Roman" w:hAnsi="Times New Roman"/>
          <w:rtl w:val="0"/>
          <w:lang w:val="en-US"/>
        </w:rPr>
        <w:t xml:space="preserve"> and JWST) in order to go beyond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 state-of-the-art and construct the extragalactic dataset with the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crucial time-domain aspect that is necessary to address these current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challenges. Our goal is to create </w:t>
      </w:r>
      <w:r>
        <w:rPr>
          <w:rFonts w:ascii="Times New Roman" w:hAnsi="Times New Roman"/>
          <w:rtl w:val="0"/>
          <w:lang w:val="en-US"/>
        </w:rPr>
        <w:t>and exploit a revolutionary new extragalactic dataset of the variable ext</w:t>
      </w:r>
      <w:r>
        <w:rPr>
          <w:rFonts w:ascii="Times New Roman" w:hAnsi="Times New Roman"/>
          <w:rtl w:val="0"/>
        </w:rPr>
        <w:t xml:space="preserve">ragalactic </w:t>
      </w:r>
      <w:r>
        <w:rPr>
          <w:rFonts w:ascii="Times New Roman" w:hAnsi="Times New Roman"/>
          <w:rtl w:val="0"/>
          <w:lang w:val="en-US"/>
        </w:rPr>
        <w:t xml:space="preserve">Universe. We will use this as the boundary conditions for a </w:t>
      </w:r>
      <w:r>
        <w:rPr>
          <w:rFonts w:ascii="Times New Roman" w:hAnsi="Times New Roman"/>
          <w:rtl w:val="0"/>
          <w:lang w:val="en-US"/>
        </w:rPr>
        <w:t>holistic theory of accretion disk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physics and quasar feedback in galaxy formation theory. </w:t>
      </w:r>
      <w:r>
        <w:rPr>
          <w:rFonts w:ascii="Times New Roman" w:hAnsi="Times New Roman"/>
          <w:rtl w:val="0"/>
          <w:lang w:val="en-US"/>
        </w:rPr>
        <w:t>I am</w:t>
      </w:r>
      <w:r>
        <w:rPr>
          <w:rFonts w:ascii="Times New Roman" w:hAnsi="Times New Roman"/>
          <w:rtl w:val="0"/>
          <w:lang w:val="en-US"/>
        </w:rPr>
        <w:t xml:space="preserve"> also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extremely well placed to discover brand new extragalactic </w:t>
      </w:r>
      <w:r>
        <w:rPr>
          <w:rFonts w:ascii="Times New Roman" w:hAnsi="Times New Roman"/>
          <w:rtl w:val="0"/>
          <w:lang w:val="en-US"/>
        </w:rPr>
        <w:t xml:space="preserve">variable </w:t>
      </w:r>
      <w:r>
        <w:rPr>
          <w:rFonts w:ascii="Times New Roman" w:hAnsi="Times New Roman"/>
          <w:rtl w:val="0"/>
          <w:lang w:val="it-IT"/>
        </w:rPr>
        <w:t>phenomena.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The experience of the PI, along with the strategic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nl-NL"/>
        </w:rPr>
        <w:t>data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centre aspect of the Royal Observatory at the University of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Edinburgh makes </w:t>
      </w:r>
      <w:r>
        <w:rPr>
          <w:rFonts w:ascii="Times New Roman" w:hAnsi="Times New Roman"/>
          <w:rtl w:val="0"/>
          <w:lang w:val="en-US"/>
        </w:rPr>
        <w:t>my</w:t>
      </w:r>
      <w:r>
        <w:rPr>
          <w:rFonts w:ascii="Times New Roman" w:hAnsi="Times New Roman"/>
          <w:rtl w:val="0"/>
          <w:lang w:val="fr-FR"/>
        </w:rPr>
        <w:t xml:space="preserve"> group uniquely </w:t>
      </w:r>
      <w:r>
        <w:rPr>
          <w:rFonts w:ascii="Times New Roman" w:hAnsi="Times New Roman"/>
          <w:rtl w:val="0"/>
          <w:lang w:val="en-US"/>
        </w:rPr>
        <w:t>positioned</w:t>
      </w:r>
      <w:r>
        <w:rPr>
          <w:rFonts w:ascii="Times New Roman" w:hAnsi="Times New Roman"/>
          <w:rtl w:val="0"/>
          <w:lang w:val="en-US"/>
        </w:rPr>
        <w:t xml:space="preserve"> to answer this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s-ES_tradnl"/>
        </w:rPr>
        <w:t>challenge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rtl w:val="0"/>
          <w:lang w:val="es-ES_tradnl"/>
        </w:rPr>
        <w:t xml:space="preserve"> and </w:t>
      </w:r>
      <w:r>
        <w:rPr>
          <w:rFonts w:ascii="Times New Roman" w:hAnsi="Times New Roman"/>
          <w:rtl w:val="0"/>
          <w:lang w:val="en-US"/>
        </w:rPr>
        <w:t>provide</w:t>
      </w:r>
      <w:r>
        <w:rPr>
          <w:rFonts w:ascii="Times New Roman" w:hAnsi="Times New Roman"/>
          <w:rtl w:val="0"/>
          <w:lang w:val="es-ES_tradnl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s-ES_tradnl"/>
        </w:rPr>
        <w:t xml:space="preserve">fundamental </w:t>
      </w:r>
      <w:r>
        <w:rPr>
          <w:rFonts w:ascii="Times New Roman" w:hAnsi="Times New Roman"/>
          <w:rtl w:val="0"/>
          <w:lang w:val="en-US"/>
        </w:rPr>
        <w:t>new understanding of quasars and ga</w:t>
      </w:r>
      <w:r>
        <w:rPr>
          <w:rFonts w:ascii="Times New Roman" w:hAnsi="Times New Roman"/>
          <w:rtl w:val="0"/>
          <w:lang w:val="es-ES_tradnl"/>
        </w:rPr>
        <w:t xml:space="preserve">laxy formation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rtl w:val="0"/>
          <w:lang w:val="es-ES_tradnl"/>
        </w:rPr>
        <w:t xml:space="preserve"> evolution.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Emphasis">
    <w:name w:val="Emphasis"/>
    <w:rPr>
      <w:b w:val="1"/>
      <w:bCs w:val="1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