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/>
      </w:pPr>
      <w:bookmarkStart w:colFirst="0" w:colLast="0" w:name="_fsxo4c6e6e1r" w:id="0"/>
      <w:bookmarkEnd w:id="0"/>
      <w:r w:rsidDel="00000000" w:rsidR="00000000" w:rsidRPr="00000000">
        <w:rPr>
          <w:rtl w:val="0"/>
        </w:rPr>
        <w:t xml:space="preserve">ETM555</w:t>
      </w:r>
    </w:p>
    <w:p w:rsidR="00000000" w:rsidDel="00000000" w:rsidP="00000000" w:rsidRDefault="00000000" w:rsidRPr="00000000" w14:paraId="00000002">
      <w:pPr>
        <w:pStyle w:val="Title"/>
        <w:ind w:left="720" w:firstLine="0"/>
        <w:jc w:val="center"/>
        <w:rPr/>
      </w:pPr>
      <w:bookmarkStart w:colFirst="0" w:colLast="0" w:name="_fsxo4c6e6e1r" w:id="0"/>
      <w:bookmarkEnd w:id="0"/>
      <w:r w:rsidDel="00000000" w:rsidR="00000000" w:rsidRPr="00000000">
        <w:rPr>
          <w:rtl w:val="0"/>
        </w:rPr>
        <w:t xml:space="preserve">DESIGN of INFORMATION</w:t>
      </w:r>
    </w:p>
    <w:p w:rsidR="00000000" w:rsidDel="00000000" w:rsidP="00000000" w:rsidRDefault="00000000" w:rsidRPr="00000000" w14:paraId="00000003">
      <w:pPr>
        <w:pStyle w:val="Title"/>
        <w:ind w:left="720" w:firstLine="0"/>
        <w:jc w:val="center"/>
        <w:rPr/>
      </w:pPr>
      <w:bookmarkStart w:colFirst="0" w:colLast="0" w:name="_fsxo4c6e6e1r" w:id="0"/>
      <w:bookmarkEnd w:id="0"/>
      <w:r w:rsidDel="00000000" w:rsidR="00000000" w:rsidRPr="00000000">
        <w:rPr>
          <w:rtl w:val="0"/>
        </w:rPr>
        <w:t xml:space="preserve">SYSTEMS</w:t>
      </w:r>
    </w:p>
    <w:p w:rsidR="00000000" w:rsidDel="00000000" w:rsidP="00000000" w:rsidRDefault="00000000" w:rsidRPr="00000000" w14:paraId="00000004">
      <w:pPr>
        <w:pStyle w:val="Title"/>
        <w:ind w:left="720" w:firstLine="0"/>
        <w:jc w:val="center"/>
        <w:rPr/>
      </w:pPr>
      <w:bookmarkStart w:colFirst="0" w:colLast="0" w:name="_fsxo4c6e6e1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720" w:firstLine="0"/>
        <w:jc w:val="center"/>
        <w:rPr/>
      </w:pPr>
      <w:bookmarkStart w:colFirst="0" w:colLast="0" w:name="_fsxo4c6e6e1r" w:id="0"/>
      <w:bookmarkEnd w:id="0"/>
      <w:r w:rsidDel="00000000" w:rsidR="00000000" w:rsidRPr="00000000">
        <w:rPr>
          <w:rtl w:val="0"/>
        </w:rPr>
        <w:t xml:space="preserve"> ERC721 Token Based </w:t>
      </w:r>
    </w:p>
    <w:p w:rsidR="00000000" w:rsidDel="00000000" w:rsidP="00000000" w:rsidRDefault="00000000" w:rsidRPr="00000000" w14:paraId="00000006">
      <w:pPr>
        <w:pStyle w:val="Title"/>
        <w:ind w:left="720" w:firstLine="0"/>
        <w:jc w:val="center"/>
        <w:rPr/>
      </w:pPr>
      <w:bookmarkStart w:colFirst="0" w:colLast="0" w:name="_fsxo4c6e6e1r" w:id="0"/>
      <w:bookmarkEnd w:id="0"/>
      <w:r w:rsidDel="00000000" w:rsidR="00000000" w:rsidRPr="00000000">
        <w:rPr>
          <w:rtl w:val="0"/>
        </w:rPr>
        <w:t xml:space="preserve">Supply Chain Traceability</w:t>
        <w:tab/>
      </w:r>
    </w:p>
    <w:p w:rsidR="00000000" w:rsidDel="00000000" w:rsidP="00000000" w:rsidRDefault="00000000" w:rsidRPr="00000000" w14:paraId="00000007">
      <w:pPr>
        <w:pStyle w:val="Title"/>
        <w:ind w:left="720" w:firstLine="0"/>
        <w:jc w:val="center"/>
        <w:rPr/>
      </w:pPr>
      <w:bookmarkStart w:colFirst="0" w:colLast="0" w:name="_fsxo4c6e6e1r" w:id="0"/>
      <w:bookmarkEnd w:id="0"/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Instructor: Can Ozturan</w:t>
      </w:r>
    </w:p>
    <w:p w:rsidR="00000000" w:rsidDel="00000000" w:rsidP="00000000" w:rsidRDefault="00000000" w:rsidRPr="00000000" w14:paraId="0000000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Fall 2020/2021</w:t>
      </w:r>
    </w:p>
    <w:p w:rsidR="00000000" w:rsidDel="00000000" w:rsidP="00000000" w:rsidRDefault="00000000" w:rsidRPr="00000000" w14:paraId="0000000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Sevgican VAROL</w:t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Gorkem ATES</w:t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Deniz MEMIS</w:t>
      </w:r>
    </w:p>
    <w:p w:rsidR="00000000" w:rsidDel="00000000" w:rsidP="00000000" w:rsidRDefault="00000000" w:rsidRPr="00000000" w14:paraId="0000001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463" cy="581323"/>
              <wp:effectExtent b="0" l="0" r="0" t="0"/>
              <wp:docPr id="1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463" cy="58132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/>
        <w:drawing>
          <wp:inline distB="114300" distT="114300" distL="114300" distR="114300">
            <wp:extent cx="566738" cy="57668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57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720" w:firstLine="0"/>
        <w:rPr/>
      </w:pPr>
      <w:bookmarkStart w:colFirst="0" w:colLast="0" w:name="_bocdl2mdbhi3" w:id="1"/>
      <w:bookmarkEnd w:id="1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truffle develop console we have the following three entities: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Owner </w:t>
      </w:r>
      <w:r w:rsidDel="00000000" w:rsidR="00000000" w:rsidRPr="00000000">
        <w:rPr>
          <w:rtl w:val="0"/>
        </w:rPr>
        <w:t xml:space="preserve">(contract deployer)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Consumer1 </w:t>
      </w:r>
      <w:r w:rsidDel="00000000" w:rsidR="00000000" w:rsidRPr="00000000">
        <w:rPr>
          <w:rtl w:val="0"/>
        </w:rPr>
        <w:t xml:space="preserve">(simulating a consumer/intermediary)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Consumer2 </w:t>
      </w:r>
      <w:r w:rsidDel="00000000" w:rsidR="00000000" w:rsidRPr="00000000">
        <w:rPr>
          <w:rtl w:val="0"/>
        </w:rPr>
        <w:t xml:space="preserve">(simulating another consumer/intermediary)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2450" cy="14573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2f0zf6xchtrw" w:id="2"/>
      <w:bookmarkEnd w:id="2"/>
      <w:r w:rsidDel="00000000" w:rsidR="00000000" w:rsidRPr="00000000">
        <w:rPr>
          <w:rtl w:val="0"/>
        </w:rPr>
        <w:t xml:space="preserve">StateVerification Contract Interactions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StateVerification </w:t>
      </w:r>
      <w:r w:rsidDel="00000000" w:rsidR="00000000" w:rsidRPr="00000000">
        <w:rPr>
          <w:rtl w:val="0"/>
        </w:rPr>
        <w:t xml:space="preserve">contract is deployed and interacted as </w:t>
      </w:r>
      <w:r w:rsidDel="00000000" w:rsidR="00000000" w:rsidRPr="00000000">
        <w:rPr>
          <w:b w:val="1"/>
          <w:rtl w:val="0"/>
        </w:rPr>
        <w:t xml:space="preserve">‘stateAuthority’ </w:t>
      </w: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entities are approved by ‘stateAuthority’ using </w:t>
      </w:r>
      <w:r w:rsidDel="00000000" w:rsidR="00000000" w:rsidRPr="00000000">
        <w:rPr>
          <w:b w:val="1"/>
          <w:rtl w:val="0"/>
        </w:rPr>
        <w:t xml:space="preserve">‘insertVerifiedEntity</w:t>
      </w:r>
      <w:r w:rsidDel="00000000" w:rsidR="00000000" w:rsidRPr="00000000">
        <w:rPr>
          <w:rtl w:val="0"/>
        </w:rPr>
        <w:t xml:space="preserve">(address _addr)’ function as follows: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method has </w:t>
      </w:r>
      <w:r w:rsidDel="00000000" w:rsidR="00000000" w:rsidRPr="00000000">
        <w:rPr>
          <w:b w:val="1"/>
          <w:rtl w:val="0"/>
        </w:rPr>
        <w:t xml:space="preserve">isOwner</w:t>
      </w:r>
      <w:r w:rsidDel="00000000" w:rsidR="00000000" w:rsidRPr="00000000">
        <w:rPr>
          <w:rtl w:val="0"/>
        </w:rPr>
        <w:t xml:space="preserve">() modifier, allowing only the contract owner to add entities to the whitelist.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Owner </w:t>
      </w:r>
      <w:r w:rsidDel="00000000" w:rsidR="00000000" w:rsidRPr="00000000">
        <w:rPr>
          <w:rtl w:val="0"/>
        </w:rPr>
        <w:t xml:space="preserve">is whitelisted: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Consumer1 </w:t>
      </w:r>
      <w:r w:rsidDel="00000000" w:rsidR="00000000" w:rsidRPr="00000000">
        <w:rPr>
          <w:rtl w:val="0"/>
        </w:rPr>
        <w:t xml:space="preserve">is whitelisted: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Consumer2 </w:t>
      </w:r>
      <w:r w:rsidDel="00000000" w:rsidR="00000000" w:rsidRPr="00000000">
        <w:rPr>
          <w:rtl w:val="0"/>
        </w:rPr>
        <w:t xml:space="preserve">is whitelisted: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Aforementioned entities are verified by </w:t>
      </w:r>
      <w:r w:rsidDel="00000000" w:rsidR="00000000" w:rsidRPr="00000000">
        <w:rPr>
          <w:b w:val="1"/>
          <w:rtl w:val="0"/>
        </w:rPr>
        <w:t xml:space="preserve">‘stateAuthority’ </w:t>
      </w:r>
      <w:r w:rsidDel="00000000" w:rsidR="00000000" w:rsidRPr="00000000">
        <w:rPr>
          <w:rtl w:val="0"/>
        </w:rPr>
        <w:t xml:space="preserve">using ‘</w:t>
      </w:r>
      <w:r w:rsidDel="00000000" w:rsidR="00000000" w:rsidRPr="00000000">
        <w:rPr>
          <w:b w:val="1"/>
          <w:rtl w:val="0"/>
        </w:rPr>
        <w:t xml:space="preserve">verify</w:t>
      </w:r>
      <w:r w:rsidDel="00000000" w:rsidR="00000000" w:rsidRPr="00000000">
        <w:rPr>
          <w:rtl w:val="0"/>
        </w:rPr>
        <w:t xml:space="preserve">(address _addr)’ function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14925" cy="1400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Another consumer/intermediary called Consumer3  is created as follows: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2950" cy="10382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consumer could be removed from the whitelist using ‘</w:t>
      </w:r>
      <w:r w:rsidDel="00000000" w:rsidR="00000000" w:rsidRPr="00000000">
        <w:rPr>
          <w:b w:val="1"/>
          <w:rtl w:val="0"/>
        </w:rPr>
        <w:t xml:space="preserve">removeVerifiedEntity</w:t>
      </w:r>
      <w:r w:rsidDel="00000000" w:rsidR="00000000" w:rsidRPr="00000000">
        <w:rPr>
          <w:rtl w:val="0"/>
        </w:rPr>
        <w:t xml:space="preserve">(address _address)’ function as follows: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81663" cy="276774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27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33nbi38lnj9l" w:id="3"/>
      <w:bookmarkEnd w:id="3"/>
      <w:r w:rsidDel="00000000" w:rsidR="00000000" w:rsidRPr="00000000">
        <w:rPr>
          <w:rtl w:val="0"/>
        </w:rPr>
        <w:t xml:space="preserve">ProductProvenance Contract Interactions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ProductProvenance </w:t>
      </w:r>
      <w:r w:rsidDel="00000000" w:rsidR="00000000" w:rsidRPr="00000000">
        <w:rPr>
          <w:rtl w:val="0"/>
        </w:rPr>
        <w:t xml:space="preserve">contract is deployed and can be interacted as </w:t>
      </w:r>
      <w:r w:rsidDel="00000000" w:rsidR="00000000" w:rsidRPr="00000000">
        <w:rPr>
          <w:b w:val="1"/>
          <w:rtl w:val="0"/>
        </w:rPr>
        <w:t xml:space="preserve">‘supplyChain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whitelisted consumer (i.e Consumer1, Consumer2) is allowed to mint a token/product.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operation is done using </w:t>
      </w:r>
      <w:r w:rsidDel="00000000" w:rsidR="00000000" w:rsidRPr="00000000">
        <w:rPr>
          <w:b w:val="1"/>
          <w:rtl w:val="0"/>
        </w:rPr>
        <w:t xml:space="preserve">mintProduct</w:t>
      </w:r>
      <w:r w:rsidDel="00000000" w:rsidR="00000000" w:rsidRPr="00000000">
        <w:rPr>
          <w:rtl w:val="0"/>
        </w:rPr>
        <w:t xml:space="preserve">() function.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uses the built-in </w:t>
      </w:r>
      <w:r w:rsidDel="00000000" w:rsidR="00000000" w:rsidRPr="00000000">
        <w:rPr>
          <w:b w:val="1"/>
          <w:rtl w:val="0"/>
        </w:rPr>
        <w:t xml:space="preserve">_mint</w:t>
      </w:r>
      <w:r w:rsidDel="00000000" w:rsidR="00000000" w:rsidRPr="00000000">
        <w:rPr>
          <w:rtl w:val="0"/>
        </w:rPr>
        <w:t xml:space="preserve">() function, and replicates its default behaviour.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Minted token is transferred to message sender from the contract owner (</w:t>
      </w: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Consumer1 </w:t>
      </w:r>
      <w:r w:rsidDel="00000000" w:rsidR="00000000" w:rsidRPr="00000000">
        <w:rPr>
          <w:rtl w:val="0"/>
        </w:rPr>
        <w:t xml:space="preserve">minted a token: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TokenID </w:t>
      </w:r>
      <w:r w:rsidDel="00000000" w:rsidR="00000000" w:rsidRPr="00000000">
        <w:rPr>
          <w:rtl w:val="0"/>
        </w:rPr>
        <w:t xml:space="preserve">starts from zero and incremented at each minting operation. Hence one can trace product provenance by using </w:t>
      </w:r>
      <w:r w:rsidDel="00000000" w:rsidR="00000000" w:rsidRPr="00000000">
        <w:rPr>
          <w:b w:val="1"/>
          <w:rtl w:val="0"/>
        </w:rPr>
        <w:t xml:space="preserve">traceTokenHistory</w:t>
      </w:r>
      <w:r w:rsidDel="00000000" w:rsidR="00000000" w:rsidRPr="00000000">
        <w:rPr>
          <w:rtl w:val="0"/>
        </w:rPr>
        <w:t xml:space="preserve">(uint256 tokenId) function as follows: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8313" cy="251630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516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transfer a token/product, </w:t>
      </w:r>
    </w:p>
    <w:p w:rsidR="00000000" w:rsidDel="00000000" w:rsidP="00000000" w:rsidRDefault="00000000" w:rsidRPr="00000000" w14:paraId="00000047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token owner</w:t>
      </w:r>
      <w:r w:rsidDel="00000000" w:rsidR="00000000" w:rsidRPr="00000000">
        <w:rPr>
          <w:rtl w:val="0"/>
        </w:rPr>
        <w:t xml:space="preserve"> can directly transfer using </w:t>
      </w:r>
      <w:r w:rsidDel="00000000" w:rsidR="00000000" w:rsidRPr="00000000">
        <w:rPr>
          <w:b w:val="1"/>
          <w:rtl w:val="0"/>
        </w:rPr>
        <w:t xml:space="preserve">transferProduct</w:t>
      </w:r>
      <w:r w:rsidDel="00000000" w:rsidR="00000000" w:rsidRPr="00000000">
        <w:rPr>
          <w:rtl w:val="0"/>
        </w:rPr>
        <w:t xml:space="preserve">( address _addressFrom, address _addressTo,    uint256 tokenId ) function</w:t>
      </w:r>
    </w:p>
    <w:p w:rsidR="00000000" w:rsidDel="00000000" w:rsidP="00000000" w:rsidRDefault="00000000" w:rsidRPr="00000000" w14:paraId="00000048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other consumer should be approved by </w:t>
      </w:r>
      <w:r w:rsidDel="00000000" w:rsidR="00000000" w:rsidRPr="00000000">
        <w:rPr>
          <w:b w:val="1"/>
          <w:rtl w:val="0"/>
        </w:rPr>
        <w:t xml:space="preserve">the token owner </w:t>
      </w:r>
      <w:r w:rsidDel="00000000" w:rsidR="00000000" w:rsidRPr="00000000">
        <w:rPr>
          <w:rtl w:val="0"/>
        </w:rPr>
        <w:t xml:space="preserve">to transfer the token on behalf of the owner using </w:t>
      </w:r>
      <w:r w:rsidDel="00000000" w:rsidR="00000000" w:rsidRPr="00000000">
        <w:rPr>
          <w:b w:val="1"/>
          <w:rtl w:val="0"/>
        </w:rPr>
        <w:t xml:space="preserve">approveProductTransfer</w:t>
      </w:r>
      <w:r w:rsidDel="00000000" w:rsidR="00000000" w:rsidRPr="00000000">
        <w:rPr>
          <w:rtl w:val="0"/>
        </w:rPr>
        <w:t xml:space="preserve">(address _addressTo, uint256 tokenId) function.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Consumer1 (as token owner) </w:t>
      </w:r>
      <w:r w:rsidDel="00000000" w:rsidR="00000000" w:rsidRPr="00000000">
        <w:rPr>
          <w:rtl w:val="0"/>
        </w:rPr>
        <w:t xml:space="preserve">can directly transfer the token  to </w:t>
      </w:r>
      <w:r w:rsidDel="00000000" w:rsidR="00000000" w:rsidRPr="00000000">
        <w:rPr>
          <w:b w:val="1"/>
          <w:rtl w:val="0"/>
        </w:rPr>
        <w:t xml:space="preserve">Consumer2 </w:t>
      </w:r>
      <w:r w:rsidDel="00000000" w:rsidR="00000000" w:rsidRPr="00000000">
        <w:rPr>
          <w:rtl w:val="0"/>
        </w:rPr>
        <w:t xml:space="preserve">as follows: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trace the token history post-transfer, notice that </w:t>
      </w:r>
      <w:r w:rsidDel="00000000" w:rsidR="00000000" w:rsidRPr="00000000">
        <w:rPr>
          <w:b w:val="1"/>
          <w:rtl w:val="0"/>
        </w:rPr>
        <w:t xml:space="preserve">transfer is occured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8806" cy="3195638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8806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Consumer2 </w:t>
      </w:r>
      <w:r w:rsidDel="00000000" w:rsidR="00000000" w:rsidRPr="00000000">
        <w:rPr>
          <w:rtl w:val="0"/>
        </w:rPr>
        <w:t xml:space="preserve">can transfer the token of </w:t>
      </w:r>
      <w:r w:rsidDel="00000000" w:rsidR="00000000" w:rsidRPr="00000000">
        <w:rPr>
          <w:b w:val="1"/>
          <w:rtl w:val="0"/>
        </w:rPr>
        <w:t xml:space="preserve">Consumer1 </w:t>
      </w:r>
      <w:r w:rsidDel="00000000" w:rsidR="00000000" w:rsidRPr="00000000">
        <w:rPr>
          <w:rtl w:val="0"/>
        </w:rPr>
        <w:t xml:space="preserve">to himself, but first </w:t>
      </w:r>
      <w:r w:rsidDel="00000000" w:rsidR="00000000" w:rsidRPr="00000000">
        <w:rPr>
          <w:b w:val="1"/>
          <w:rtl w:val="0"/>
        </w:rPr>
        <w:t xml:space="preserve">Consumer1 </w:t>
      </w:r>
      <w:r w:rsidDel="00000000" w:rsidR="00000000" w:rsidRPr="00000000">
        <w:rPr>
          <w:rtl w:val="0"/>
        </w:rPr>
        <w:t xml:space="preserve">should approve </w:t>
      </w:r>
      <w:r w:rsidDel="00000000" w:rsidR="00000000" w:rsidRPr="00000000">
        <w:rPr>
          <w:b w:val="1"/>
          <w:rtl w:val="0"/>
        </w:rPr>
        <w:t xml:space="preserve">Consumer2 </w:t>
      </w:r>
      <w:r w:rsidDel="00000000" w:rsidR="00000000" w:rsidRPr="00000000">
        <w:rPr>
          <w:rtl w:val="0"/>
        </w:rPr>
        <w:t xml:space="preserve">for a specific token to be transferred: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Let’s trace the token history post-transfer-approval, notice that the </w:t>
      </w:r>
      <w:r w:rsidDel="00000000" w:rsidR="00000000" w:rsidRPr="00000000">
        <w:rPr>
          <w:b w:val="1"/>
          <w:rtl w:val="0"/>
        </w:rPr>
        <w:t xml:space="preserve">transfer is approved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1600" cy="44196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Consumer2 </w:t>
      </w:r>
      <w:r w:rsidDel="00000000" w:rsidR="00000000" w:rsidRPr="00000000">
        <w:rPr>
          <w:rtl w:val="0"/>
        </w:rPr>
        <w:t xml:space="preserve">could now complete the transfer, since it is approved by </w:t>
      </w:r>
      <w:r w:rsidDel="00000000" w:rsidR="00000000" w:rsidRPr="00000000">
        <w:rPr>
          <w:b w:val="1"/>
          <w:rtl w:val="0"/>
        </w:rPr>
        <w:t xml:space="preserve">Consumer1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Let’s trace the token history post-transfer-approval, notice that the </w:t>
      </w:r>
      <w:r w:rsidDel="00000000" w:rsidR="00000000" w:rsidRPr="00000000">
        <w:rPr>
          <w:b w:val="1"/>
          <w:rtl w:val="0"/>
        </w:rPr>
        <w:t xml:space="preserve">transfer is occured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3471863" cy="39052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Let’s try to make a transfer to a non-whitelisted entity: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receiver entity of this function is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whitelisted by the state authority!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Let’s try to mint a token as a non-whitelisted entity: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The receiver entity of this function is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whitelisted by the state authority!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Let’s try to whitelist an entity as a consumer/intermediary:</w:t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function is </w:t>
      </w:r>
      <w:r w:rsidDel="00000000" w:rsidR="00000000" w:rsidRPr="00000000">
        <w:rPr>
          <w:b w:val="1"/>
          <w:rtl w:val="0"/>
        </w:rPr>
        <w:t xml:space="preserve">restricted </w:t>
      </w:r>
      <w:r w:rsidDel="00000000" w:rsidR="00000000" w:rsidRPr="00000000">
        <w:rPr>
          <w:rtl w:val="0"/>
        </w:rPr>
        <w:t xml:space="preserve">to the contract owner!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Let’s try to remove a whitelisted address from state registry as a </w:t>
      </w:r>
      <w:r w:rsidDel="00000000" w:rsidR="00000000" w:rsidRPr="00000000">
        <w:rPr>
          <w:b w:val="1"/>
          <w:rtl w:val="0"/>
        </w:rPr>
        <w:t xml:space="preserve">white-listed</w:t>
      </w:r>
      <w:r w:rsidDel="00000000" w:rsidR="00000000" w:rsidRPr="00000000">
        <w:rPr>
          <w:rtl w:val="0"/>
        </w:rPr>
        <w:t xml:space="preserve"> consumer/intermediary: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This function is </w:t>
      </w:r>
      <w:r w:rsidDel="00000000" w:rsidR="00000000" w:rsidRPr="00000000">
        <w:rPr>
          <w:b w:val="1"/>
          <w:rtl w:val="0"/>
        </w:rPr>
        <w:t xml:space="preserve">restricted </w:t>
      </w:r>
      <w:r w:rsidDel="00000000" w:rsidR="00000000" w:rsidRPr="00000000">
        <w:rPr>
          <w:rtl w:val="0"/>
        </w:rPr>
        <w:t xml:space="preserve">to the contract owner!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Let’s try to trace a token/product history as a non white-listed entity:</w:t>
      </w:r>
    </w:p>
    <w:p w:rsidR="00000000" w:rsidDel="00000000" w:rsidP="00000000" w:rsidRDefault="00000000" w:rsidRPr="00000000" w14:paraId="0000006E">
      <w:pPr>
        <w:numPr>
          <w:ilvl w:val="1"/>
          <w:numId w:val="1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caller entity of this function is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whitelisted by the state authority!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7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0.png"/><Relationship Id="rId25" Type="http://schemas.openxmlformats.org/officeDocument/2006/relationships/image" Target="media/image21.png"/><Relationship Id="rId28" Type="http://schemas.openxmlformats.org/officeDocument/2006/relationships/image" Target="media/image3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https://github.com/d8niz/etm555-hw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19.png"/><Relationship Id="rId11" Type="http://schemas.openxmlformats.org/officeDocument/2006/relationships/image" Target="media/image9.png"/><Relationship Id="rId10" Type="http://schemas.openxmlformats.org/officeDocument/2006/relationships/image" Target="media/image16.png"/><Relationship Id="rId13" Type="http://schemas.openxmlformats.org/officeDocument/2006/relationships/image" Target="media/image5.png"/><Relationship Id="rId12" Type="http://schemas.openxmlformats.org/officeDocument/2006/relationships/image" Target="media/image20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19" Type="http://schemas.openxmlformats.org/officeDocument/2006/relationships/image" Target="media/image12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