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 w:cs="맑은 고딕"/>
        </w:rPr>
        <w:t>서울시 상권 폐업위험 예측 모델</w:t>
      </w:r>
    </w:p>
    <w:p>
      <w:r>
        <w:rPr>
          <w:b/>
          <w:sz w:val="22"/>
          <w:rFonts w:ascii="맑은 고딕" w:hAnsi="맑은 고딕" w:eastAsia="맑은 고딕" w:cs="맑은 고딕"/>
        </w:rPr>
        <w:t>핵심 질문 — 다음 분기에 점포 순감소(폐업 &gt; 개업)로 전환될 상권 × 업종은 어디이며, 무엇이 위험을 만드는가</w:t>
      </w:r>
    </w:p>
    <w:p>
      <w:r>
        <w:rPr>
          <w:b w:val="0"/>
          <w:sz w:val="20"/>
          <w:rFonts w:ascii="맑은 고딕" w:hAnsi="맑은 고딕" w:eastAsia="맑은 고딕" w:cs="맑은 고딕"/>
        </w:rPr>
        <w:t>요식업 10종 · 서울시 전체 상권 4유형 · 2023Q1~2025Q4 · 67,475칸 · 양성률 25.5%</w:t>
      </w:r>
    </w:p>
    <w:p>
      <w:r>
        <w:rPr>
          <w:b w:val="0"/>
          <w:sz w:val="21"/>
          <w:rFonts w:ascii="맑은 고딕" w:hAnsi="맑은 고딕" w:eastAsia="맑은 고딕" w:cs="맑은 고딕"/>
        </w:rPr>
      </w:r>
    </w:p>
    <w:p>
      <w:pPr>
        <w:pStyle w:val="Heading1"/>
      </w:pPr>
      <w:r>
        <w:rPr>
          <w:rFonts w:ascii="맑은 고딕" w:hAnsi="맑은 고딕" w:eastAsia="맑은 고딕" w:cs="맑은 고딕"/>
        </w:rPr>
        <w:t>한 장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절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제목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핵심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근거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분석 개요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다음 분기에 점포 순감소로 돌아설 상권 × 업종을 미리 찍는 예측 모델임.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67,475칸 · 양성률 25.5%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데이터와 전처리 판단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「폐업」은 실제 폐점이 아니라 사업자등록 말소이므로, 결론의 해석 범위를 그 안으로 제한함.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매출 결측 7.1% (버리지 않음)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라벨의 구조 — y=0 에 섞여 있는 두 상태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y=0 의 58.9% 는 「안전」이 아니라 「작아서 아무 일도 없었음」임.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변화없음 1분위 69.3% → 5분위 7.9%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기초 탐색 — 상권유형과 업종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유형·업종 모두 순감소율이 다르지만 효과크기가 작아, 범주만으로는 위험을 가릴 수 없음.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Cramér's V 0.071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비교 기준 — 모델이 넘어야 하는 선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넘어야 하는 선은 기저율이 아니라 「점포 수 순서」임 — 정밀도 0.394 · Lift 1.54.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서울시 상권변화지표 Lift 0.956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규모를 고정하면 무엇이 남는가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수를 층으로 고정하면 골목상권이 안전해 보였던 것이 뒤집힘 — 오즈비 0.813 → 1.061.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CMH χ²(1)=9.83, p=0.0017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검정 방법의 선택 — 정규성과 등분산성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라벨이 0/1 이라, 검정 단위를 「칸의 12분기 순감소 비율」로 올려야 정규성 논의가 성립함.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정규성 위배 유형 4/4 · 업종 10/10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가설 직접 검증 — 업종 × 상권유형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「동일 업종이라도 유형에 따라 다르다」는 8/10 업종에서 성립하되, 효과크기 폭이 매우 큼.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ε² 0.0002 ~ 0.1202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성향점수매칭 — 조건을 맞추고 다시 비교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「업종 자체의 위험」으로 보였던 것은 규모 교란이었음 — 단순 +1.85%p 가 ATT −6.53%p 로 뒤집힘.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네 유형 모두 음수 · CI [−7.83, −5.11]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사후검정 — 어느 유형 쌍이 다른가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골목상권만 갈리지 않고, 나머지 다섯 쌍은 모두 유의함.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5/6 쌍 유의 · 전통시장↔골목 p=0.321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모델 선정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다섯 모델의 AP 차이가 0.01 수준이라 모델 선택이 결론을 바꾸지 않음 — 분해 도구가 있는 XGBoost 를 채택함.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AP 0.398 ~ 0.408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작동점 — 몇 칸을 위험으로 찍을 것인가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100칸 정밀도 0.600 — 기저율의 2.31배이고, 점포 수 순 목록과 23% 만 겹침.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50칸 0.720 (기저율의 2.77배)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테스트 최종 평가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위험등급 네 단계의 실제 순감소율이 단조 증가해, 순위가 실제 위험과 맞음.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15.3% → 39.3% (2.6배)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두 단계로 나눈 모형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 발생과 방향을 나누면 규모 의존이 1단계에 갇힘 — 곱은 근사가 아니라 정확한 등식임.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log_점포수 상관 1단계 +0.448 · 2단계 −0.039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두 확률로 나눈 상권 유형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곱하지 않고 두 축으로 두면 「정체되어 있으나 변화 시 취약한 상권」이 드러남 — 골목상권의 34.7%.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실제 순감소율 16.6% → 36.8%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무엇이 위험을 만드는가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단일 모형의 답은 「점포가 많으면 위험」뿐 — 단계를 나눠야 크기와 무관한 위험 요인이 보임.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규모·밀도 기여 53.1% → 2단계 38.3%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위험도 공간 분석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역과의 거리는 순감소를 설명하지 못함 — 남는 것은 규모 효과임.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 밖 네 구간 위험 0.43~0.48 (평평)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종합 결론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대응 단위는 범주가 아니라 상권임 — 네 유형이 이 분석의 실무 산출물임.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가설 4건 중 지지 2 · 부분 지지 1 · 기각 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0 — 절별 핵심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1. 분석 개요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다음 분기에 점포 순감소로 돌아설 상권 × 업종을 미리 찍는 예측 모델임.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분석 단위는 상권 × 요식업 10종 × 분기이며, 서울시 </w:t>
      </w:r>
      <w:r>
        <w:rPr>
          <w:b/>
          <w:sz w:val="21"/>
          <w:rFonts w:ascii="맑은 고딕" w:hAnsi="맑은 고딕" w:eastAsia="맑은 고딕" w:cs="맑은 고딕"/>
        </w:rPr>
        <w:t>전체 상권 4유형</w:t>
      </w:r>
      <w:r>
        <w:rPr>
          <w:b w:val="0"/>
          <w:sz w:val="21"/>
          <w:rFonts w:ascii="맑은 고딕" w:hAnsi="맑은 고딕" w:eastAsia="맑은 고딕" w:cs="맑은 고딕"/>
        </w:rPr>
        <w:t>(골목·발달·전통시장·관광특구)을 모두 씀. 기간은 2023Q1~2025Q4 12개 분기이고, 2026Q1은 라벨을 만들기 위해서만 적재함.</w:t>
      </w:r>
    </w:p>
    <w:p>
      <w:r>
        <w:rPr>
          <w:b w:val="0"/>
          <w:sz w:val="21"/>
          <w:rFonts w:ascii="맑은 고딕" w:hAnsi="맑은 고딕" w:eastAsia="맑은 고딕" w:cs="맑은 고딕"/>
        </w:rPr>
        <w:t>라벨은 「다음 분기에 문 닫은 가게가 새로 연 가게보다 많은가」임. 매출 감소가 아니라 점포 순감소를 고른 이유는, 매출은 살아남은 점포만 집계되어 낙관 편향되지만 점포 수는 빠져나간 가게를 그대로 세기 때문임.</w:t>
      </w:r>
    </w:p>
    <w:p>
      <w:r>
        <w:rPr>
          <w:b w:val="0"/>
          <w:sz w:val="21"/>
          <w:rFonts w:ascii="맑은 고딕" w:hAnsi="맑은 고딕" w:eastAsia="맑은 고딕" w:cs="맑은 고딕"/>
        </w:rPr>
        <w:t>점포 5개 미만 칸은 개·폐업 한 건으로 라벨이 뒤집혀 제외함. 남은 표본이 67,475칸이고 양성률은 25.5%임.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2. 데이터와 전처리 판단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「폐업」은 실제 폐점이 아니라 사업자등록 말소이므로, 결론의 해석 범위를 그 안으로 제한함.</w:t>
      </w:r>
    </w:p>
    <w:p>
      <w:r>
        <w:rPr>
          <w:b w:val="0"/>
          <w:sz w:val="21"/>
          <w:rFonts w:ascii="맑은 고딕" w:hAnsi="맑은 고딕" w:eastAsia="맑은 고딕" w:cs="맑은 고딕"/>
        </w:rPr>
        <w:t>원천은 서울시 우리마을가게 상권분석서비스임. 집객시설 파일은 시설이 없는 경우를 빈칸으로 저장하므로 결측이 아니라 「없음」으로 보고 0으로 채움 — 원본 전체에 0 표기가 한 건도 없다는 점으로 확인함.</w:t>
      </w:r>
    </w:p>
    <w:p>
      <w:r>
        <w:rPr>
          <w:b w:val="0"/>
          <w:sz w:val="21"/>
          <w:rFonts w:ascii="맑은 고딕" w:hAnsi="맑은 고딕" w:eastAsia="맑은 고딕" w:cs="맑은 고딕"/>
        </w:rPr>
        <w:t>인구는 총량 하나만 씀. 유동인구가 상주·직장 인구를 이미 포함하므로 셋을 모두 넣으면 같은 사람을 세 번 셈.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컬럼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결측률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판정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엑스좌표_값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영역_면적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총_유동인구_수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역세권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상권_변화_지표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당월_매출_금액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45.4%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공변량 제외 권장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상권_전체점포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운영_영업_개월_평균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운영개월_서울대비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9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외식물가지수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외식지출전망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0.0%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OK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</w:t>
      </w:r>
    </w:p>
    <w:p>
      <w:r>
        <w:rPr>
          <w:b w:val="0"/>
          <w:sz w:val="21"/>
          <w:rFonts w:ascii="맑은 고딕" w:hAnsi="맑은 고딕" w:eastAsia="맑은 고딕" w:cs="맑은 고딕"/>
        </w:rPr>
        <w:t>매출 결측은 결합 실수가 아니라, 카드 결제가 잡히지 않는 영세 칸에 원본 행이 아예 없기 때문임. 즉 「자료 누락」이 아니라 「카드 결제가 관측되지 않는 규모」라는 정보이므로, 행을 버리지 않고 결측 표시 변수를 함께 두어 모형이 그 사실을 쓰게 함.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3. 라벨의 구조 — y=0 에 섞여 있는 두 상태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y=0 의 58.9% 는 「안전」이 아니라 「작아서 아무 일도 없었음」임.</w:t>
      </w:r>
    </w:p>
    <w:p>
      <w:r>
        <w:rPr>
          <w:b w:val="0"/>
          <w:sz w:val="21"/>
          <w:rFonts w:ascii="맑은 고딕" w:hAnsi="맑은 고딕" w:eastAsia="맑은 고딕" w:cs="맑은 고딕"/>
        </w:rPr>
        <w:t>다음 분기 상태를 「변화 없음 / 변화 있었으나 줄지 않음 / 순감소」 셋으로 갈라 세고, 같은 것을 점포 수 5분위 안에서 다시 셈.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건수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비율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다음 분기 상태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 없음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29633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0.439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변화 있었으나 줄지 않음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20652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0.306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17190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0.255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변화없음비율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순감소율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15520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0.151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14018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7.86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0.599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12139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11.73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12718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19.56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0.308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13080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65.47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3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규모가 커질수록 「변화 없음」은 69.3% → 7.9% 로 줄고 순감소율은 15.1% → 40.3% 로 오름. </w:t>
      </w:r>
      <w:r>
        <w:rPr>
          <w:b/>
          <w:sz w:val="21"/>
          <w:rFonts w:ascii="맑은 고딕" w:hAnsi="맑은 고딕" w:eastAsia="맑은 고딕" w:cs="맑은 고딕"/>
        </w:rPr>
        <w:t>라벨이 규모에 끌려가는 통로가 「변화 없음」임.</w:t>
      </w:r>
    </w:p>
    <w:p>
      <w:r>
        <w:rPr>
          <w:b w:val="0"/>
          <w:sz w:val="21"/>
          <w:rFonts w:ascii="맑은 고딕" w:hAnsi="맑은 고딕" w:eastAsia="맑은 고딕" w:cs="맑은 고딕"/>
        </w:rPr>
        <w:t>아무 처리도 하지 않으면 모형은 「위험한 조건」이 아니라 「사건이 일어날 만한 크기」를 배움. 미래 사건 여부로 표본을 고를 수는 없으므로 이 칸들을 버리지 않고, 규모를 층으로 고정(6절)하고 사건과 방향을 나누는(14절) 방식으로 다룸.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4. 기초 탐색 — 상권유형과 업종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유형·업종 모두 순감소율이 다르지만 효과크기가 작아, 범주만으로는 위험을 가릴 수 없음.</w:t>
      </w:r>
    </w:p>
    <w:p>
      <w:r>
        <w:rPr>
          <w:b w:val="0"/>
          <w:sz w:val="21"/>
          <w:rFonts w:ascii="맑은 고딕" w:hAnsi="맑은 고딕" w:eastAsia="맑은 고딕" w:cs="맑은 고딕"/>
        </w:rPr>
        <w:t>유형별·업종별 순감소율을 집계하고 카이제곱·Kruskal-Wallis로 검정함. 표본이 수만 건이라 p는 거의 항상 유의하므로 판정은 효과크기(Cramér's V, ε²)가 함. 공변량 사이의 상관도 함께 확인함.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72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72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1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트리 계열 모형에서 상관은 예측을 망치지 않으나 </w:t>
      </w:r>
      <w:r>
        <w:rPr>
          <w:b/>
          <w:sz w:val="21"/>
          <w:rFonts w:ascii="맑은 고딕" w:hAnsi="맑은 고딕" w:eastAsia="맑은 고딕" w:cs="맑은 고딕"/>
        </w:rPr>
        <w:t>해석을 망침</w:t>
      </w:r>
      <w:r>
        <w:rPr>
          <w:b w:val="0"/>
          <w:sz w:val="21"/>
          <w:rFonts w:ascii="맑은 고딕" w:hAnsi="맑은 고딕" w:eastAsia="맑은 고딕" w:cs="맑은 고딕"/>
        </w:rPr>
        <w:t xml:space="preserve"> — SHAP이 상관된 두 변수 사이에 기여를 쪼개 나눠 가져 각각의 중요도가 실제보다 낮게 보임. 16절의 순위는 상관이 큰 쌍을 한 덩어리로 읽어야 함.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5. 비교 기준 — 모델이 넘어야 하는 선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넘어야 하는 선은 기저율이 아니라 「점포 수 순서」임 — 정밀도 0.394 · Lift 1.54.</w:t>
      </w:r>
    </w:p>
    <w:p>
      <w:r>
        <w:rPr>
          <w:b w:val="0"/>
          <w:sz w:val="21"/>
          <w:rFonts w:ascii="맑은 고딕" w:hAnsi="맑은 고딕" w:eastAsia="맑은 고딕" w:cs="맑은 고딕"/>
        </w:rPr>
        <w:t>무작위·직전 분기·서울시 상권변화지표·점포 수 네 기준을 모델보다 먼저 재 둠. 「점포 수」를 반드시 넣어야 함 — 큰 칸일수록 사건이 자주 일어나므로 점포 수 하나만 알아도 어느 정도는 맞힘.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기준선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무작위(전부 위험)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67475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직전 분기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15682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상권변화지표(HL)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12608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0.956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 수(상위 15,682칸)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15682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1.54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4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서울시 공식 상권변화지표의 HL(상권축소) 진단은 Lift 0.956 으로 </w:t>
      </w:r>
      <w:r>
        <w:rPr>
          <w:b/>
          <w:sz w:val="21"/>
          <w:rFonts w:ascii="맑은 고딕" w:hAnsi="맑은 고딕" w:eastAsia="맑은 고딕" w:cs="맑은 고딕"/>
        </w:rPr>
        <w:t>무작위 아래</w:t>
      </w:r>
      <w:r>
        <w:rPr>
          <w:b w:val="0"/>
          <w:sz w:val="21"/>
          <w:rFonts w:ascii="맑은 고딕" w:hAnsi="맑은 고딕" w:eastAsia="맑은 고딕" w:cs="맑은 고딕"/>
        </w:rPr>
        <w:t>이고, 직전 분기 반복도 1.11 에 그침. 반면 점포 수는 1.54 가 나옴.</w:t>
      </w:r>
    </w:p>
    <w:p>
      <w:r>
        <w:rPr>
          <w:b w:val="0"/>
          <w:sz w:val="21"/>
          <w:rFonts w:ascii="맑은 고딕" w:hAnsi="맑은 고딕" w:eastAsia="맑은 고딕" w:cs="맑은 고딕"/>
        </w:rPr>
        <w:t>이 기준을 세우지 않으면 모델 성능이 「위험을 읽은 것」인지 「그냥 큰 칸을 고른 것」인지 구분할 수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6. 규모를 고정하면 무엇이 남는가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점포 수를 층으로 고정하면 골목상권이 안전해 보였던 것이 뒤집힘 — 오즈비 0.813 → 1.061.</w:t>
      </w:r>
    </w:p>
    <w:p>
      <w:r>
        <w:rPr>
          <w:b w:val="0"/>
          <w:sz w:val="21"/>
          <w:rFonts w:ascii="맑은 고딕" w:hAnsi="맑은 고딕" w:eastAsia="맑은 고딕" w:cs="맑은 고딕"/>
        </w:rPr>
        <w:t>점포 수 5분위를 층으로 두고 층 안에서 기준선을 다시 재고, 「층을 통제해도 연관이 남는가」를 Cochran-Mantel-Haenszel 검정으로 답함. 5분위를 쓰는 것은 층화로 교란의 대부분이 제거된다는 표준 관행에 따름.</w:t>
      </w:r>
    </w:p>
    <w:p>
      <w:r>
        <w:rPr>
          <w:b w:val="0"/>
          <w:sz w:val="21"/>
          <w:rFonts w:ascii="맑은 고딕" w:hAnsi="맑은 고딕" w:eastAsia="맑은 고딕" w:cs="맑은 고딕"/>
        </w:rPr>
        <w:t>2×2 의 축은 「골목상권 대 그 밖」으로 둠 — CMH는 층마다 2×2 를 요구하므로 네 유형을 한 번에 넣을 수 없고, 표본 비중이 가장 큰 유형을 한쪽에 두면 어느 층에서도 칸이 비지 않음. 네 유형 사이의 순위는 10절이 답함.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직전 분기 Lift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상권변화지표 Lift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Lift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규모구간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15520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5.4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0.947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14018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0.963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1.15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12139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11.7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1.09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12718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0.955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13080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0.969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1.06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노출·사건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노출·비사건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비노출·사건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비노출·비사건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노출군 사건률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비노출군 사건률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층 오즈비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8636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728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4538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0.1578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0.1382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1.17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6817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4491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0.1997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0.1835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1.11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1665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4934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4259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0.2523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0.2312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1.12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3862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4933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0.3185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0.3004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1.09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5분위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2232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3888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5583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0.3815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0.8859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6</w:t>
      </w:r>
    </w:p>
    <w:p>
      <w:r>
        <w:rPr>
          <w:b w:val="0"/>
          <w:sz w:val="21"/>
          <w:rFonts w:ascii="맑은 고딕" w:hAnsi="맑은 고딕" w:eastAsia="맑은 고딕" w:cs="맑은 고딕"/>
        </w:rPr>
        <w:t>「점포 수」 규칙의 층내 Lift 는 1.06~1.15 로 내려앉음. 전체 표본에서의 1.54 는 대부분 규모를 고른 몫이었음.</w:t>
      </w:r>
    </w:p>
    <w:p>
      <w:r>
        <w:rPr>
          <w:b w:val="0"/>
          <w:sz w:val="21"/>
          <w:rFonts w:ascii="맑은 고딕" w:hAnsi="맑은 고딕" w:eastAsia="맑은 고딕" w:cs="맑은 고딕"/>
        </w:rPr>
        <w:t>다만 Woolf 동질성이 깨져(Q=27.4, p=0.0000166) 하나의 값으로 요약할 수 없음. 작은·중간 규모에서는 골목상권이 더 위험하고(1.09~1.17) 가장 큰 구간에서는 반대임(0.89).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7. 검정 방법의 선택 — 정규성과 등분산성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라벨이 0/1 이라, 검정 단위를 「칸의 12분기 순감소 비율」로 올려야 정규성 논의가 성립함.</w:t>
      </w:r>
    </w:p>
    <w:p>
      <w:r>
        <w:rPr>
          <w:b w:val="0"/>
          <w:sz w:val="21"/>
          <w:rFonts w:ascii="맑은 고딕" w:hAnsi="맑은 고딕" w:eastAsia="맑은 고딕" w:cs="맑은 고딕"/>
        </w:rPr>
        <w:t>이진 변수는 정의상 정규분포가 아니고 표본만 크면 p 가 반드시 0 으로 나옴. 그래서 상권 × 업종 칸마다 12분기의 순감소 비율(0~1 연속값)을 만들고, 관측이 6분기 미만인 칸은 비율이 불안정하므로 제외함(5,687칸).</w:t>
      </w:r>
    </w:p>
    <w:p>
      <w:r>
        <w:rPr>
          <w:b w:val="0"/>
          <w:sz w:val="21"/>
          <w:rFonts w:ascii="맑은 고딕" w:hAnsi="맑은 고딕" w:eastAsia="맑은 고딕" w:cs="맑은 고딕"/>
        </w:rPr>
        <w:t>Levene 검정은 평균이 아니라 중앙값 기준으로 함 — 분포가 치우쳐 있으면 평균 기준은 그 자체로 왜곡됨.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그룹 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정규성 위배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정규성 성립 그룹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Levene 통계량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Levene p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등분산성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4/4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없음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0.000000000234641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위배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10/10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없음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10.83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위배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36906" cy="32918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906" cy="329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2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정규성·등분산성이 모두 위배되어 </w:t>
      </w:r>
      <w:r>
        <w:rPr>
          <w:b/>
          <w:sz w:val="21"/>
          <w:rFonts w:ascii="맑은 고딕" w:hAnsi="맑은 고딕" w:eastAsia="맑은 고딕" w:cs="맑은 고딕"/>
        </w:rPr>
        <w:t>주 검정을 Kruskal-Wallis 로 정함.</w:t>
      </w:r>
      <w:r>
        <w:rPr>
          <w:b w:val="0"/>
          <w:sz w:val="21"/>
          <w:rFonts w:ascii="맑은 고딕" w:hAnsi="맑은 고딕" w:eastAsia="맑은 고딕" w:cs="맑은 고딕"/>
        </w:rPr>
        <w:t xml:space="preserve"> 분포가 오른쪽으로 꼬리가 길어(왜도 +0.59) 평균 비교가 불리함. Q-Q plot 을 함께 보는 것은 「어떻게 정규분포가 아닌가」에 따라 대응이 달라지기 때문임.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8. 가설 직접 검증 — 업종 × 상권유형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「동일 업종이라도 유형에 따라 다르다」는 8/10 업종에서 성립하되, 효과크기 폭이 매우 큼.</w:t>
      </w:r>
    </w:p>
    <w:p>
      <w:r>
        <w:rPr>
          <w:b w:val="0"/>
          <w:sz w:val="21"/>
          <w:rFonts w:ascii="맑은 고딕" w:hAnsi="맑은 고딕" w:eastAsia="맑은 고딕" w:cs="맑은 고딕"/>
        </w:rPr>
        <w:t>전체를 한 번에 검정하면 업종 구성이 섞여 들어감 — 특정 유형에 특정 업종이 몰려 있으면 유형 효과와 업종 효과가 붙어 버림. 그래서 업종을 하나로 고정한 뒤 그 안에서 유형 간 차이를 봄.</w:t>
      </w:r>
    </w:p>
    <w:p>
      <w:r>
        <w:rPr>
          <w:b w:val="0"/>
          <w:sz w:val="21"/>
          <w:rFonts w:ascii="맑은 고딕" w:hAnsi="맑은 고딕" w:eastAsia="맑은 고딕" w:cs="맑은 고딕"/>
        </w:rPr>
        <w:t>10개 업종에 같은 검정을 반복하므로 Bonferroni 보정(α=0.005)을 적용하고, 효과크기는 ε² 로 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그룹수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H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n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p-value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유의</w:t>
            </w:r>
          </w:p>
        </w:tc>
        <w:tc>
          <w:tcPr>
            <w:tcW w:type="dxa" w:w="15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eps2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호프-간이주점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86.9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709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0.1202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커피-음료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67.4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0.000000000000002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0.0652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한식음식점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1306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0.0607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양식음식점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18.8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352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0.000081024701224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0.0483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분식전문점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32.5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637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0.000000088388986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0.0481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일식음식점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15.6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0.0004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0.0448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제과점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12.9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347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0.0015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0.0318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중식음식점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패스트푸드점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322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0.0281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0.0161</w:t>
            </w:r>
          </w:p>
        </w:tc>
      </w:tr>
      <w:tr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치킨전문점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341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0.3552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15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0.0002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8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호프-간이주점은 ε²=0.1202 로 중간 이상인데 치킨전문점은 0.0002 로 사실상 0 이고 유의하지도 않음. </w:t>
      </w:r>
      <w:r>
        <w:rPr>
          <w:b/>
          <w:sz w:val="21"/>
          <w:rFonts w:ascii="맑은 고딕" w:hAnsi="맑은 고딕" w:eastAsia="맑은 고딕" w:cs="맑은 고딕"/>
        </w:rPr>
        <w:t>「모든 업종이 입지에 민감하다」는 진술은 성립하지 않으므로</w:t>
      </w:r>
      <w:r>
        <w:rPr>
          <w:b w:val="0"/>
          <w:sz w:val="21"/>
          <w:rFonts w:ascii="맑은 고딕" w:hAnsi="맑은 고딕" w:eastAsia="맑은 고딕" w:cs="맑은 고딕"/>
        </w:rPr>
        <w:t xml:space="preserve"> 업종별로 나누어 말해야 함.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9. 성향점수매칭 — 조건을 맞추고 다시 비교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「업종 자체의 위험」으로 보였던 것은 규모 교란이었음 — 단순 +1.85%p 가 ATT −6.53%p 로 뒤집힘.</w:t>
      </w:r>
    </w:p>
    <w:p>
      <w:r>
        <w:rPr>
          <w:b w:val="0"/>
          <w:sz w:val="21"/>
          <w:rFonts w:ascii="맑은 고딕" w:hAnsi="맑은 고딕" w:eastAsia="맑은 고딕" w:cs="맑은 고딕"/>
        </w:rPr>
        <w:t>처리군은 결과를 보기 전에 한식음식점으로 고정함 — 표본이 가장 크고 네 유형에 고르게 분포함. 순감소율이 가장 높은 업종을 고른 뒤 검정하면 「10개 중 최고」를 고르는 행위 자체가 위쪽 꼬리를 뽑아 차이가 없어도 격차가 생김.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짝은 </w:t>
      </w:r>
      <w:r>
        <w:rPr>
          <w:b/>
          <w:sz w:val="21"/>
          <w:rFonts w:ascii="맑은 고딕" w:hAnsi="맑은 고딕" w:eastAsia="맑은 고딕" w:cs="맑은 고딕"/>
        </w:rPr>
        <w:t>분기와 상권유형을 정확히 일치시킨 블록 안에서만</w:t>
      </w:r>
      <w:r>
        <w:rPr>
          <w:b w:val="0"/>
          <w:sz w:val="21"/>
          <w:rFonts w:ascii="맑은 고딕" w:hAnsi="맑은 고딕" w:eastAsia="맑은 고딕" w:cs="맑은 고딕"/>
        </w:rPr>
        <w:t xml:space="preserve"> 찾음. 한 유형만 떼어 내면 그 유형 안에서만 성립하는 결과가 되고 표본도 절반으로 줄지만, 같은 유형 안에서 짝을 지으면 유형 효과가 짝 안에서 상쇄되므로 전체 표본을 그대로 쓸 수 있음. 캘리퍼 0.2×SD · 비복원 · 10,030쌍.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31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쌍수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처리군_순감소율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대조군_순감소율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ATT(%p)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6848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-5.39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-12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1710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-9.3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1422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0.211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-8.51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9</w:t>
      </w:r>
    </w:p>
    <w:p>
      <w:r>
        <w:rPr>
          <w:b w:val="0"/>
          <w:sz w:val="21"/>
          <w:rFonts w:ascii="맑은 고딕" w:hAnsi="맑은 고딕" w:eastAsia="맑은 고딕" w:cs="맑은 고딕"/>
        </w:rPr>
        <w:t>매칭 후 모든 공변량 |SMD| &lt; 0.1 임 — 이 관문을 통과해야 ATT 를 읽을 수 있음. McNemar p≈0, 상권 단위 클러스터 부트스트랩 95% CI 가 0 을 포함하지 않음.</w:t>
      </w:r>
    </w:p>
    <w:p>
      <w:r>
        <w:rPr>
          <w:b/>
          <w:sz w:val="21"/>
          <w:rFonts w:ascii="맑은 고딕" w:hAnsi="맑은 고딕" w:eastAsia="맑은 고딕" w:cs="맑은 고딕"/>
        </w:rPr>
        <w:t>유형별로 나누어도 부호가 모두 같음</w:t>
      </w:r>
      <w:r>
        <w:rPr>
          <w:b w:val="0"/>
          <w:sz w:val="21"/>
          <w:rFonts w:ascii="맑은 고딕" w:hAnsi="맑은 고딕" w:eastAsia="맑은 고딕" w:cs="맑은 고딕"/>
        </w:rPr>
        <w:t>(골목 −5.39 · 전통시장 −8.51 · 발달 −9.30). 한 유형의 산물이 아니며, 캘리퍼·복원·유형 미고정을 바꾼 6종 설계에서도 −6.47 ~ −7.65%p 로 방향이 같음.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10. 사후검정 — 어느 유형 쌍이 다른가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전통시장 ↔ 골목상권만 갈리지 않고, 나머지 다섯 쌍은 모두 유의함.</w:t>
      </w:r>
    </w:p>
    <w:p>
      <w:r>
        <w:rPr>
          <w:b w:val="0"/>
          <w:sz w:val="21"/>
          <w:rFonts w:ascii="맑은 고딕" w:hAnsi="맑은 고딕" w:eastAsia="맑은 고딕" w:cs="맑은 고딕"/>
        </w:rPr>
        <w:t>Kruskal-Wallis 는 「어딘가 차이가 있다」까지만 말함. Dunn's test 로 쌍마다 z 를 내고 쌍의 개수만큼 Bonferroni 보정함. 순감소 비율은 0, 1/12, 2/12 같은 값이 반복되어 동순위가 많으므로 동순위 보정을 적용함.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median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mean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size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0.2176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775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0.2282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2922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0.2894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1932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0.3333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0.3779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58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z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p(보정)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더 높은 쪽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쌍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10.41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7.23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 ↔ 발달상권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12.44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6.84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발달상권 ↔ 관광특구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4.07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0.0003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True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관광특구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전통시장 ↔ 골목상권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0.321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False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골목상권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11</w:t>
      </w:r>
    </w:p>
    <w:p>
      <w:r>
        <w:rPr>
          <w:b w:val="0"/>
          <w:sz w:val="21"/>
          <w:rFonts w:ascii="맑은 고딕" w:hAnsi="맑은 고딕" w:eastAsia="맑은 고딕" w:cs="맑은 고딕"/>
        </w:rPr>
        <w:t>순위는 전통시장 = 골목상권 &lt; 발달상권 &lt; 관광특구 임. 전통시장과 골목상권은 위험 수준에서 같은 자리에 있으므로 하나로 묶어 다루어도 무리가 없음. 관광특구는 상권이 6개뿐이므로 별도 결론으로 쓰지 않음.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11. 모델 선정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다섯 모델의 AP 차이가 0.01 수준이라 모델 선택이 결론을 바꾸지 않음 — 분해 도구가 있는 XGBoost 를 채택함.</w:t>
      </w:r>
    </w:p>
    <w:p>
      <w:r>
        <w:rPr>
          <w:b w:val="0"/>
          <w:sz w:val="21"/>
          <w:rFonts w:ascii="맑은 고딕" w:hAnsi="맑은 고딕" w:eastAsia="맑은 고딕" w:cs="맑은 고딕"/>
        </w:rPr>
        <w:t>성격이 다른 다섯 계열을 같은 검증 분기에서 비교함 — 단일 트리, 배깅 앙상블, 선형 확률모형, 마진 기반 분류기, 부스팅임. 불균형은 모든 모델에 가중치로 다뤄 조건을 같게 맞춤. 분할 이전 오버샘플링은 하지 않음 — 복제된 소수 클래스가 학습과 검증에 함께 들어가 성능이 부풀려짐.</w:t>
      </w:r>
    </w:p>
    <w:p>
      <w:r>
        <w:rPr>
          <w:b w:val="0"/>
          <w:sz w:val="21"/>
          <w:rFonts w:ascii="맑은 고딕" w:hAnsi="맑은 고딕" w:eastAsia="맑은 고딕" w:cs="맑은 고딕"/>
        </w:rPr>
        <w:t>주지표는 AP(정밀도-재현율 곡선 아래 면적)임. 양성률이 26% 인 소수 사건이라 정확도는 판단 근거가 되지 못함 — 전부 0 으로 찍어도 74.7% 가 나옴.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F1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정확도</w:t>
            </w:r>
          </w:p>
        </w:tc>
        <w:tc>
          <w:tcPr>
            <w:tcW w:type="dxa" w:w="131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모델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랜덤포레스트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1.584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선형 SVM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1.652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로지스틱 회귀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0.406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1.646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의사결정나무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0.667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0.420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0.441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0.692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1.585</w:t>
            </w:r>
          </w:p>
        </w:tc>
      </w:tr>
      <w:tr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XGBoost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0.699</w:t>
            </w:r>
          </w:p>
        </w:tc>
        <w:tc>
          <w:tcPr>
            <w:tcW w:type="dxa" w:w="131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1.601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7133" cy="32918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329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4</w:t>
      </w:r>
    </w:p>
    <w:p>
      <w:r>
        <w:rPr>
          <w:b w:val="0"/>
          <w:sz w:val="21"/>
          <w:rFonts w:ascii="맑은 고딕" w:hAnsi="맑은 고딕" w:eastAsia="맑은 고딕" w:cs="맑은 고딕"/>
        </w:rPr>
        <w:t>AP 1위는 랜덤포레스트(0.408)이고 XGBoost 는 0.398 임. 차이가 0.01 이라 순위가 결론을 바꾸지 않으므로, 트리 구조를 따라 기여를 정확히 분해하는 도구가 있는 축을 택함 — 후반부 질문이 「무엇이 위험을 만드는가」여서 분해가 필요함. 13절에서 두 모델을 나란히 보고함.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12. 작동점 — 몇 칸을 위험으로 찍을 것인가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상위 100칸 정밀도 0.600 — 기저율의 2.31배이고, 점포 수 순 목록과 23% 만 겹침.</w:t>
      </w:r>
    </w:p>
    <w:p>
      <w:r>
        <w:rPr>
          <w:b w:val="0"/>
          <w:sz w:val="21"/>
          <w:rFonts w:ascii="맑은 고딕" w:hAnsi="맑은 고딕" w:eastAsia="맑은 고딕" w:cs="맑은 고딕"/>
        </w:rPr>
        <w:t>기저율과 같은 비율에 경보를 울리는 운영은 없으므로, 손이 닿는 수십~수백 곳을 찍는 조건에서 평가함.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작동점은 </w:t>
      </w:r>
      <w:r>
        <w:rPr>
          <w:b/>
          <w:sz w:val="21"/>
          <w:rFonts w:ascii="맑은 고딕" w:hAnsi="맑은 고딕" w:eastAsia="맑은 고딕" w:cs="맑은 고딕"/>
        </w:rPr>
        <w:t>검증 분기에서 고르고 테스트에 그대로 옮김.</w:t>
      </w:r>
      <w:r>
        <w:rPr>
          <w:b w:val="0"/>
          <w:sz w:val="21"/>
          <w:rFonts w:ascii="맑은 고딕" w:hAnsi="맑은 고딕" w:eastAsia="맑은 고딕" w:cs="맑은 고딕"/>
        </w:rPr>
        <w:t xml:space="preserve"> 테스트를 본 뒤 「잘 나오는 지점」을 고르면 그 순간 테스트가 검증이 되어 버림.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정밀도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재현율</w:t>
            </w:r>
          </w:p>
        </w:tc>
        <w:tc>
          <w:tcPr>
            <w:tcW w:type="dxa" w:w="262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검증 ÷ 기저율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2.292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2.371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0.555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2.193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0.513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0.111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2.028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0.488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1.928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0.257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1.768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1285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0.412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1.627</w:t>
            </w:r>
          </w:p>
        </w:tc>
      </w:tr>
      <w:tr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2000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0.378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0.543</w:t>
            </w:r>
          </w:p>
        </w:tc>
        <w:tc>
          <w:tcPr>
            <w:tcW w:type="dxa" w:w="262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1.494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정밀도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정밀도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재현율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재현율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÷ 기저율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점포 수 ÷ 기저율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두 목록 겹침</w:t>
            </w:r>
          </w:p>
        </w:tc>
        <w:tc>
          <w:tcPr>
            <w:tcW w:type="dxa" w:w="1168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XGBoost 평균점포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위험으로 찍은 수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0.720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0.025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0.013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2.772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1.463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108.620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2.310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1.771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0.230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100.980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0.575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0.520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2.214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2.002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0.360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82.425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0.533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0.493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0.104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2.054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1.899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74.143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0.494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0.174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1.902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1.787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0.516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65.012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0.441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0.459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0.248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0.258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1.699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1.766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0.619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57.014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1285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0.359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1.531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1.645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0.687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47.151</w:t>
            </w:r>
          </w:p>
        </w:tc>
      </w:tr>
      <w:tr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2000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0.376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0.383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0.528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0.538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1.448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1.475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0.742</w:t>
            </w:r>
          </w:p>
        </w:tc>
        <w:tc>
          <w:tcPr>
            <w:tcW w:type="dxa" w:w="1168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38.217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14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많이 찍으면 두 방법이 수렴함 — 상위 500칸에서는 겹침이 51.6% 로 올라가고 정밀도 차이도 줄어듦. 따라서 모델의 실무 가치는 </w:t>
      </w:r>
      <w:r>
        <w:rPr>
          <w:b/>
          <w:sz w:val="21"/>
          <w:rFonts w:ascii="맑은 고딕" w:hAnsi="맑은 고딕" w:eastAsia="맑은 고딕" w:cs="맑은 고딕"/>
        </w:rPr>
        <w:t>상위 소수를 찍는 구간에 한정됨.</w:t>
      </w:r>
    </w:p>
    <w:p>
      <w:r>
        <w:rPr>
          <w:b w:val="0"/>
          <w:sz w:val="21"/>
          <w:rFonts w:ascii="맑은 고딕" w:hAnsi="맑은 고딕" w:eastAsia="맑은 고딕" w:cs="맑은 고딕"/>
        </w:rPr>
        <w:t>겹침이 낮다는 것은 크기만 보고는 찾을 수 없는 곳을 지목한다는 뜻임.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13. 테스트 최종 평가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위험등급 네 단계의 실제 순감소율이 단조 증가해, 순위가 실제 위험과 맞음.</w:t>
      </w:r>
    </w:p>
    <w:p>
      <w:r>
        <w:rPr>
          <w:b w:val="0"/>
          <w:sz w:val="21"/>
          <w:rFonts w:ascii="맑은 고딕" w:hAnsi="맑은 고딕" w:eastAsia="맑은 고딕" w:cs="맑은 고딕"/>
        </w:rPr>
        <w:t>학습 2023Q1~2025Q2 · 검증 2025Q3 · 테스트 2025Q4 로 시간 순서대로 나누고 섞지 않음. 각 분기는 그 다음 분기의 결과로 채점하므로, 테스트 결과는 2026Q1 의 실측임.</w:t>
      </w:r>
    </w:p>
    <w:p>
      <w:r>
        <w:rPr>
          <w:b w:val="0"/>
          <w:sz w:val="21"/>
          <w:rFonts w:ascii="맑은 고딕" w:hAnsi="맑은 고딕" w:eastAsia="맑은 고딕" w:cs="맑은 고딕"/>
        </w:rPr>
        <w:t>검증은 모델과 임계값을 고르는 데 썼으므로 그 점수는 낙관적으로 치우침. 테스트는 결정이 끝난 뒤 한 번만 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테스트(2026Q1 결과)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0.395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0.372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F1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0.384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정확도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0.689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Lift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1.522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15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기저율과 같은 비율을 찍는 설정에서는 「점포 수」 규칙이 더 높음(Lift 1.645 대 1.522). 6절의 구간별 표와 12절의 작동점별 표를 함께 읽어야 해석이 됨 — </w:t>
      </w:r>
      <w:r>
        <w:rPr>
          <w:b/>
          <w:sz w:val="21"/>
          <w:rFonts w:ascii="맑은 고딕" w:hAnsi="맑은 고딕" w:eastAsia="맑은 고딕" w:cs="맑은 고딕"/>
        </w:rPr>
        <w:t>모델이 이기는 곳은 상위 소수 구간과 작은 규모 구간임.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14. 두 단계로 나눈 모형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사건 발생과 방향을 나누면 규모 의존이 1단계에 갇힘 — 곱은 근사가 아니라 정확한 등식임.</w:t>
      </w:r>
    </w:p>
    <w:p>
      <w:r>
        <w:rPr>
          <w:b w:val="0"/>
          <w:sz w:val="21"/>
          <w:rFonts w:ascii="맑은 고딕" w:hAnsi="맑은 고딕" w:eastAsia="맑은 고딕" w:cs="맑은 고딕"/>
        </w:rPr>
        <w:t>라벨은 두 가지가 겹친 사건임 — 다음 분기에 개·폐업이 한 건이라도 일어나는가, 일어났다면 줄어드는 쪽인가. P(순감소) = P(사건) × P(순감소 | 사건) 으로 나누어 각각 추정하고 곱함.</w:t>
      </w:r>
    </w:p>
    <w:p>
      <w:r>
        <w:rPr>
          <w:b w:val="0"/>
          <w:sz w:val="21"/>
          <w:rFonts w:ascii="맑은 고딕" w:hAnsi="맑은 고딕" w:eastAsia="맑은 고딕" w:cs="맑은 고딕"/>
        </w:rPr>
        <w:t>곱하는 것이 정확한 등식인 이유는 순감소가 사건의 부분집합이기 때문임 — 폐업이 개업보다 많으면 폐업이 최소 한 건 있으므로, 사건이 없는 경우의 순감소 확률이 정확히 0 으로 사라짐.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AP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ROC-AUC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정밀도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재현율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Lift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방법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단일 모형 (XGBoost)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0.398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0.665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1.601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2단계 모형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0.405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0.673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0.421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1.663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16</w:t>
      </w:r>
    </w:p>
    <w:p>
      <w:r>
        <w:rPr>
          <w:b w:val="0"/>
          <w:sz w:val="21"/>
          <w:rFonts w:ascii="맑은 고딕" w:hAnsi="맑은 고딕" w:eastAsia="맑은 고딕" w:cs="맑은 고딕"/>
        </w:rPr>
        <w:t>3절에서 본 「작아서 아무 일도 일어나지 않는다」는 문제가 1단계에 갇힘. 2단계는 이미 일이 일어난 칸만 보므로 그 편향이 원리적으로 들어올 수 없음.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성능도 2단계가 조금 높으나(AP 0.405 대 0.398) 차이는 작음. 나누는 실익은 성능이 아니라 </w:t>
      </w:r>
      <w:r>
        <w:rPr>
          <w:b/>
          <w:sz w:val="21"/>
          <w:rFonts w:ascii="맑은 고딕" w:hAnsi="맑은 고딕" w:eastAsia="맑은 고딕" w:cs="맑은 고딕"/>
        </w:rPr>
        <w:t>규모 편향의 분리</w:t>
      </w:r>
      <w:r>
        <w:rPr>
          <w:b w:val="0"/>
          <w:sz w:val="21"/>
          <w:rFonts w:ascii="맑은 고딕" w:hAnsi="맑은 고딕" w:eastAsia="맑은 고딕" w:cs="맑은 고딕"/>
        </w:rPr>
        <w:t>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15. 두 확률로 나눈 상권 유형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곱하지 않고 두 축으로 두면 「정체되어 있으나 변화 시 취약한 상권」이 드러남 — 골목상권의 34.7%.</w:t>
      </w:r>
    </w:p>
    <w:p>
      <w:r>
        <w:rPr>
          <w:b w:val="0"/>
          <w:sz w:val="21"/>
          <w:rFonts w:ascii="맑은 고딕" w:hAnsi="맑은 고딕" w:eastAsia="맑은 고딕" w:cs="맑은 고딕"/>
        </w:rPr>
        <w:t>사건 확률은 「얼마나 활발하게 변하는가」, 순감소 조건부 확률은 「변할 때 어느 방향인가」를 나타냄. 두 축의 경계는 검증 분기의 중앙값으로 정함 — 테스트 분포를 보고 자르면 그 순간 테스트가 검증이 됨.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두 축의 이름이 데이터와 맞는지는 다음 분기 실측으로 검산함. 사건 축은 실제 발생률(0.705 대 0.338), 방향 축은 </w:t>
      </w:r>
      <w:r>
        <w:rPr>
          <w:b/>
          <w:sz w:val="21"/>
          <w:rFonts w:ascii="맑은 고딕" w:hAnsi="맑은 고딕" w:eastAsia="맑은 고딕" w:cs="맑은 고딕"/>
        </w:rPr>
        <w:t>사건이 난 칸만 분모로</w:t>
      </w:r>
      <w:r>
        <w:rPr>
          <w:b w:val="0"/>
          <w:sz w:val="21"/>
          <w:rFonts w:ascii="맑은 고딕" w:hAnsi="맑은 고딕" w:eastAsia="맑은 고딕" w:cs="맑은 고딕"/>
        </w:rPr>
        <w:t xml:space="preserve"> 한 순감소 비율(0.560 대 0.460)로 확인함.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평균최종위험도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평균개업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평균폐업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유형</w:t>
            </w:r>
          </w:p>
        </w:tc>
        <w:tc>
          <w:tcPr>
            <w:tcW w:type="dxa" w:w="1051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기저율대비</w:t>
            </w:r>
          </w:p>
        </w:tc>
      </w:tr>
      <w:tr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사건_수준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방향_수준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1229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0.113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7.776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0.137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안정적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</w:t>
            </w:r>
          </w:p>
        </w:tc>
      </w:tr>
      <w:tr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1535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0.192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7.550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0.263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0.163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정체되어 있으나 변화 시 취약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0.74</w:t>
            </w:r>
          </w:p>
        </w:tc>
        <w:tc>
          <w:tcPr>
            <w:tcW w:type="dxa" w:w="1051"/>
          </w:tcPr>
          <w:p/>
        </w:tc>
      </w:tr>
      <w:tr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낮음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1529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0.319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0.277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35.572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1.109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1.443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활발하게 변하나 성장·유지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1.23</w:t>
            </w:r>
          </w:p>
        </w:tc>
      </w:tr>
      <w:tr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높음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1186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0.368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0.432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35.019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1.223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1.106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활발하게 변하면서 쇠퇴</w:t>
            </w:r>
          </w:p>
        </w:tc>
        <w:tc>
          <w:tcPr>
            <w:tcW w:type="dxa" w:w="1051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1.42</w:t>
            </w:r>
          </w:p>
        </w:tc>
        <w:tc>
          <w:tcPr>
            <w:tcW w:type="dxa" w:w="1051"/>
          </w:tcPr>
          <w:p/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31579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1579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5</w:t>
      </w:r>
    </w:p>
    <w:p>
      <w:r>
        <w:rPr>
          <w:b w:val="0"/>
          <w:sz w:val="21"/>
          <w:rFonts w:ascii="맑은 고딕" w:hAnsi="맑은 고딕" w:eastAsia="맑은 고딕" w:cs="맑은 고딕"/>
        </w:rPr>
        <w:t>최종 위험도(두 확률의 곱)로 한 줄 세우면 사건 확률이 높은 쪽 — 즉 점포가 많은 상권 — 이 앞에 오고 작은 상권은 뒤로 밀림. 그런데 뒤로 밀리는 쪽에 「조용하지만 한 번 흔들리면 버티지 못하는」 유형이 들어 있음.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네 유형의 실제 순감소율은 안정적 16.6% · 정체·취약 19.2% · 활발·성장 31.9% · 활발·쇠퇴 36.8% 임. </w:t>
      </w:r>
      <w:r>
        <w:rPr>
          <w:b/>
          <w:sz w:val="21"/>
          <w:rFonts w:ascii="맑은 고딕" w:hAnsi="맑은 고딕" w:eastAsia="맑은 고딕" w:cs="맑은 고딕"/>
        </w:rPr>
        <w:t>순위 하나로 합치면 이 구분이 사라지므로 두 축을 남김.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16. 무엇이 위험을 만드는가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단일 모형의 답은 「점포가 많으면 위험」뿐 — 단계를 나눠야 크기와 무관한 위험 요인이 보임.</w:t>
      </w:r>
    </w:p>
    <w:p>
      <w:r>
        <w:rPr>
          <w:b w:val="0"/>
          <w:sz w:val="21"/>
          <w:rFonts w:ascii="맑은 고딕" w:hAnsi="맑은 고딕" w:eastAsia="맑은 고딕" w:cs="맑은 고딕"/>
        </w:rPr>
        <w:t>SHAP 으로 각 변수가 예측을 어느 방향으로 얼마나 밀었는지 개별 예측 단위로 분해하고, 규모·밀도 계열의 기여 비중을 따로 계산함.</w:t>
      </w:r>
    </w:p>
    <w:p>
      <w:r>
        <w:rPr>
          <w:b w:val="0"/>
          <w:sz w:val="21"/>
          <w:rFonts w:ascii="맑은 고딕" w:hAnsi="맑은 고딕" w:eastAsia="맑은 고딕" w:cs="맑은 고딕"/>
        </w:rPr>
        <w:t>두 단계는 각각 따로 열어야 함. 최종 점수가 두 확률의 곱이라 한 장으로 합칠 수 없고, 로그를 취하면 가법이 되므로 합산 기여는 보조로만 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5214" cy="3291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5214" cy="3291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5256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2단계 평균 |SHAP|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서비스_업종_코드_명_한식음식점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0.1710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외식물가지수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0.1408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순감소_현재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0.0869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서비스_업종_코드_명_커피-음료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0.0807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점포당매출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0.0775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업종점포비중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0.0730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외식지출전망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0.0720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서비스_업종_코드_명_호프-간이주점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0.0628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당월_매출_건수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0.0561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프랜차이즈비율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0.0450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당월_매출_금액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0.0420</w:t>
            </w:r>
          </w:p>
        </w:tc>
      </w:tr>
      <w:tr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서비스_업종_코드_명_일식음식점</w:t>
            </w:r>
          </w:p>
        </w:tc>
        <w:tc>
          <w:tcPr>
            <w:tcW w:type="dxa" w:w="5256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0.0383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18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규모·밀도 기여는 단일 모형 53.1% · 1단계 65.4% · 2단계 38.3% 임. </w:t>
      </w:r>
      <w:r>
        <w:rPr>
          <w:b/>
          <w:sz w:val="21"/>
          <w:rFonts w:ascii="맑은 고딕" w:hAnsi="맑은 고딕" w:eastAsia="맑은 고딕" w:cs="맑은 고딕"/>
        </w:rPr>
        <w:t>「크기와 무관한 위험 요인」은 2단계 상위에서 읽어야 하고,</w:t>
      </w:r>
      <w:r>
        <w:rPr>
          <w:b w:val="0"/>
          <w:sz w:val="21"/>
          <w:rFonts w:ascii="맑은 고딕" w:hAnsi="맑은 고딕" w:eastAsia="맑은 고딕" w:cs="맑은 고딕"/>
        </w:rPr>
        <w:t xml:space="preserve"> 그 자리에 업종 자체·외식물가지수·직전 분기 순감소·점포당매출·업종 구성이 옴.</w:t>
      </w:r>
    </w:p>
    <w:p>
      <w:r>
        <w:rPr>
          <w:b w:val="0"/>
          <w:sz w:val="21"/>
          <w:rFonts w:ascii="맑은 고딕" w:hAnsi="맑은 고딕" w:eastAsia="맑은 고딕" w:cs="맑은 고딕"/>
        </w:rPr>
        <w:t xml:space="preserve">외부 거시지표 「외식지출전망」은 단일 모형 SHAP 3위에 오르지만 테스트 분기에서 모든 칸이 같은 값이라 순위를 바꾸지 못함. </w:t>
      </w:r>
      <w:r>
        <w:rPr>
          <w:b/>
          <w:sz w:val="21"/>
          <w:rFonts w:ascii="맑은 고딕" w:hAnsi="맑은 고딕" w:eastAsia="맑은 고딕" w:cs="맑은 고딕"/>
        </w:rPr>
        <w:t>「기여도가 높다」와 「순위에 도움이 된다」는 다른 말임.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17. 위험도 공간 분석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역과의 거리는 순감소를 설명하지 못함 — 남는 것은 규모 효과임.</w:t>
      </w:r>
    </w:p>
    <w:p>
      <w:r>
        <w:rPr>
          <w:b w:val="0"/>
          <w:sz w:val="21"/>
          <w:rFonts w:ascii="맑은 고딕" w:hAnsi="맑은 고딕" w:eastAsia="맑은 고딕" w:cs="맑은 고딕"/>
        </w:rPr>
        <w:t>좌표는 두 벌을 유지함 — 그릴 때는 위경도, 거리를 잴 때는 원본 미터 좌표(EPSG:5181)임. 위경도는 1도의 실제 길이가 위도마다 달라 뺄셈으로 거리를 구할 수 없음. 좌표계는 지하철역 상권의 실제 위경도와 대조해 확정함.</w:t>
      </w:r>
    </w:p>
    <w:p>
      <w:r>
        <w:rPr>
          <w:b w:val="0"/>
          <w:sz w:val="21"/>
          <w:rFonts w:ascii="맑은 고딕" w:hAnsi="맑은 고딕" w:eastAsia="맑은 고딕" w:cs="맑은 고딕"/>
        </w:rPr>
        <w:t>위험등급은 보기 좋은 눈금이 아니라 위험점수의 4분위로 자름. ±2% 눈금으로 자르면 표본 98개 구간이 가장 높게 튀어 순서가 뒤집힘 — 지도 색이 위험 순서를 나타내지 못한다는 뜻임.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칸수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평균위험점수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  <w:tc>
          <w:tcPr>
            <w:tcW w:type="dxa" w:w="175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기저율대비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위험등급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관찰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0.209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0.153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8.547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0.59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주의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0.345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0.194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12.060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0.75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경계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1369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0.461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0.299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19.187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1.15</w:t>
            </w:r>
          </w:p>
        </w:tc>
      </w:tr>
      <w:tr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위험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1370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0.643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0.393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45.672</w:t>
            </w:r>
          </w:p>
        </w:tc>
        <w:tc>
          <w:tcPr>
            <w:tcW w:type="dxa" w:w="175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1.51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상권수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평균위험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실제순감소율</w:t>
            </w:r>
          </w:p>
        </w:tc>
        <w:tc>
          <w:tcPr>
            <w:tcW w:type="dxa" w:w="2102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평균점포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역거리_구간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역세권 상권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0.623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0.414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53.419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0~250m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66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0.227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19.212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250~500m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370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0.475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0.273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21.095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500m~1km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519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0.468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0.295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21.383</w:t>
            </w:r>
          </w:p>
        </w:tc>
      </w:tr>
      <w:tr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1km 초과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211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0.434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0.294</w:t>
            </w:r>
          </w:p>
        </w:tc>
        <w:tc>
          <w:tcPr>
            <w:tcW w:type="dxa" w:w="2102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18.569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31579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1579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  <w:rFonts w:ascii="맑은 고딕" w:hAnsi="맑은 고딕" w:eastAsia="맑은 고딕" w:cs="맑은 고딕"/>
        </w:rPr>
        <w:t>그림 7</w:t>
      </w:r>
    </w:p>
    <w:p>
      <w:r>
        <w:rPr>
          <w:b w:val="0"/>
          <w:sz w:val="21"/>
          <w:rFonts w:ascii="맑은 고딕" w:hAnsi="맑은 고딕" w:eastAsia="맑은 고딕" w:cs="맑은 고딕"/>
        </w:rPr>
        <w:t>역 밖 네 구간의 평균 위험이 0.43~0.48 로 사실상 평평하고, 250m~1km 가 0~250m 보다 오히려 높아 순서도 맞지 않음. 두드러지는 것은 「역세권 상권 자체」뿐인데 그 상권들의 평균 점포가 2.4배 이상 크므로 거리 효과가 아니라 규모 효과임.</w:t>
      </w:r>
    </w:p>
    <w:p>
      <w:r>
        <w:rPr>
          <w:b w:val="0"/>
          <w:sz w:val="21"/>
          <w:rFonts w:ascii="맑은 고딕" w:hAnsi="맑은 고딕" w:eastAsia="맑은 고딕" w:cs="맑은 고딕"/>
        </w:rPr>
        <w:t>상권 경계 폴리곤을 확보하지 못해 단계구분도는 그리지 못하고, 버블 분포도·500m 격자·동심원·공간 평활 네 레이어로 같은 질문에 답함.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</w:rPr>
        <w:t>18. 종합 결론</w:t>
      </w:r>
    </w:p>
    <w:p>
      <w:r>
        <w:rPr>
          <w:b w:val="0"/>
          <w:sz w:val="22"/>
          <w:rFonts w:ascii="맑은 고딕" w:hAnsi="맑은 고딕" w:eastAsia="맑은 고딕" w:cs="맑은 고딕"/>
        </w:rPr>
        <w:t>핵심 — 대응 단위는 범주가 아니라 상권임 — 네 유형이 이 분석의 실무 산출물임.</w:t>
      </w:r>
    </w:p>
    <w:p>
      <w:r>
        <w:rPr>
          <w:b w:val="0"/>
          <w:sz w:val="21"/>
          <w:rFonts w:ascii="맑은 고딕" w:hAnsi="맑은 고딕" w:eastAsia="맑은 고딕" w:cs="맑은 고딕"/>
        </w:rPr>
        <w:t>가설별로 통계적 유의성과 실질적 크기를 함께 적음. 표본이 수만 건이라 p-value 만으로는 판단할 수 없음.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가설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판정</w:t>
            </w:r>
          </w:p>
        </w:tc>
        <w:tc>
          <w:tcPr>
            <w:tcW w:type="dxa" w:w="3504"/>
          </w:tcPr>
          <w:p>
            <w:r>
              <w:rPr>
                <w:b/>
                <w:sz w:val="17"/>
                <w:rFonts w:ascii="맑은 고딕" w:hAnsi="맑은 고딕" w:eastAsia="맑은 고딕" w:cs="맑은 고딕"/>
              </w:rPr>
              <w:t>근거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다음 분기 순감소를 예측할 수 있는가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지지 (조건부)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상위 100칸 정밀도 0.600 = 기저율의 2.31배. 단 상위 소수를 찍는 작동점에 한정됨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상권유형에 따라 위험이 다른가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조건부 지지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CMH χ²(1)=9.83, p=0.0017 · 공통 오즈비 1.061. 단 Woolf 동질성 기각(p=0.0000166)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업종 자체가 위험을 만드는가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기각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PSM 후 ATT −6.53%p 로 부호 반전. 네 유형 모두 음수이므로 규모 교란이었음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동일 업종이라도 유형에 따라 다른가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부분 지지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8/10 업종 유의하나 ε² 0.0002~0.1202 로 업종 간 폭이 큼</w:t>
            </w:r>
          </w:p>
        </w:tc>
      </w:tr>
      <w:tr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역과의 거리가 위험을 설명하는가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기각</w:t>
            </w:r>
          </w:p>
        </w:tc>
        <w:tc>
          <w:tcPr>
            <w:tcW w:type="dxa" w:w="3504"/>
          </w:tcPr>
          <w:p>
            <w:r>
              <w:rPr>
                <w:sz w:val="17"/>
                <w:rFonts w:ascii="맑은 고딕" w:hAnsi="맑은 고딕" w:eastAsia="맑은 고딕" w:cs="맑은 고딕"/>
              </w:rPr>
              <w:t>역 밖 네 구간의 위험이 0.43~0.48 로 평평하고 순서도 맞지 않음</w:t>
            </w:r>
          </w:p>
        </w:tc>
      </w:tr>
    </w:tbl>
    <w:p>
      <w:r>
        <w:rPr>
          <w:b w:val="0"/>
          <w:i/>
          <w:sz w:val="18"/>
          <w:rFonts w:ascii="맑은 고딕" w:hAnsi="맑은 고딕" w:eastAsia="맑은 고딕" w:cs="맑은 고딕"/>
        </w:rPr>
        <w:t>표 21 — 가설 종합</w:t>
      </w:r>
    </w:p>
    <w:p>
      <w:r>
        <w:rPr>
          <w:b/>
          <w:sz w:val="21"/>
          <w:rFonts w:ascii="맑은 고딕" w:hAnsi="맑은 고딕" w:eastAsia="맑은 고딕" w:cs="맑은 고딕"/>
        </w:rPr>
        <w:t>핵심 질문에 대한 답 — 어디인가.</w:t>
      </w:r>
      <w:r>
        <w:rPr>
          <w:b w:val="0"/>
          <w:sz w:val="21"/>
          <w:rFonts w:ascii="맑은 고딕" w:hAnsi="맑은 고딕" w:eastAsia="맑은 고딕" w:cs="맑은 고딕"/>
        </w:rPr>
        <w:t xml:space="preserve"> 검증에서 정한 작동점(상위 100칸)을 테스트에 옮기면 정밀도 0.600 으로 기저율 26.0% 의 2.31배임. 상위 50칸으로 좁히면 0.720 임. 이 목록은 「점포 수가 많은 순」과 10~23% 만 겹치므로 크기만 보고는 찾을 수 없는 곳을 지목함.</w:t>
      </w:r>
    </w:p>
    <w:p>
      <w:r>
        <w:rPr>
          <w:b/>
          <w:sz w:val="21"/>
          <w:rFonts w:ascii="맑은 고딕" w:hAnsi="맑은 고딕" w:eastAsia="맑은 고딕" w:cs="맑은 고딕"/>
        </w:rPr>
        <w:t>무엇이 위험을 만드는가.</w:t>
      </w:r>
      <w:r>
        <w:rPr>
          <w:b w:val="0"/>
          <w:sz w:val="21"/>
          <w:rFonts w:ascii="맑은 고딕" w:hAnsi="맑은 고딕" w:eastAsia="맑은 고딕" w:cs="맑은 고딕"/>
        </w:rPr>
        <w:t xml:space="preserve"> 단일 모형에서는 규모·밀도가 기여의 절반을 넘어(53.1%) 「점포가 많으면 위험」이라는 답밖에 나오지 않음. 두 단계로 나누면 그 의존이 1단계에 몰리고(65.4%) 2단계에서 38.3% 로 떨어지므로, 크기와 무관한 위험 요인은 2단계 상위에서 읽어야 함.</w:t>
      </w:r>
    </w:p>
    <w:p>
      <w:r>
        <w:rPr>
          <w:b/>
          <w:sz w:val="21"/>
          <w:rFonts w:ascii="맑은 고딕" w:hAnsi="맑은 고딕" w:eastAsia="맑은 고딕" w:cs="맑은 고딕"/>
        </w:rPr>
        <w:t>실무 산출물.</w:t>
      </w:r>
      <w:r>
        <w:rPr>
          <w:b w:val="0"/>
          <w:sz w:val="21"/>
          <w:rFonts w:ascii="맑은 고딕" w:hAnsi="맑은 고딕" w:eastAsia="맑은 고딕" w:cs="맑은 고딕"/>
        </w:rPr>
        <w:t xml:space="preserve"> 네 유형 가운데 「정체되어 있으나 변화 시 취약」이 골목상권의 34.7% 를 차지하는데, 최종 위험도 하나로 줄 세우면 이 유형이 뒤로 밀려 보이지 않게 됨. 대상 선정은 두 축을 함께 보고 해야 함.</w:t>
      </w:r>
    </w:p>
    <w:p>
      <w:r>
        <w:rPr>
          <w:b/>
          <w:sz w:val="21"/>
          <w:rFonts w:ascii="맑은 고딕" w:hAnsi="맑은 고딕" w:eastAsia="맑은 고딕" w:cs="맑은 고딕"/>
        </w:rPr>
        <w:t>한계 네 가지.</w:t>
      </w:r>
      <w:r>
        <w:rPr>
          <w:b w:val="0"/>
          <w:sz w:val="21"/>
          <w:rFonts w:ascii="맑은 고딕" w:hAnsi="맑은 고딕" w:eastAsia="맑은 고딕" w:cs="맑은 고딕"/>
        </w:rPr>
        <w:t xml:space="preserve"> ① 「폐업」은 사업자등록 말소이므로 실제 폐점과 다를 수 있음. ② 카드 매출 기반 추정이라 영세 칸의 매출이 관측되지 않음. ③ 층별 오즈비의 동질성이 깨져 유형 효과를 하나의 값으로 요약할 수 없음. ④ 상권 경계 폴리곤이 없어 면 단위 지도를 그리지 못함.</w:t>
      </w:r>
    </w:p>
    <w:p>
      <w:r>
        <w:br w:type="page"/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맑은 고딕" w:hAnsi="맑은 고딕" w:eastAsia="맑은 고딕" w:cs="맑은 고딕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