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cs="맑은 고딕"/>
        </w:rPr>
        <w:t>서울시 상권 폐업위험 예측 모델</w:t>
      </w:r>
    </w:p>
    <w:p>
      <w:r>
        <w:rPr>
          <w:b/>
          <w:i w:val="0"/>
          <w:sz w:val="22"/>
          <w:rFonts w:ascii="맑은 고딕" w:hAnsi="맑은 고딕" w:eastAsia="맑은 고딕" w:cs="맑은 고딕"/>
        </w:rPr>
        <w:t>핵심 질문 — 다음 분기에 점포 순감소(폐업 &gt; 개업)로 전환될 상권 × 업종은 어디이며, 무엇이 위험을 만드는가</w:t>
      </w:r>
    </w:p>
    <w:p>
      <w:r>
        <w:rPr>
          <w:b w:val="0"/>
          <w:i w:val="0"/>
          <w:sz w:val="20"/>
          <w:rFonts w:ascii="맑은 고딕" w:hAnsi="맑은 고딕" w:eastAsia="맑은 고딕" w:cs="맑은 고딕"/>
        </w:rPr>
        <w:t>요식업 10종 · 서울시 전체 상권 4유형 · 2023Q1~2025Q4 · 67,475칸 · 순감소 25.5%</w:t>
      </w:r>
    </w:p>
    <w:p>
      <w:r>
        <w:br w:type="page"/>
      </w:r>
    </w:p>
    <w:p>
      <w:pPr>
        <w:pStyle w:val="Heading1"/>
      </w:pPr>
      <w:r>
        <w:rPr>
          <w:rFonts w:ascii="맑은 고딕" w:hAnsi="맑은 고딕" w:eastAsia="맑은 고딕" w:cs="맑은 고딕"/>
        </w:rPr>
        <w:t>한 장 요약</w:t>
      </w:r>
    </w:p>
    <w:tbl>
      <w:tblPr>
        <w:tblStyle w:val="LightGrid-Accent1"/>
        <w:tblW w:type="auto" w:w="0"/>
        <w:tblLook w:firstColumn="1" w:firstRow="1" w:lastColumn="0" w:lastRow="0" w:noHBand="0" w:noVBand="1" w:val="04A0"/>
      </w:tblPr>
      <w:tblGrid>
        <w:gridCol w:w="3504"/>
        <w:gridCol w:w="3504"/>
        <w:gridCol w:w="3504"/>
      </w:tblGrid>
      <w:tr>
        <w:tc>
          <w:tcPr>
            <w:tcW w:type="dxa" w:w="3504"/>
          </w:tcPr>
          <w:p>
            <w:r>
              <w:rPr>
                <w:b/>
                <w:sz w:val="16"/>
                <w:rFonts w:ascii="맑은 고딕" w:hAnsi="맑은 고딕" w:eastAsia="맑은 고딕" w:cs="맑은 고딕"/>
              </w:rPr>
              <w:t>절</w:t>
            </w:r>
          </w:p>
        </w:tc>
        <w:tc>
          <w:tcPr>
            <w:tcW w:type="dxa" w:w="3504"/>
          </w:tcPr>
          <w:p>
            <w:r>
              <w:rPr>
                <w:b/>
                <w:sz w:val="16"/>
                <w:rFonts w:ascii="맑은 고딕" w:hAnsi="맑은 고딕" w:eastAsia="맑은 고딕" w:cs="맑은 고딕"/>
              </w:rPr>
              <w:t>제목</w:t>
            </w:r>
          </w:p>
        </w:tc>
        <w:tc>
          <w:tcPr>
            <w:tcW w:type="dxa" w:w="3504"/>
          </w:tcPr>
          <w:p>
            <w:r>
              <w:rPr>
                <w:b/>
                <w:sz w:val="16"/>
                <w:rFonts w:ascii="맑은 고딕" w:hAnsi="맑은 고딕" w:eastAsia="맑은 고딕" w:cs="맑은 고딕"/>
              </w:rPr>
              <w:t>핵심 한 줄</w:t>
            </w:r>
          </w:p>
        </w:tc>
      </w:tr>
      <w:tr>
        <w:tc>
          <w:tcPr>
            <w:tcW w:type="dxa" w:w="3504"/>
          </w:tcPr>
          <w:p>
            <w:r>
              <w:rPr>
                <w:sz w:val="16"/>
                <w:rFonts w:ascii="맑은 고딕" w:hAnsi="맑은 고딕" w:eastAsia="맑은 고딕" w:cs="맑은 고딕"/>
              </w:rPr>
              <w:t>01</w:t>
            </w:r>
          </w:p>
        </w:tc>
        <w:tc>
          <w:tcPr>
            <w:tcW w:type="dxa" w:w="3504"/>
          </w:tcPr>
          <w:p>
            <w:r>
              <w:rPr>
                <w:sz w:val="16"/>
                <w:rFonts w:ascii="맑은 고딕" w:hAnsi="맑은 고딕" w:eastAsia="맑은 고딕" w:cs="맑은 고딕"/>
              </w:rPr>
              <w:t>분석 개요</w:t>
            </w:r>
          </w:p>
        </w:tc>
        <w:tc>
          <w:tcPr>
            <w:tcW w:type="dxa" w:w="3504"/>
          </w:tcPr>
          <w:p>
            <w:r>
              <w:rPr>
                <w:sz w:val="16"/>
                <w:rFonts w:ascii="맑은 고딕" w:hAnsi="맑은 고딕" w:eastAsia="맑은 고딕" w:cs="맑은 고딕"/>
              </w:rPr>
              <w:t>다음 분기에 폐업 수가 개업 수보다 많아질 ‘상권×업종’을 한 분기 먼저 찾고, 그 위험이 어디에서 오는지 설명하는 것이 목표다.</w:t>
            </w:r>
          </w:p>
        </w:tc>
      </w:tr>
      <w:tr>
        <w:tc>
          <w:tcPr>
            <w:tcW w:type="dxa" w:w="3504"/>
          </w:tcPr>
          <w:p>
            <w:r>
              <w:rPr>
                <w:sz w:val="16"/>
                <w:rFonts w:ascii="맑은 고딕" w:hAnsi="맑은 고딕" w:eastAsia="맑은 고딕" w:cs="맑은 고딕"/>
              </w:rPr>
              <w:t>02</w:t>
            </w:r>
          </w:p>
        </w:tc>
        <w:tc>
          <w:tcPr>
            <w:tcW w:type="dxa" w:w="3504"/>
          </w:tcPr>
          <w:p>
            <w:r>
              <w:rPr>
                <w:sz w:val="16"/>
                <w:rFonts w:ascii="맑은 고딕" w:hAnsi="맑은 고딕" w:eastAsia="맑은 고딕" w:cs="맑은 고딕"/>
              </w:rPr>
              <w:t>데이터와 전처리 판단</w:t>
            </w:r>
          </w:p>
        </w:tc>
        <w:tc>
          <w:tcPr>
            <w:tcW w:type="dxa" w:w="3504"/>
          </w:tcPr>
          <w:p>
            <w:r>
              <w:rPr>
                <w:sz w:val="16"/>
                <w:rFonts w:ascii="맑은 고딕" w:hAnsi="맑은 고딕" w:eastAsia="맑은 고딕" w:cs="맑은 고딕"/>
              </w:rPr>
              <w:t>결측을 무조건 지우지 않고, 왜 비어 있는지부터 판단했다. 특히 매출 결측은 영세 상권의 특성을 담을 수 있어 그대로 정보로 남겼다.</w:t>
            </w:r>
          </w:p>
        </w:tc>
      </w:tr>
      <w:tr>
        <w:tc>
          <w:tcPr>
            <w:tcW w:type="dxa" w:w="3504"/>
          </w:tcPr>
          <w:p>
            <w:r>
              <w:rPr>
                <w:sz w:val="16"/>
                <w:rFonts w:ascii="맑은 고딕" w:hAnsi="맑은 고딕" w:eastAsia="맑은 고딕" w:cs="맑은 고딕"/>
              </w:rPr>
              <w:t>03</w:t>
            </w:r>
          </w:p>
        </w:tc>
        <w:tc>
          <w:tcPr>
            <w:tcW w:type="dxa" w:w="3504"/>
          </w:tcPr>
          <w:p>
            <w:r>
              <w:rPr>
                <w:sz w:val="16"/>
                <w:rFonts w:ascii="맑은 고딕" w:hAnsi="맑은 고딕" w:eastAsia="맑은 고딕" w:cs="맑은 고딕"/>
              </w:rPr>
              <w:t>라벨의 구조 — y=0에 섞여 있는 두 상태</w:t>
            </w:r>
          </w:p>
        </w:tc>
        <w:tc>
          <w:tcPr>
            <w:tcW w:type="dxa" w:w="3504"/>
          </w:tcPr>
          <w:p>
            <w:r>
              <w:rPr>
                <w:sz w:val="16"/>
                <w:rFonts w:ascii="맑은 고딕" w:hAnsi="맑은 고딕" w:eastAsia="맑은 고딕" w:cs="맑은 고딕"/>
              </w:rPr>
              <w:t>순감소가 아닌 y=0에는 “성장·유지”뿐 아니라 “아무 변화가 없었던 곳”도 많이 섞여 있다. 이 때문에 단순 모델은 위험보다 상권 규모를 먼저 배울 수 있다.</w:t>
            </w:r>
          </w:p>
        </w:tc>
      </w:tr>
      <w:tr>
        <w:tc>
          <w:tcPr>
            <w:tcW w:type="dxa" w:w="3504"/>
          </w:tcPr>
          <w:p>
            <w:r>
              <w:rPr>
                <w:sz w:val="16"/>
                <w:rFonts w:ascii="맑은 고딕" w:hAnsi="맑은 고딕" w:eastAsia="맑은 고딕" w:cs="맑은 고딕"/>
              </w:rPr>
              <w:t>04</w:t>
            </w:r>
          </w:p>
        </w:tc>
        <w:tc>
          <w:tcPr>
            <w:tcW w:type="dxa" w:w="3504"/>
          </w:tcPr>
          <w:p>
            <w:r>
              <w:rPr>
                <w:sz w:val="16"/>
                <w:rFonts w:ascii="맑은 고딕" w:hAnsi="맑은 고딕" w:eastAsia="맑은 고딕" w:cs="맑은 고딕"/>
              </w:rPr>
              <w:t>기초 탐색과 상권유형별 차이</w:t>
            </w:r>
          </w:p>
        </w:tc>
        <w:tc>
          <w:tcPr>
            <w:tcW w:type="dxa" w:w="3504"/>
          </w:tcPr>
          <w:p>
            <w:r>
              <w:rPr>
                <w:sz w:val="16"/>
                <w:rFonts w:ascii="맑은 고딕" w:hAnsi="맑은 고딕" w:eastAsia="맑은 고딕" w:cs="맑은 고딕"/>
              </w:rPr>
              <w:t>상권유형별 순감소율 차이는 통계적으로는 분명했지만, 실제 차이의 크기는 작았다. “유형 자체가 위험을 만든다”고 바로 결론낼 정도는 아니었다.</w:t>
            </w:r>
          </w:p>
        </w:tc>
      </w:tr>
      <w:tr>
        <w:tc>
          <w:tcPr>
            <w:tcW w:type="dxa" w:w="3504"/>
          </w:tcPr>
          <w:p>
            <w:r>
              <w:rPr>
                <w:sz w:val="16"/>
                <w:rFonts w:ascii="맑은 고딕" w:hAnsi="맑은 고딕" w:eastAsia="맑은 고딕" w:cs="맑은 고딕"/>
              </w:rPr>
              <w:t>05</w:t>
            </w:r>
          </w:p>
        </w:tc>
        <w:tc>
          <w:tcPr>
            <w:tcW w:type="dxa" w:w="3504"/>
          </w:tcPr>
          <w:p>
            <w:r>
              <w:rPr>
                <w:sz w:val="16"/>
                <w:rFonts w:ascii="맑은 고딕" w:hAnsi="맑은 고딕" w:eastAsia="맑은 고딕" w:cs="맑은 고딕"/>
              </w:rPr>
              <w:t>비교 기준 — 모델이 넘어야 하는 선</w:t>
            </w:r>
          </w:p>
        </w:tc>
        <w:tc>
          <w:tcPr>
            <w:tcW w:type="dxa" w:w="3504"/>
          </w:tcPr>
          <w:p>
            <w:r>
              <w:rPr>
                <w:sz w:val="16"/>
                <w:rFonts w:ascii="맑은 고딕" w:hAnsi="맑은 고딕" w:eastAsia="맑은 고딕" w:cs="맑은 고딕"/>
              </w:rPr>
              <w:t>예측모델은 무작위보다만 좋아서는 부족하다. 점포 수 하나만으로도 상당히 맞힐 수 있기 때문에, 실제 기준선은 “점포 수 규칙”이다.</w:t>
            </w:r>
          </w:p>
        </w:tc>
      </w:tr>
      <w:tr>
        <w:tc>
          <w:tcPr>
            <w:tcW w:type="dxa" w:w="3504"/>
          </w:tcPr>
          <w:p>
            <w:r>
              <w:rPr>
                <w:sz w:val="16"/>
                <w:rFonts w:ascii="맑은 고딕" w:hAnsi="맑은 고딕" w:eastAsia="맑은 고딕" w:cs="맑은 고딕"/>
              </w:rPr>
              <w:t>06</w:t>
            </w:r>
          </w:p>
        </w:tc>
        <w:tc>
          <w:tcPr>
            <w:tcW w:type="dxa" w:w="3504"/>
          </w:tcPr>
          <w:p>
            <w:r>
              <w:rPr>
                <w:sz w:val="16"/>
                <w:rFonts w:ascii="맑은 고딕" w:hAnsi="맑은 고딕" w:eastAsia="맑은 고딕" w:cs="맑은 고딕"/>
              </w:rPr>
              <w:t>점포 수를 고정하면 무엇이 남는가</w:t>
            </w:r>
          </w:p>
        </w:tc>
        <w:tc>
          <w:tcPr>
            <w:tcW w:type="dxa" w:w="3504"/>
          </w:tcPr>
          <w:p>
            <w:r>
              <w:rPr>
                <w:sz w:val="16"/>
                <w:rFonts w:ascii="맑은 고딕" w:hAnsi="맑은 고딕" w:eastAsia="맑은 고딕" w:cs="맑은 고딕"/>
              </w:rPr>
              <w:t>점포 수가 비슷한 상권끼리 비교하자 “골목상권은 안전하다”는 단순 결론이 뒤집혔다. 규모가 상권유형과 위험 사이를 강하게 교란하고 있었다.</w:t>
            </w:r>
          </w:p>
        </w:tc>
      </w:tr>
      <w:tr>
        <w:tc>
          <w:tcPr>
            <w:tcW w:type="dxa" w:w="3504"/>
          </w:tcPr>
          <w:p>
            <w:r>
              <w:rPr>
                <w:sz w:val="16"/>
                <w:rFonts w:ascii="맑은 고딕" w:hAnsi="맑은 고딕" w:eastAsia="맑은 고딕" w:cs="맑은 고딕"/>
              </w:rPr>
              <w:t>07</w:t>
            </w:r>
          </w:p>
        </w:tc>
        <w:tc>
          <w:tcPr>
            <w:tcW w:type="dxa" w:w="3504"/>
          </w:tcPr>
          <w:p>
            <w:r>
              <w:rPr>
                <w:sz w:val="16"/>
                <w:rFonts w:ascii="맑은 고딕" w:hAnsi="맑은 고딕" w:eastAsia="맑은 고딕" w:cs="맑은 고딕"/>
              </w:rPr>
              <w:t>검정 방법의 선택 — 정규성과 등분산성</w:t>
            </w:r>
          </w:p>
        </w:tc>
        <w:tc>
          <w:tcPr>
            <w:tcW w:type="dxa" w:w="3504"/>
          </w:tcPr>
          <w:p>
            <w:r>
              <w:rPr>
                <w:sz w:val="16"/>
                <w:rFonts w:ascii="맑은 고딕" w:hAnsi="맑은 고딕" w:eastAsia="맑은 고딕" w:cs="맑은 고딕"/>
              </w:rPr>
              <w:t>데이터 분포가 정규분포와 거리가 있고 일부 집단은 분산도 달랐기 때문에, 평균 비교보다 순위 기반의 Kruskal-Wallis 검정을 주 검정으로 사용했다.</w:t>
            </w:r>
          </w:p>
        </w:tc>
      </w:tr>
      <w:tr>
        <w:tc>
          <w:tcPr>
            <w:tcW w:type="dxa" w:w="3504"/>
          </w:tcPr>
          <w:p>
            <w:r>
              <w:rPr>
                <w:sz w:val="16"/>
                <w:rFonts w:ascii="맑은 고딕" w:hAnsi="맑은 고딕" w:eastAsia="맑은 고딕" w:cs="맑은 고딕"/>
              </w:rPr>
              <w:t>08</w:t>
            </w:r>
          </w:p>
        </w:tc>
        <w:tc>
          <w:tcPr>
            <w:tcW w:type="dxa" w:w="3504"/>
          </w:tcPr>
          <w:p>
            <w:r>
              <w:rPr>
                <w:sz w:val="16"/>
                <w:rFonts w:ascii="맑은 고딕" w:hAnsi="맑은 고딕" w:eastAsia="맑은 고딕" w:cs="맑은 고딕"/>
              </w:rPr>
              <w:t>가설 직접 검증 — 업종 × 상권유형 · 업종 × 자치구</w:t>
            </w:r>
          </w:p>
        </w:tc>
        <w:tc>
          <w:tcPr>
            <w:tcW w:type="dxa" w:w="3504"/>
          </w:tcPr>
          <w:p>
            <w:r>
              <w:rPr>
                <w:sz w:val="16"/>
                <w:rFonts w:ascii="맑은 고딕" w:hAnsi="맑은 고딕" w:eastAsia="맑은 고딕" w:cs="맑은 고딕"/>
              </w:rPr>
              <w:t>같은 업종이라도 상권유형에 따라 위험이 달라지는 경우가 많았지만, 그 영향의 크기는 업종마다 크게 달랐다. 자치구 효과는 상대적으로 약했다.</w:t>
            </w:r>
          </w:p>
        </w:tc>
      </w:tr>
      <w:tr>
        <w:tc>
          <w:tcPr>
            <w:tcW w:type="dxa" w:w="3504"/>
          </w:tcPr>
          <w:p>
            <w:r>
              <w:rPr>
                <w:sz w:val="16"/>
                <w:rFonts w:ascii="맑은 고딕" w:hAnsi="맑은 고딕" w:eastAsia="맑은 고딕" w:cs="맑은 고딕"/>
              </w:rPr>
              <w:t>09</w:t>
            </w:r>
          </w:p>
        </w:tc>
        <w:tc>
          <w:tcPr>
            <w:tcW w:type="dxa" w:w="3504"/>
          </w:tcPr>
          <w:p>
            <w:r>
              <w:rPr>
                <w:sz w:val="16"/>
                <w:rFonts w:ascii="맑은 고딕" w:hAnsi="맑은 고딕" w:eastAsia="맑은 고딕" w:cs="맑은 고딕"/>
              </w:rPr>
              <w:t>성향점수매칭 — 조건을 맞추고 다시 비교</w:t>
            </w:r>
          </w:p>
        </w:tc>
        <w:tc>
          <w:tcPr>
            <w:tcW w:type="dxa" w:w="3504"/>
          </w:tcPr>
          <w:p>
            <w:r>
              <w:rPr>
                <w:sz w:val="16"/>
                <w:rFonts w:ascii="맑은 고딕" w:hAnsi="맑은 고딕" w:eastAsia="맑은 고딕" w:cs="맑은 고딕"/>
              </w:rPr>
              <w:t>한식음식점은 단순 비교에서는 더 위험해 보였지만, 규모와 입지가 비슷한 곳끼리 짝지으니 오히려 순감소 위험이 낮았다.</w:t>
            </w:r>
          </w:p>
        </w:tc>
      </w:tr>
      <w:tr>
        <w:tc>
          <w:tcPr>
            <w:tcW w:type="dxa" w:w="3504"/>
          </w:tcPr>
          <w:p>
            <w:r>
              <w:rPr>
                <w:sz w:val="16"/>
                <w:rFonts w:ascii="맑은 고딕" w:hAnsi="맑은 고딕" w:eastAsia="맑은 고딕" w:cs="맑은 고딕"/>
              </w:rPr>
              <w:t>10</w:t>
            </w:r>
          </w:p>
        </w:tc>
        <w:tc>
          <w:tcPr>
            <w:tcW w:type="dxa" w:w="3504"/>
          </w:tcPr>
          <w:p>
            <w:r>
              <w:rPr>
                <w:sz w:val="16"/>
                <w:rFonts w:ascii="맑은 고딕" w:hAnsi="맑은 고딕" w:eastAsia="맑은 고딕" w:cs="맑은 고딕"/>
              </w:rPr>
              <w:t>사후검정 — 어느 상권유형이 실제로 다른가</w:t>
            </w:r>
          </w:p>
        </w:tc>
        <w:tc>
          <w:tcPr>
            <w:tcW w:type="dxa" w:w="3504"/>
          </w:tcPr>
          <w:p>
            <w:r>
              <w:rPr>
                <w:sz w:val="16"/>
                <w:rFonts w:ascii="맑은 고딕" w:hAnsi="맑은 고딕" w:eastAsia="맑은 고딕" w:cs="맑은 고딕"/>
              </w:rPr>
              <w:t>전체적으로 차이가 있다는 것만으로는 부족해, Dunn 사후검정으로 상권유형을 두 개씩 비교했다. 전통시장과 골목상권만 뚜렷하게 구분되지 않았다.</w:t>
            </w:r>
          </w:p>
        </w:tc>
      </w:tr>
      <w:tr>
        <w:tc>
          <w:tcPr>
            <w:tcW w:type="dxa" w:w="3504"/>
          </w:tcPr>
          <w:p>
            <w:r>
              <w:rPr>
                <w:sz w:val="16"/>
                <w:rFonts w:ascii="맑은 고딕" w:hAnsi="맑은 고딕" w:eastAsia="맑은 고딕" w:cs="맑은 고딕"/>
              </w:rPr>
              <w:t>11</w:t>
            </w:r>
          </w:p>
        </w:tc>
        <w:tc>
          <w:tcPr>
            <w:tcW w:type="dxa" w:w="3504"/>
          </w:tcPr>
          <w:p>
            <w:r>
              <w:rPr>
                <w:sz w:val="16"/>
                <w:rFonts w:ascii="맑은 고딕" w:hAnsi="맑은 고딕" w:eastAsia="맑은 고딕" w:cs="맑은 고딕"/>
              </w:rPr>
              <w:t>모델 선정</w:t>
            </w:r>
          </w:p>
        </w:tc>
        <w:tc>
          <w:tcPr>
            <w:tcW w:type="dxa" w:w="3504"/>
          </w:tcPr>
          <w:p>
            <w:r>
              <w:rPr>
                <w:sz w:val="16"/>
                <w:rFonts w:ascii="맑은 고딕" w:hAnsi="맑은 고딕" w:eastAsia="맑은 고딕" w:cs="맑은 고딕"/>
              </w:rPr>
              <w:t>다섯 모델의 AP가 0.398~0.408에 몰려 있어 “어떤 알고리즘을 쓰느냐”보다 해석과 운영 설계가 더 중요했다.</w:t>
            </w:r>
          </w:p>
        </w:tc>
      </w:tr>
      <w:tr>
        <w:tc>
          <w:tcPr>
            <w:tcW w:type="dxa" w:w="3504"/>
          </w:tcPr>
          <w:p>
            <w:r>
              <w:rPr>
                <w:sz w:val="16"/>
                <w:rFonts w:ascii="맑은 고딕" w:hAnsi="맑은 고딕" w:eastAsia="맑은 고딕" w:cs="맑은 고딕"/>
              </w:rPr>
              <w:t>12</w:t>
            </w:r>
          </w:p>
        </w:tc>
        <w:tc>
          <w:tcPr>
            <w:tcW w:type="dxa" w:w="3504"/>
          </w:tcPr>
          <w:p>
            <w:r>
              <w:rPr>
                <w:sz w:val="16"/>
                <w:rFonts w:ascii="맑은 고딕" w:hAnsi="맑은 고딕" w:eastAsia="맑은 고딕" w:cs="맑은 고딕"/>
              </w:rPr>
              <w:t>선정 규모 — 몇 곳을 위험 대상으로 볼 것인가</w:t>
            </w:r>
          </w:p>
        </w:tc>
        <w:tc>
          <w:tcPr>
            <w:tcW w:type="dxa" w:w="3504"/>
          </w:tcPr>
          <w:p>
            <w:r>
              <w:rPr>
                <w:sz w:val="16"/>
                <w:rFonts w:ascii="맑은 고딕" w:hAnsi="맑은 고딕" w:eastAsia="맑은 고딕" w:cs="맑은 고딕"/>
              </w:rPr>
              <w:t>모델은 많은 곳을 넓게 잡을 때보다, 실제 담당자가 볼 수 있는 상위 수십~수백 곳을 우선 선별할 때 가장 유용했다.</w:t>
            </w:r>
          </w:p>
        </w:tc>
      </w:tr>
      <w:tr>
        <w:tc>
          <w:tcPr>
            <w:tcW w:type="dxa" w:w="3504"/>
          </w:tcPr>
          <w:p>
            <w:r>
              <w:rPr>
                <w:sz w:val="16"/>
                <w:rFonts w:ascii="맑은 고딕" w:hAnsi="맑은 고딕" w:eastAsia="맑은 고딕" w:cs="맑은 고딕"/>
              </w:rPr>
              <w:t>13</w:t>
            </w:r>
          </w:p>
        </w:tc>
        <w:tc>
          <w:tcPr>
            <w:tcW w:type="dxa" w:w="3504"/>
          </w:tcPr>
          <w:p>
            <w:r>
              <w:rPr>
                <w:sz w:val="16"/>
                <w:rFonts w:ascii="맑은 고딕" w:hAnsi="맑은 고딕" w:eastAsia="맑은 고딕" w:cs="맑은 고딕"/>
              </w:rPr>
              <w:t>테스트 최종 평가 — 2026년 1분기 결과</w:t>
            </w:r>
          </w:p>
        </w:tc>
        <w:tc>
          <w:tcPr>
            <w:tcW w:type="dxa" w:w="3504"/>
          </w:tcPr>
          <w:p>
            <w:r>
              <w:rPr>
                <w:sz w:val="16"/>
                <w:rFonts w:ascii="맑은 고딕" w:hAnsi="맑은 고딕" w:eastAsia="맑은 고딕" w:cs="맑은 고딕"/>
              </w:rPr>
              <w:t>학습과 모델 선택에 쓰지 않은 홀드아웃 분기에서 AP 0.399, Lift 1.522를 기록했다. 전체 순위 성능은 점포 수 기준과 비슷했지만, 상위 소수 구간에서는 모델이 더 강했다.</w:t>
            </w:r>
          </w:p>
        </w:tc>
      </w:tr>
      <w:tr>
        <w:tc>
          <w:tcPr>
            <w:tcW w:type="dxa" w:w="3504"/>
          </w:tcPr>
          <w:p>
            <w:r>
              <w:rPr>
                <w:sz w:val="16"/>
                <w:rFonts w:ascii="맑은 고딕" w:hAnsi="맑은 고딕" w:eastAsia="맑은 고딕" w:cs="맑은 고딕"/>
              </w:rPr>
              <w:t>14</w:t>
            </w:r>
          </w:p>
        </w:tc>
        <w:tc>
          <w:tcPr>
            <w:tcW w:type="dxa" w:w="3504"/>
          </w:tcPr>
          <w:p>
            <w:r>
              <w:rPr>
                <w:sz w:val="16"/>
                <w:rFonts w:ascii="맑은 고딕" w:hAnsi="맑은 고딕" w:eastAsia="맑은 고딕" w:cs="맑은 고딕"/>
              </w:rPr>
              <w:t>두 단계로 나눈 모형</w:t>
            </w:r>
          </w:p>
        </w:tc>
        <w:tc>
          <w:tcPr>
            <w:tcW w:type="dxa" w:w="3504"/>
          </w:tcPr>
          <w:p>
            <w:r>
              <w:rPr>
                <w:sz w:val="16"/>
                <w:rFonts w:ascii="맑은 고딕" w:hAnsi="맑은 고딕" w:eastAsia="맑은 고딕" w:cs="맑은 고딕"/>
              </w:rPr>
              <w:t>순감소를 “① 다음 분기에 개·폐업이 일어나는가”와 “② 일어났다면 감소 방향인가”로 나누자, 상권 규모 효과가 대부분 1단계에 모여 있음을 확인했다.</w:t>
            </w:r>
          </w:p>
        </w:tc>
      </w:tr>
      <w:tr>
        <w:tc>
          <w:tcPr>
            <w:tcW w:type="dxa" w:w="3504"/>
          </w:tcPr>
          <w:p>
            <w:r>
              <w:rPr>
                <w:sz w:val="16"/>
                <w:rFonts w:ascii="맑은 고딕" w:hAnsi="맑은 고딕" w:eastAsia="맑은 고딕" w:cs="맑은 고딕"/>
              </w:rPr>
              <w:t>15</w:t>
            </w:r>
          </w:p>
        </w:tc>
        <w:tc>
          <w:tcPr>
            <w:tcW w:type="dxa" w:w="3504"/>
          </w:tcPr>
          <w:p>
            <w:r>
              <w:rPr>
                <w:sz w:val="16"/>
                <w:rFonts w:ascii="맑은 고딕" w:hAnsi="맑은 고딕" w:eastAsia="맑은 고딕" w:cs="맑은 고딕"/>
              </w:rPr>
              <w:t>두 확률로 나눈 상권 유형</w:t>
            </w:r>
          </w:p>
        </w:tc>
        <w:tc>
          <w:tcPr>
            <w:tcW w:type="dxa" w:w="3504"/>
          </w:tcPr>
          <w:p>
            <w:r>
              <w:rPr>
                <w:sz w:val="16"/>
                <w:rFonts w:ascii="맑은 고딕" w:hAnsi="맑은 고딕" w:eastAsia="맑은 고딕" w:cs="맑은 고딕"/>
              </w:rPr>
              <w:t>최종 위험점수 하나로만 줄 세우지 않고 “변화가 자주 생기는가”와 “변하면 감소하는가”를 두 축으로 남기면 성격이 다른 네 유형을 구분할 수 있다.</w:t>
            </w:r>
          </w:p>
        </w:tc>
      </w:tr>
      <w:tr>
        <w:tc>
          <w:tcPr>
            <w:tcW w:type="dxa" w:w="3504"/>
          </w:tcPr>
          <w:p>
            <w:r>
              <w:rPr>
                <w:sz w:val="16"/>
                <w:rFonts w:ascii="맑은 고딕" w:hAnsi="맑은 고딕" w:eastAsia="맑은 고딕" w:cs="맑은 고딕"/>
              </w:rPr>
              <w:t>16</w:t>
            </w:r>
          </w:p>
        </w:tc>
        <w:tc>
          <w:tcPr>
            <w:tcW w:type="dxa" w:w="3504"/>
          </w:tcPr>
          <w:p>
            <w:r>
              <w:rPr>
                <w:sz w:val="16"/>
                <w:rFonts w:ascii="맑은 고딕" w:hAnsi="맑은 고딕" w:eastAsia="맑은 고딕" w:cs="맑은 고딕"/>
              </w:rPr>
              <w:t>무엇이 위험과 관련되어 있는가</w:t>
            </w:r>
          </w:p>
        </w:tc>
        <w:tc>
          <w:tcPr>
            <w:tcW w:type="dxa" w:w="3504"/>
          </w:tcPr>
          <w:p>
            <w:r>
              <w:rPr>
                <w:sz w:val="16"/>
                <w:rFonts w:ascii="맑은 고딕" w:hAnsi="맑은 고딕" w:eastAsia="맑은 고딕" w:cs="맑은 고딕"/>
              </w:rPr>
              <w:t>단일 모델에서는 규모·밀도 변수가 기여도의 절반 이상을 차지했지만, 사건과 방향을 분리하자 규모 영향은 주로 1단계에 남고 2단계에서는 크게 줄었다.</w:t>
            </w:r>
          </w:p>
        </w:tc>
      </w:tr>
      <w:tr>
        <w:tc>
          <w:tcPr>
            <w:tcW w:type="dxa" w:w="3504"/>
          </w:tcPr>
          <w:p>
            <w:r>
              <w:rPr>
                <w:sz w:val="16"/>
                <w:rFonts w:ascii="맑은 고딕" w:hAnsi="맑은 고딕" w:eastAsia="맑은 고딕" w:cs="맑은 고딕"/>
              </w:rPr>
              <w:t>17</w:t>
            </w:r>
          </w:p>
        </w:tc>
        <w:tc>
          <w:tcPr>
            <w:tcW w:type="dxa" w:w="3504"/>
          </w:tcPr>
          <w:p>
            <w:r>
              <w:rPr>
                <w:sz w:val="16"/>
                <w:rFonts w:ascii="맑은 고딕" w:hAnsi="맑은 고딕" w:eastAsia="맑은 고딕" w:cs="맑은 고딕"/>
              </w:rPr>
              <w:t>위험도 공간 분석</w:t>
            </w:r>
          </w:p>
        </w:tc>
        <w:tc>
          <w:tcPr>
            <w:tcW w:type="dxa" w:w="3504"/>
          </w:tcPr>
          <w:p>
            <w:r>
              <w:rPr>
                <w:sz w:val="16"/>
                <w:rFonts w:ascii="맑은 고딕" w:hAnsi="맑은 고딕" w:eastAsia="맑은 고딕" w:cs="맑은 고딕"/>
              </w:rPr>
              <w:t>지도에서는 위험등급이 높아질수록 실제 순감소율도 15.3% → 39.3%로 증가했다. 다만 자치구 경계나 역과의 거리 자체는 위험을 잘 설명하지 못했다.</w:t>
            </w:r>
          </w:p>
        </w:tc>
      </w:tr>
      <w:tr>
        <w:tc>
          <w:tcPr>
            <w:tcW w:type="dxa" w:w="3504"/>
          </w:tcPr>
          <w:p>
            <w:r>
              <w:rPr>
                <w:sz w:val="16"/>
                <w:rFonts w:ascii="맑은 고딕" w:hAnsi="맑은 고딕" w:eastAsia="맑은 고딕" w:cs="맑은 고딕"/>
              </w:rPr>
              <w:t>18</w:t>
            </w:r>
          </w:p>
        </w:tc>
        <w:tc>
          <w:tcPr>
            <w:tcW w:type="dxa" w:w="3504"/>
          </w:tcPr>
          <w:p>
            <w:r>
              <w:rPr>
                <w:sz w:val="16"/>
                <w:rFonts w:ascii="맑은 고딕" w:hAnsi="맑은 고딕" w:eastAsia="맑은 고딕" w:cs="맑은 고딕"/>
              </w:rPr>
              <w:t>종합 결론</w:t>
            </w:r>
          </w:p>
        </w:tc>
        <w:tc>
          <w:tcPr>
            <w:tcW w:type="dxa" w:w="3504"/>
          </w:tcPr>
          <w:p>
            <w:r>
              <w:rPr>
                <w:sz w:val="16"/>
                <w:rFonts w:ascii="맑은 고딕" w:hAnsi="맑은 고딕" w:eastAsia="맑은 고딕" w:cs="맑은 고딕"/>
              </w:rPr>
              <w:t>다음 분기 순감소를 완벽하게 예측한 것은 아니지만, 상위 소수 고위험 상권을 한 분기 먼저 선별하고 규모에 가려진 위험 구조를 분리해 설명할 수 있었다.</w:t>
            </w:r>
          </w:p>
        </w:tc>
      </w:tr>
    </w:tbl>
    <w:p>
      <w:r>
        <w:rPr>
          <w:b w:val="0"/>
          <w:i/>
          <w:sz w:val="18"/>
          <w:rFonts w:ascii="맑은 고딕" w:hAnsi="맑은 고딕" w:eastAsia="맑은 고딕" w:cs="맑은 고딕"/>
        </w:rPr>
        <w:t>표 0 — 절별 핵심</w:t>
      </w:r>
    </w:p>
    <w:p>
      <w:r>
        <w:br w:type="page"/>
      </w:r>
    </w:p>
    <w:p>
      <w:pPr>
        <w:pStyle w:val="Heading1"/>
      </w:pPr>
      <w:r>
        <w:rPr>
          <w:rFonts w:ascii="맑은 고딕" w:hAnsi="맑은 고딕" w:eastAsia="맑은 고딕" w:cs="맑은 고딕"/>
        </w:rPr>
        <w:t>01  분석 개요</w:t>
      </w:r>
    </w:p>
    <w:p>
      <w:r>
        <w:rPr>
          <w:b/>
          <w:i w:val="0"/>
          <w:sz w:val="22"/>
          <w:rFonts w:ascii="맑은 고딕" w:hAnsi="맑은 고딕" w:eastAsia="맑은 고딕" w:cs="맑은 고딕"/>
        </w:rPr>
        <w:t>핵심 한 줄 — 다음 분기에 폐업 수가 개업 수보다 많아질 ‘상권×업종’을 한 분기 먼저 찾고, 그 위험이 어디에서 오는지 설명하는 것이 목표다.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연구 질문과 분석 단위를 먼저 고정해, 뒤의 통계검정과 예측모델이 같은 대상을 보고 있는지 명확히 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분석 단위는 상권 × 요식업 업종 × 분기이다. 업종은 한식·중식·일식·양식·제과·패스트푸드·치킨·분식·호프·커피 등 10종이다.</w:t>
      </w:r>
    </w:p>
    <w:p>
      <w:pPr>
        <w:ind w:left="173"/>
      </w:pPr>
      <w:r>
        <w:rPr>
          <w:b w:val="0"/>
          <w:i w:val="0"/>
          <w:sz w:val="21"/>
          <w:rFonts w:ascii="맑은 고딕" w:hAnsi="맑은 고딕" w:eastAsia="맑은 고딕" w:cs="맑은 고딕"/>
        </w:rPr>
        <w:t>• 기간은 2023년 1분기~2025년 4분기이며, 2026년 1분기는 2025년 4분기의 “다음 분기 결과”를 만들기 위해서만 사용했다.</w:t>
      </w:r>
    </w:p>
    <w:p>
      <w:pPr>
        <w:ind w:left="173"/>
      </w:pPr>
      <w:r>
        <w:rPr>
          <w:b w:val="0"/>
          <w:i w:val="0"/>
          <w:sz w:val="21"/>
          <w:rFonts w:ascii="맑은 고딕" w:hAnsi="맑은 고딕" w:eastAsia="맑은 고딕" w:cs="맑은 고딕"/>
        </w:rPr>
        <w:t>• 라벨은 “다음 분기에 폐업 수 &gt; 개업 수인가”이다. 매출 감소가 아니라 실제 점포 수의 순감소를 직접 잡기 위한 선택이다.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최종 표본</w:t>
            </w:r>
          </w:p>
        </w:tc>
        <w:tc>
          <w:tcPr>
            <w:tcW w:type="dxa" w:w="5256"/>
          </w:tcPr>
          <w:p>
            <w:r>
              <w:rPr>
                <w:sz w:val="17"/>
                <w:rFonts w:ascii="맑은 고딕" w:hAnsi="맑은 고딕" w:eastAsia="맑은 고딕" w:cs="맑은 고딕"/>
              </w:rPr>
              <w:t>점포 5개 이상인 상권×업종×분기 67,475건</w:t>
            </w:r>
          </w:p>
        </w:tc>
      </w:tr>
      <w:tr>
        <w:tc>
          <w:tcPr>
            <w:tcW w:type="dxa" w:w="5256"/>
          </w:tcPr>
          <w:p>
            <w:r>
              <w:rPr>
                <w:sz w:val="17"/>
                <w:rFonts w:ascii="맑은 고딕" w:hAnsi="맑은 고딕" w:eastAsia="맑은 고딕" w:cs="맑은 고딕"/>
              </w:rPr>
              <w:t>순감소 비율</w:t>
            </w:r>
          </w:p>
        </w:tc>
        <w:tc>
          <w:tcPr>
            <w:tcW w:type="dxa" w:w="5256"/>
          </w:tcPr>
          <w:p>
            <w:r>
              <w:rPr>
                <w:sz w:val="17"/>
                <w:rFonts w:ascii="맑은 고딕" w:hAnsi="맑은 고딕" w:eastAsia="맑은 고딕" w:cs="맑은 고딕"/>
              </w:rPr>
              <w:t>25.5%</w:t>
            </w:r>
          </w:p>
        </w:tc>
      </w:tr>
      <w:tr>
        <w:tc>
          <w:tcPr>
            <w:tcW w:type="dxa" w:w="5256"/>
          </w:tcPr>
          <w:p>
            <w:r>
              <w:rPr>
                <w:sz w:val="17"/>
                <w:rFonts w:ascii="맑은 고딕" w:hAnsi="맑은 고딕" w:eastAsia="맑은 고딕" w:cs="맑은 고딕"/>
              </w:rPr>
              <w:t>예측 목표</w:t>
            </w:r>
          </w:p>
        </w:tc>
        <w:tc>
          <w:tcPr>
            <w:tcW w:type="dxa" w:w="5256"/>
          </w:tcPr>
          <w:p>
            <w:r>
              <w:rPr>
                <w:sz w:val="17"/>
                <w:rFonts w:ascii="맑은 고딕" w:hAnsi="맑은 고딕" w:eastAsia="맑은 고딕" w:cs="맑은 고딕"/>
              </w:rPr>
              <w:t>다음 분기의 순감소 여부</w:t>
            </w:r>
          </w:p>
        </w:tc>
      </w:tr>
      <w:tr>
        <w:tc>
          <w:tcPr>
            <w:tcW w:type="dxa" w:w="5256"/>
          </w:tcPr>
          <w:p>
            <w:r>
              <w:rPr>
                <w:sz w:val="17"/>
                <w:rFonts w:ascii="맑은 고딕" w:hAnsi="맑은 고딕" w:eastAsia="맑은 고딕" w:cs="맑은 고딕"/>
              </w:rPr>
              <w:t>핵심 산출물</w:t>
            </w:r>
          </w:p>
        </w:tc>
        <w:tc>
          <w:tcPr>
            <w:tcW w:type="dxa" w:w="5256"/>
          </w:tcPr>
          <w:p>
            <w:r>
              <w:rPr>
                <w:sz w:val="17"/>
                <w:rFonts w:ascii="맑은 고딕" w:hAnsi="맑은 고딕" w:eastAsia="맑은 고딕" w:cs="맑은 고딕"/>
              </w:rPr>
              <w:t>위험순위 + 위험요인 + 상권 유형화</w:t>
            </w:r>
          </w:p>
        </w:tc>
      </w:tr>
    </w:tbl>
    <w:p>
      <w:r>
        <w:rPr>
          <w:b w:val="0"/>
          <w:i/>
          <w:sz w:val="18"/>
          <w:rFonts w:ascii="맑은 고딕" w:hAnsi="맑은 고딕" w:eastAsia="맑은 고딕" w:cs="맑은 고딕"/>
        </w:rPr>
        <w:t>표 1</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이 보고서의 “폐업위험”은 개별 가게의 폐업확률이 아니라, 특정 상권의 특정 업종에서 다음 분기에 점포 수가 순감소할 가능성을 뜻한다.</w:t>
      </w:r>
    </w:p>
    <w:p>
      <w:r>
        <w:br w:type="page"/>
      </w:r>
    </w:p>
    <w:p>
      <w:pPr>
        <w:pStyle w:val="Heading1"/>
      </w:pPr>
      <w:r>
        <w:rPr>
          <w:rFonts w:ascii="맑은 고딕" w:hAnsi="맑은 고딕" w:eastAsia="맑은 고딕" w:cs="맑은 고딕"/>
        </w:rPr>
        <w:t>02  데이터와 전처리 판단</w:t>
      </w:r>
    </w:p>
    <w:p>
      <w:r>
        <w:rPr>
          <w:b/>
          <w:i w:val="0"/>
          <w:sz w:val="22"/>
          <w:rFonts w:ascii="맑은 고딕" w:hAnsi="맑은 고딕" w:eastAsia="맑은 고딕" w:cs="맑은 고딕"/>
        </w:rPr>
        <w:t>핵심 한 줄 — 결측을 무조건 지우지 않고, 왜 비어 있는지부터 판단했다. 특히 매출 결측은 영세 상권의 특성을 담을 수 있어 그대로 정보로 남겼다.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잘못된 결측 처리나 중복 변수를 넣으면 표본이 줄거나 같은 정보를 여러 번 세어 모델 해석이 왜곡될 수 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원천은 서울시 우리마을가게 상권분석서비스이다. 매출은 카드 결제 기반 추정치, 유동인구는 생활인구, 점포는 사업자등록 자료를 사용한다.</w:t>
      </w:r>
    </w:p>
    <w:p>
      <w:pPr>
        <w:ind w:left="173"/>
      </w:pPr>
      <w:r>
        <w:rPr>
          <w:b w:val="0"/>
          <w:i w:val="0"/>
          <w:sz w:val="21"/>
          <w:rFonts w:ascii="맑은 고딕" w:hAnsi="맑은 고딕" w:eastAsia="맑은 고딕" w:cs="맑은 고딕"/>
        </w:rPr>
        <w:t>• “폐업”은 실제 문을 닫은 날짜가 아니라 사업자등록 말소 시점이다. 따라서 실제 폐점 시점과 시차가 있을 수 있다.</w:t>
      </w:r>
    </w:p>
    <w:p>
      <w:pPr>
        <w:ind w:left="173"/>
      </w:pPr>
      <w:r>
        <w:rPr>
          <w:b w:val="0"/>
          <w:i w:val="0"/>
          <w:sz w:val="21"/>
          <w:rFonts w:ascii="맑은 고딕" w:hAnsi="맑은 고딕" w:eastAsia="맑은 고딕" w:cs="맑은 고딕"/>
        </w:rPr>
        <w:t>• 집객시설의 빈칸은 시설이 없음을 뜻하는 자료 구조로 판단해 0으로 처리했다.</w:t>
      </w:r>
    </w:p>
    <w:p>
      <w:pPr>
        <w:ind w:left="173"/>
      </w:pPr>
      <w:r>
        <w:rPr>
          <w:b w:val="0"/>
          <w:i w:val="0"/>
          <w:sz w:val="21"/>
          <w:rFonts w:ascii="맑은 고딕" w:hAnsi="맑은 고딕" w:eastAsia="맑은 고딕" w:cs="맑은 고딕"/>
        </w:rPr>
        <w:t>• 유동인구가 상주·직장 인구 정보를 이미 포함하므로 인구 변수를 중복해서 넣지 않았다. 직장인구 비중은 단독 판별력이 낮아(AUC 0.520) 제외했다.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매출 결측률</w:t>
            </w:r>
          </w:p>
        </w:tc>
        <w:tc>
          <w:tcPr>
            <w:tcW w:type="dxa" w:w="5256"/>
          </w:tcPr>
          <w:p>
            <w:r>
              <w:rPr>
                <w:sz w:val="17"/>
                <w:rFonts w:ascii="맑은 고딕" w:hAnsi="맑은 고딕" w:eastAsia="맑은 고딕" w:cs="맑은 고딕"/>
              </w:rPr>
              <w:t>45.4%</w:t>
            </w:r>
          </w:p>
        </w:tc>
      </w:tr>
      <w:tr>
        <w:tc>
          <w:tcPr>
            <w:tcW w:type="dxa" w:w="5256"/>
          </w:tcPr>
          <w:p>
            <w:r>
              <w:rPr>
                <w:sz w:val="17"/>
                <w:rFonts w:ascii="맑은 고딕" w:hAnsi="맑은 고딕" w:eastAsia="맑은 고딕" w:cs="맑은 고딕"/>
              </w:rPr>
              <w:t>매출 결측 처리</w:t>
            </w:r>
          </w:p>
        </w:tc>
        <w:tc>
          <w:tcPr>
            <w:tcW w:type="dxa" w:w="5256"/>
          </w:tcPr>
          <w:p>
            <w:r>
              <w:rPr>
                <w:sz w:val="17"/>
                <w:rFonts w:ascii="맑은 고딕" w:hAnsi="맑은 고딕" w:eastAsia="맑은 고딕" w:cs="맑은 고딕"/>
              </w:rPr>
              <w:t>행 삭제 대신 “매출이 관측되지 않음” 자체를 정보로 유지</w:t>
            </w:r>
          </w:p>
        </w:tc>
      </w:tr>
      <w:tr>
        <w:tc>
          <w:tcPr>
            <w:tcW w:type="dxa" w:w="5256"/>
          </w:tcPr>
          <w:p>
            <w:r>
              <w:rPr>
                <w:sz w:val="17"/>
                <w:rFonts w:ascii="맑은 고딕" w:hAnsi="맑은 고딕" w:eastAsia="맑은 고딕" w:cs="맑은 고딕"/>
              </w:rPr>
              <w:t>기타 핵심 변수</w:t>
            </w:r>
          </w:p>
        </w:tc>
        <w:tc>
          <w:tcPr>
            <w:tcW w:type="dxa" w:w="5256"/>
          </w:tcPr>
          <w:p>
            <w:r>
              <w:rPr>
                <w:sz w:val="17"/>
                <w:rFonts w:ascii="맑은 고딕" w:hAnsi="맑은 고딕" w:eastAsia="맑은 고딕" w:cs="맑은 고딕"/>
              </w:rPr>
              <w:t>면적·유동인구·점포 수·상권변화지표·운영개월 등은 결측이 거의 없음</w:t>
            </w:r>
          </w:p>
        </w:tc>
      </w:tr>
    </w:tbl>
    <w:p>
      <w:r>
        <w:rPr>
          <w:b w:val="0"/>
          <w:i/>
          <w:sz w:val="18"/>
          <w:rFonts w:ascii="맑은 고딕" w:hAnsi="맑은 고딕" w:eastAsia="맑은 고딕" w:cs="맑은 고딕"/>
        </w:rPr>
        <w:t>표 2</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Pr>
                <w:b/>
                <w:sz w:val="17"/>
                <w:rFonts w:ascii="맑은 고딕" w:hAnsi="맑은 고딕" w:eastAsia="맑은 고딕" w:cs="맑은 고딕"/>
              </w:rPr>
            </w:r>
          </w:p>
        </w:tc>
        <w:tc>
          <w:tcPr>
            <w:tcW w:type="dxa" w:w="2628"/>
          </w:tcPr>
          <w:p>
            <w:r>
              <w:rPr>
                <w:b/>
                <w:sz w:val="17"/>
                <w:rFonts w:ascii="맑은 고딕" w:hAnsi="맑은 고딕" w:eastAsia="맑은 고딕" w:cs="맑은 고딕"/>
              </w:rPr>
              <w:t>컬럼</w:t>
            </w:r>
          </w:p>
        </w:tc>
        <w:tc>
          <w:tcPr>
            <w:tcW w:type="dxa" w:w="2628"/>
          </w:tcPr>
          <w:p>
            <w:r>
              <w:rPr>
                <w:b/>
                <w:sz w:val="17"/>
                <w:rFonts w:ascii="맑은 고딕" w:hAnsi="맑은 고딕" w:eastAsia="맑은 고딕" w:cs="맑은 고딕"/>
              </w:rPr>
              <w:t>결측률</w:t>
            </w:r>
          </w:p>
        </w:tc>
        <w:tc>
          <w:tcPr>
            <w:tcW w:type="dxa" w:w="2628"/>
          </w:tcPr>
          <w:p>
            <w:r>
              <w:rPr>
                <w:b/>
                <w:sz w:val="17"/>
                <w:rFonts w:ascii="맑은 고딕" w:hAnsi="맑은 고딕" w:eastAsia="맑은 고딕" w:cs="맑은 고딕"/>
              </w:rPr>
              <w:t>판정</w:t>
            </w:r>
          </w:p>
        </w:tc>
      </w:tr>
      <w:tr>
        <w:tc>
          <w:tcPr>
            <w:tcW w:type="dxa" w:w="2628"/>
          </w:tcPr>
          <w:p>
            <w:r>
              <w:rPr>
                <w:sz w:val="17"/>
                <w:rFonts w:ascii="맑은 고딕" w:hAnsi="맑은 고딕" w:eastAsia="맑은 고딕" w:cs="맑은 고딕"/>
              </w:rPr>
              <w:t>0</w:t>
            </w:r>
          </w:p>
        </w:tc>
        <w:tc>
          <w:tcPr>
            <w:tcW w:type="dxa" w:w="2628"/>
          </w:tcPr>
          <w:p>
            <w:r>
              <w:rPr>
                <w:sz w:val="17"/>
                <w:rFonts w:ascii="맑은 고딕" w:hAnsi="맑은 고딕" w:eastAsia="맑은 고딕" w:cs="맑은 고딕"/>
              </w:rPr>
              <w:t>엑스좌표_값</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1</w:t>
            </w:r>
          </w:p>
        </w:tc>
        <w:tc>
          <w:tcPr>
            <w:tcW w:type="dxa" w:w="2628"/>
          </w:tcPr>
          <w:p>
            <w:r>
              <w:rPr>
                <w:sz w:val="17"/>
                <w:rFonts w:ascii="맑은 고딕" w:hAnsi="맑은 고딕" w:eastAsia="맑은 고딕" w:cs="맑은 고딕"/>
              </w:rPr>
              <w:t>영역_면적</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2</w:t>
            </w:r>
          </w:p>
        </w:tc>
        <w:tc>
          <w:tcPr>
            <w:tcW w:type="dxa" w:w="2628"/>
          </w:tcPr>
          <w:p>
            <w:r>
              <w:rPr>
                <w:sz w:val="17"/>
                <w:rFonts w:ascii="맑은 고딕" w:hAnsi="맑은 고딕" w:eastAsia="맑은 고딕" w:cs="맑은 고딕"/>
              </w:rPr>
              <w:t>총_유동인구_수</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3</w:t>
            </w:r>
          </w:p>
        </w:tc>
        <w:tc>
          <w:tcPr>
            <w:tcW w:type="dxa" w:w="2628"/>
          </w:tcPr>
          <w:p>
            <w:r>
              <w:rPr>
                <w:sz w:val="17"/>
                <w:rFonts w:ascii="맑은 고딕" w:hAnsi="맑은 고딕" w:eastAsia="맑은 고딕" w:cs="맑은 고딕"/>
              </w:rPr>
              <w:t>역세권</w:t>
            </w:r>
          </w:p>
        </w:tc>
        <w:tc>
          <w:tcPr>
            <w:tcW w:type="dxa" w:w="2628"/>
          </w:tcPr>
          <w:p>
            <w:r>
              <w:rPr>
                <w:sz w:val="17"/>
                <w:rFonts w:ascii="맑은 고딕" w:hAnsi="맑은 고딕" w:eastAsia="맑은 고딕" w:cs="맑은 고딕"/>
              </w:rPr>
              <w:t>2.3%</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4</w:t>
            </w:r>
          </w:p>
        </w:tc>
        <w:tc>
          <w:tcPr>
            <w:tcW w:type="dxa" w:w="2628"/>
          </w:tcPr>
          <w:p>
            <w:r>
              <w:rPr>
                <w:sz w:val="17"/>
                <w:rFonts w:ascii="맑은 고딕" w:hAnsi="맑은 고딕" w:eastAsia="맑은 고딕" w:cs="맑은 고딕"/>
              </w:rPr>
              <w:t>상권_변화_지표</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5</w:t>
            </w:r>
          </w:p>
        </w:tc>
        <w:tc>
          <w:tcPr>
            <w:tcW w:type="dxa" w:w="2628"/>
          </w:tcPr>
          <w:p>
            <w:r>
              <w:rPr>
                <w:sz w:val="17"/>
                <w:rFonts w:ascii="맑은 고딕" w:hAnsi="맑은 고딕" w:eastAsia="맑은 고딕" w:cs="맑은 고딕"/>
              </w:rPr>
              <w:t>당월_매출_금액</w:t>
            </w:r>
          </w:p>
        </w:tc>
        <w:tc>
          <w:tcPr>
            <w:tcW w:type="dxa" w:w="2628"/>
          </w:tcPr>
          <w:p>
            <w:r>
              <w:rPr>
                <w:sz w:val="17"/>
                <w:rFonts w:ascii="맑은 고딕" w:hAnsi="맑은 고딕" w:eastAsia="맑은 고딕" w:cs="맑은 고딕"/>
              </w:rPr>
              <w:t>45.4%</w:t>
            </w:r>
          </w:p>
        </w:tc>
        <w:tc>
          <w:tcPr>
            <w:tcW w:type="dxa" w:w="2628"/>
          </w:tcPr>
          <w:p>
            <w:r>
              <w:rPr>
                <w:sz w:val="17"/>
                <w:rFonts w:ascii="맑은 고딕" w:hAnsi="맑은 고딕" w:eastAsia="맑은 고딕" w:cs="맑은 고딕"/>
              </w:rPr>
              <w:t>공변량 제외 권장</w:t>
            </w:r>
          </w:p>
        </w:tc>
      </w:tr>
      <w:tr>
        <w:tc>
          <w:tcPr>
            <w:tcW w:type="dxa" w:w="2628"/>
          </w:tcPr>
          <w:p>
            <w:r>
              <w:rPr>
                <w:sz w:val="17"/>
                <w:rFonts w:ascii="맑은 고딕" w:hAnsi="맑은 고딕" w:eastAsia="맑은 고딕" w:cs="맑은 고딕"/>
              </w:rPr>
              <w:t>6</w:t>
            </w:r>
          </w:p>
        </w:tc>
        <w:tc>
          <w:tcPr>
            <w:tcW w:type="dxa" w:w="2628"/>
          </w:tcPr>
          <w:p>
            <w:r>
              <w:rPr>
                <w:sz w:val="17"/>
                <w:rFonts w:ascii="맑은 고딕" w:hAnsi="맑은 고딕" w:eastAsia="맑은 고딕" w:cs="맑은 고딕"/>
              </w:rPr>
              <w:t>상권_전체점포</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7</w:t>
            </w:r>
          </w:p>
        </w:tc>
        <w:tc>
          <w:tcPr>
            <w:tcW w:type="dxa" w:w="2628"/>
          </w:tcPr>
          <w:p>
            <w:r>
              <w:rPr>
                <w:sz w:val="17"/>
                <w:rFonts w:ascii="맑은 고딕" w:hAnsi="맑은 고딕" w:eastAsia="맑은 고딕" w:cs="맑은 고딕"/>
              </w:rPr>
              <w:t>운영_영업_개월_평균</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8</w:t>
            </w:r>
          </w:p>
        </w:tc>
        <w:tc>
          <w:tcPr>
            <w:tcW w:type="dxa" w:w="2628"/>
          </w:tcPr>
          <w:p>
            <w:r>
              <w:rPr>
                <w:sz w:val="17"/>
                <w:rFonts w:ascii="맑은 고딕" w:hAnsi="맑은 고딕" w:eastAsia="맑은 고딕" w:cs="맑은 고딕"/>
              </w:rPr>
              <w:t>운영개월_서울대비</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9</w:t>
            </w:r>
          </w:p>
        </w:tc>
        <w:tc>
          <w:tcPr>
            <w:tcW w:type="dxa" w:w="2628"/>
          </w:tcPr>
          <w:p>
            <w:r>
              <w:rPr>
                <w:sz w:val="17"/>
                <w:rFonts w:ascii="맑은 고딕" w:hAnsi="맑은 고딕" w:eastAsia="맑은 고딕" w:cs="맑은 고딕"/>
              </w:rPr>
              <w:t>외식물가지수</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r>
        <w:tc>
          <w:tcPr>
            <w:tcW w:type="dxa" w:w="2628"/>
          </w:tcPr>
          <w:p>
            <w:r>
              <w:rPr>
                <w:sz w:val="17"/>
                <w:rFonts w:ascii="맑은 고딕" w:hAnsi="맑은 고딕" w:eastAsia="맑은 고딕" w:cs="맑은 고딕"/>
              </w:rPr>
              <w:t>10</w:t>
            </w:r>
          </w:p>
        </w:tc>
        <w:tc>
          <w:tcPr>
            <w:tcW w:type="dxa" w:w="2628"/>
          </w:tcPr>
          <w:p>
            <w:r>
              <w:rPr>
                <w:sz w:val="17"/>
                <w:rFonts w:ascii="맑은 고딕" w:hAnsi="맑은 고딕" w:eastAsia="맑은 고딕" w:cs="맑은 고딕"/>
              </w:rPr>
              <w:t>외식지출전망</w:t>
            </w:r>
          </w:p>
        </w:tc>
        <w:tc>
          <w:tcPr>
            <w:tcW w:type="dxa" w:w="2628"/>
          </w:tcPr>
          <w:p>
            <w:r>
              <w:rPr>
                <w:sz w:val="17"/>
                <w:rFonts w:ascii="맑은 고딕" w:hAnsi="맑은 고딕" w:eastAsia="맑은 고딕" w:cs="맑은 고딕"/>
              </w:rPr>
              <w:t>0.0%</w:t>
            </w:r>
          </w:p>
        </w:tc>
        <w:tc>
          <w:tcPr>
            <w:tcW w:type="dxa" w:w="2628"/>
          </w:tcPr>
          <w:p>
            <w:r>
              <w:rPr>
                <w:sz w:val="17"/>
                <w:rFonts w:ascii="맑은 고딕" w:hAnsi="맑은 고딕" w:eastAsia="맑은 고딕" w:cs="맑은 고딕"/>
              </w:rPr>
              <w:t>OK</w:t>
            </w:r>
          </w:p>
        </w:tc>
      </w:tr>
    </w:tbl>
    <w:p>
      <w:r>
        <w:rPr>
          <w:b w:val="0"/>
          <w:i/>
          <w:sz w:val="18"/>
          <w:rFonts w:ascii="맑은 고딕" w:hAnsi="맑은 고딕" w:eastAsia="맑은 고딕" w:cs="맑은 고딕"/>
        </w:rPr>
        <w:t>표 3</w:t>
      </w:r>
    </w:p>
    <w:p>
      <w:r>
        <w:rPr>
          <w:b w:val="0"/>
          <w:i w:val="0"/>
          <w:sz w:val="19"/>
          <w:rFonts w:ascii="맑은 고딕" w:hAnsi="맑은 고딕" w:eastAsia="맑은 고딕" w:cs="맑은 고딕"/>
        </w:rPr>
        <w:t>읽는 법 — 결측률 5% 이하는 그대로 쓰고 30%를 넘으면 공변량에서 빼는 기준으로 «판정» 열을 붙였음. 매출 계열만 주의 구간에 들어감.</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핵심은 “결측=오류”로 단정하지 않은 것이다. 카드 결제가 충분히 잡히지 않는 소규모 상권이라는 특성이 결측에 들어 있을 수 있으므로, 결측 행을 통째로 버리면 오히려 작은 상권을 체계적으로 잃게 된다.</w:t>
      </w:r>
    </w:p>
    <w:p>
      <w:r>
        <w:br w:type="page"/>
      </w:r>
    </w:p>
    <w:p>
      <w:pPr>
        <w:pStyle w:val="Heading1"/>
      </w:pPr>
      <w:r>
        <w:rPr>
          <w:rFonts w:ascii="맑은 고딕" w:hAnsi="맑은 고딕" w:eastAsia="맑은 고딕" w:cs="맑은 고딕"/>
        </w:rPr>
        <w:t>03  라벨의 구조 — y=0에 섞여 있는 두 상태</w:t>
      </w:r>
    </w:p>
    <w:p>
      <w:r>
        <w:rPr>
          <w:b/>
          <w:i w:val="0"/>
          <w:sz w:val="22"/>
          <w:rFonts w:ascii="맑은 고딕" w:hAnsi="맑은 고딕" w:eastAsia="맑은 고딕" w:cs="맑은 고딕"/>
        </w:rPr>
        <w:t>핵심 한 줄 — 순감소가 아닌 y=0에는 “성장·유지”뿐 아니라 “아무 변화가 없었던 곳”도 많이 섞여 있다. 이 때문에 단순 모델은 위험보다 상권 규모를 먼저 배울 수 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작은 상권은 안전해서가 아니라 점포 수가 적어서 한 분기 동안 개업·폐업이 아예 관측되지 않을 가능성이 높다.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전체의 43.9%는 다음 분기에 개업도 폐업도 없는 “변화 없음”이었다.</w:t>
      </w:r>
    </w:p>
    <w:p>
      <w:pPr>
        <w:ind w:left="173"/>
      </w:pPr>
      <w:r>
        <w:rPr>
          <w:b w:val="0"/>
          <w:i w:val="0"/>
          <w:sz w:val="21"/>
          <w:rFonts w:ascii="맑은 고딕" w:hAnsi="맑은 고딕" w:eastAsia="맑은 고딕" w:cs="맑은 고딕"/>
        </w:rPr>
        <w:t>• y=0인 50,285건 중 58.9%가 “변화 없음”이었다. 즉 y=0을 곧바로 “안전”이라고 해석하면 안 된다.</w:t>
      </w:r>
    </w:p>
    <w:p>
      <w:pPr>
        <w:ind w:left="173"/>
      </w:pPr>
      <w:r>
        <w:rPr>
          <w:b w:val="0"/>
          <w:i w:val="0"/>
          <w:sz w:val="21"/>
          <w:rFonts w:ascii="맑은 고딕" w:hAnsi="맑은 고딕" w:eastAsia="맑은 고딕" w:cs="맑은 고딕"/>
        </w:rPr>
        <w:t>• 점포 수가 가장 적은 구간에서는 변화 없음이 69.3%였지만, 가장 큰 구간에서는 7.9%까지 떨어졌다. 같은 방향으로 순감소율은 15.1%에서 40.3%로 올라갔다.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변화 없음</w:t>
            </w:r>
          </w:p>
        </w:tc>
        <w:tc>
          <w:tcPr>
            <w:tcW w:type="dxa" w:w="5256"/>
          </w:tcPr>
          <w:p>
            <w:r>
              <w:rPr>
                <w:sz w:val="17"/>
                <w:rFonts w:ascii="맑은 고딕" w:hAnsi="맑은 고딕" w:eastAsia="맑은 고딕" w:cs="맑은 고딕"/>
              </w:rPr>
              <w:t>29,633건 · 43.9%</w:t>
            </w:r>
          </w:p>
        </w:tc>
      </w:tr>
      <w:tr>
        <w:tc>
          <w:tcPr>
            <w:tcW w:type="dxa" w:w="5256"/>
          </w:tcPr>
          <w:p>
            <w:r>
              <w:rPr>
                <w:sz w:val="17"/>
                <w:rFonts w:ascii="맑은 고딕" w:hAnsi="맑은 고딕" w:eastAsia="맑은 고딕" w:cs="맑은 고딕"/>
              </w:rPr>
              <w:t>변화는 있었지만 순감소 아님</w:t>
            </w:r>
          </w:p>
        </w:tc>
        <w:tc>
          <w:tcPr>
            <w:tcW w:type="dxa" w:w="5256"/>
          </w:tcPr>
          <w:p>
            <w:r>
              <w:rPr>
                <w:sz w:val="17"/>
                <w:rFonts w:ascii="맑은 고딕" w:hAnsi="맑은 고딕" w:eastAsia="맑은 고딕" w:cs="맑은 고딕"/>
              </w:rPr>
              <w:t>20,652건 · 30.6%</w:t>
            </w:r>
          </w:p>
        </w:tc>
      </w:tr>
      <w:tr>
        <w:tc>
          <w:tcPr>
            <w:tcW w:type="dxa" w:w="5256"/>
          </w:tcPr>
          <w:p>
            <w:r>
              <w:rPr>
                <w:sz w:val="17"/>
                <w:rFonts w:ascii="맑은 고딕" w:hAnsi="맑은 고딕" w:eastAsia="맑은 고딕" w:cs="맑은 고딕"/>
              </w:rPr>
              <w:t>순감소</w:t>
            </w:r>
          </w:p>
        </w:tc>
        <w:tc>
          <w:tcPr>
            <w:tcW w:type="dxa" w:w="5256"/>
          </w:tcPr>
          <w:p>
            <w:r>
              <w:rPr>
                <w:sz w:val="17"/>
                <w:rFonts w:ascii="맑은 고딕" w:hAnsi="맑은 고딕" w:eastAsia="맑은 고딕" w:cs="맑은 고딕"/>
              </w:rPr>
              <w:t>17,190건 · 25.5%</w:t>
            </w:r>
          </w:p>
        </w:tc>
      </w:tr>
      <w:tr>
        <w:tc>
          <w:tcPr>
            <w:tcW w:type="dxa" w:w="5256"/>
          </w:tcPr>
          <w:p>
            <w:r>
              <w:rPr>
                <w:sz w:val="17"/>
                <w:rFonts w:ascii="맑은 고딕" w:hAnsi="맑은 고딕" w:eastAsia="맑은 고딕" w:cs="맑은 고딕"/>
              </w:rPr>
              <w:t>점포 규모 효과</w:t>
            </w:r>
          </w:p>
        </w:tc>
        <w:tc>
          <w:tcPr>
            <w:tcW w:type="dxa" w:w="5256"/>
          </w:tcPr>
          <w:p>
            <w:r>
              <w:rPr>
                <w:sz w:val="17"/>
                <w:rFonts w:ascii="맑은 고딕" w:hAnsi="맑은 고딕" w:eastAsia="맑은 고딕" w:cs="맑은 고딕"/>
              </w:rPr>
              <w:t>평균 5.4개 구간: 변화 없음 69.3% → 평균 65.5개 구간: 7.9%</w:t>
            </w:r>
          </w:p>
        </w:tc>
      </w:tr>
    </w:tbl>
    <w:p>
      <w:r>
        <w:rPr>
          <w:b w:val="0"/>
          <w:i/>
          <w:sz w:val="18"/>
          <w:rFonts w:ascii="맑은 고딕" w:hAnsi="맑은 고딕" w:eastAsia="맑은 고딕" w:cs="맑은 고딕"/>
        </w:rPr>
        <w:t>표 4</w:t>
      </w:r>
    </w:p>
    <w:tbl>
      <w:tblPr>
        <w:tblStyle w:val="LightGrid-Accent1"/>
        <w:tblW w:type="auto" w:w="0"/>
        <w:tblLook w:firstColumn="1" w:firstRow="1" w:lastColumn="0" w:lastRow="0" w:noHBand="0" w:noVBand="1" w:val="04A0"/>
      </w:tblPr>
      <w:tblGrid>
        <w:gridCol w:w="3504"/>
        <w:gridCol w:w="3504"/>
        <w:gridCol w:w="3504"/>
      </w:tblGrid>
      <w:tr>
        <w:tc>
          <w:tcPr>
            <w:tcW w:type="dxa" w:w="3504"/>
          </w:tcPr>
          <w:p>
            <w:r>
              <w:rPr>
                <w:b/>
                <w:sz w:val="17"/>
                <w:rFonts w:ascii="맑은 고딕" w:hAnsi="맑은 고딕" w:eastAsia="맑은 고딕" w:cs="맑은 고딕"/>
              </w:rPr>
            </w:r>
          </w:p>
        </w:tc>
        <w:tc>
          <w:tcPr>
            <w:tcW w:type="dxa" w:w="3504"/>
          </w:tcPr>
          <w:p>
            <w:r>
              <w:rPr>
                <w:b/>
                <w:sz w:val="17"/>
                <w:rFonts w:ascii="맑은 고딕" w:hAnsi="맑은 고딕" w:eastAsia="맑은 고딕" w:cs="맑은 고딕"/>
              </w:rPr>
              <w:t>건수</w:t>
            </w:r>
          </w:p>
        </w:tc>
        <w:tc>
          <w:tcPr>
            <w:tcW w:type="dxa" w:w="3504"/>
          </w:tcPr>
          <w:p>
            <w:r>
              <w:rPr>
                <w:b/>
                <w:sz w:val="17"/>
                <w:rFonts w:ascii="맑은 고딕" w:hAnsi="맑은 고딕" w:eastAsia="맑은 고딕" w:cs="맑은 고딕"/>
              </w:rPr>
              <w:t>비율</w:t>
            </w:r>
          </w:p>
        </w:tc>
      </w:tr>
      <w:tr>
        <w:tc>
          <w:tcPr>
            <w:tcW w:type="dxa" w:w="3504"/>
          </w:tcPr>
          <w:p>
            <w:r>
              <w:rPr>
                <w:sz w:val="17"/>
                <w:rFonts w:ascii="맑은 고딕" w:hAnsi="맑은 고딕" w:eastAsia="맑은 고딕" w:cs="맑은 고딕"/>
              </w:rPr>
              <w:t>다음 분기 상태</w:t>
            </w:r>
          </w:p>
        </w:tc>
        <w:tc>
          <w:tcPr>
            <w:tcW w:type="dxa" w:w="3504"/>
          </w:tcPr>
          <w:p>
            <w:r>
              <w:rPr>
                <w:sz w:val="17"/>
                <w:rFonts w:ascii="맑은 고딕" w:hAnsi="맑은 고딕" w:eastAsia="맑은 고딕" w:cs="맑은 고딕"/>
              </w:rPr>
            </w:r>
          </w:p>
        </w:tc>
        <w:tc>
          <w:tcPr>
            <w:tcW w:type="dxa" w:w="3504"/>
          </w:tcPr>
          <w:p>
            <w:r>
              <w:rPr>
                <w:sz w:val="17"/>
                <w:rFonts w:ascii="맑은 고딕" w:hAnsi="맑은 고딕" w:eastAsia="맑은 고딕" w:cs="맑은 고딕"/>
              </w:rPr>
            </w:r>
          </w:p>
        </w:tc>
      </w:tr>
      <w:tr>
        <w:tc>
          <w:tcPr>
            <w:tcW w:type="dxa" w:w="3504"/>
          </w:tcPr>
          <w:p>
            <w:r>
              <w:rPr>
                <w:sz w:val="17"/>
                <w:rFonts w:ascii="맑은 고딕" w:hAnsi="맑은 고딕" w:eastAsia="맑은 고딕" w:cs="맑은 고딕"/>
              </w:rPr>
              <w:t>변화 없음</w:t>
            </w:r>
          </w:p>
        </w:tc>
        <w:tc>
          <w:tcPr>
            <w:tcW w:type="dxa" w:w="3504"/>
          </w:tcPr>
          <w:p>
            <w:r>
              <w:rPr>
                <w:sz w:val="17"/>
                <w:rFonts w:ascii="맑은 고딕" w:hAnsi="맑은 고딕" w:eastAsia="맑은 고딕" w:cs="맑은 고딕"/>
              </w:rPr>
              <w:t>29633</w:t>
            </w:r>
          </w:p>
        </w:tc>
        <w:tc>
          <w:tcPr>
            <w:tcW w:type="dxa" w:w="3504"/>
          </w:tcPr>
          <w:p>
            <w:r>
              <w:rPr>
                <w:sz w:val="17"/>
                <w:rFonts w:ascii="맑은 고딕" w:hAnsi="맑은 고딕" w:eastAsia="맑은 고딕" w:cs="맑은 고딕"/>
              </w:rPr>
              <w:t>0.439</w:t>
            </w:r>
          </w:p>
        </w:tc>
      </w:tr>
      <w:tr>
        <w:tc>
          <w:tcPr>
            <w:tcW w:type="dxa" w:w="3504"/>
          </w:tcPr>
          <w:p>
            <w:r>
              <w:rPr>
                <w:sz w:val="17"/>
                <w:rFonts w:ascii="맑은 고딕" w:hAnsi="맑은 고딕" w:eastAsia="맑은 고딕" w:cs="맑은 고딕"/>
              </w:rPr>
              <w:t>변화 있었으나 줄지 않음</w:t>
            </w:r>
          </w:p>
        </w:tc>
        <w:tc>
          <w:tcPr>
            <w:tcW w:type="dxa" w:w="3504"/>
          </w:tcPr>
          <w:p>
            <w:r>
              <w:rPr>
                <w:sz w:val="17"/>
                <w:rFonts w:ascii="맑은 고딕" w:hAnsi="맑은 고딕" w:eastAsia="맑은 고딕" w:cs="맑은 고딕"/>
              </w:rPr>
              <w:t>20652</w:t>
            </w:r>
          </w:p>
        </w:tc>
        <w:tc>
          <w:tcPr>
            <w:tcW w:type="dxa" w:w="3504"/>
          </w:tcPr>
          <w:p>
            <w:r>
              <w:rPr>
                <w:sz w:val="17"/>
                <w:rFonts w:ascii="맑은 고딕" w:hAnsi="맑은 고딕" w:eastAsia="맑은 고딕" w:cs="맑은 고딕"/>
              </w:rPr>
              <w:t>0.306</w:t>
            </w:r>
          </w:p>
        </w:tc>
      </w:tr>
      <w:tr>
        <w:tc>
          <w:tcPr>
            <w:tcW w:type="dxa" w:w="3504"/>
          </w:tcPr>
          <w:p>
            <w:r>
              <w:rPr>
                <w:sz w:val="17"/>
                <w:rFonts w:ascii="맑은 고딕" w:hAnsi="맑은 고딕" w:eastAsia="맑은 고딕" w:cs="맑은 고딕"/>
              </w:rPr>
              <w:t>순감소</w:t>
            </w:r>
          </w:p>
        </w:tc>
        <w:tc>
          <w:tcPr>
            <w:tcW w:type="dxa" w:w="3504"/>
          </w:tcPr>
          <w:p>
            <w:r>
              <w:rPr>
                <w:sz w:val="17"/>
                <w:rFonts w:ascii="맑은 고딕" w:hAnsi="맑은 고딕" w:eastAsia="맑은 고딕" w:cs="맑은 고딕"/>
              </w:rPr>
              <w:t>17190</w:t>
            </w:r>
          </w:p>
        </w:tc>
        <w:tc>
          <w:tcPr>
            <w:tcW w:type="dxa" w:w="3504"/>
          </w:tcPr>
          <w:p>
            <w:r>
              <w:rPr>
                <w:sz w:val="17"/>
                <w:rFonts w:ascii="맑은 고딕" w:hAnsi="맑은 고딕" w:eastAsia="맑은 고딕" w:cs="맑은 고딕"/>
              </w:rPr>
              <w:t>0.255</w:t>
            </w:r>
          </w:p>
        </w:tc>
      </w:tr>
    </w:tbl>
    <w:p>
      <w:r>
        <w:rPr>
          <w:b w:val="0"/>
          <w:i/>
          <w:sz w:val="18"/>
          <w:rFonts w:ascii="맑은 고딕" w:hAnsi="맑은 고딕" w:eastAsia="맑은 고딕" w:cs="맑은 고딕"/>
        </w:rPr>
        <w:t>표 5</w:t>
      </w:r>
    </w:p>
    <w:p>
      <w:r>
        <w:rPr>
          <w:b w:val="0"/>
          <w:i w:val="0"/>
          <w:sz w:val="19"/>
          <w:rFonts w:ascii="맑은 고딕" w:hAnsi="맑은 고딕" w:eastAsia="맑은 고딕" w:cs="맑은 고딕"/>
        </w:rPr>
        <w:t>읽는 법 — 다음 분기 상태를 셋으로 나눈 비율임. y=0 은 위 두 줄(변화 없음 + 줄지 않음)의 합임.</w:t>
      </w:r>
    </w:p>
    <w:tbl>
      <w:tblPr>
        <w:tblStyle w:val="LightGrid-Accent1"/>
        <w:tblW w:type="auto" w:w="0"/>
        <w:tblLook w:firstColumn="1" w:firstRow="1" w:lastColumn="0" w:lastRow="0" w:noHBand="0" w:noVBand="1" w:val="04A0"/>
      </w:tblPr>
      <w:tblGrid>
        <w:gridCol w:w="2102"/>
        <w:gridCol w:w="2102"/>
        <w:gridCol w:w="2102"/>
        <w:gridCol w:w="2102"/>
        <w:gridCol w:w="2102"/>
      </w:tblGrid>
      <w:tr>
        <w:tc>
          <w:tcPr>
            <w:tcW w:type="dxa" w:w="2102"/>
          </w:tcPr>
          <w:p>
            <w:r>
              <w:rPr>
                <w:b/>
                <w:sz w:val="17"/>
                <w:rFonts w:ascii="맑은 고딕" w:hAnsi="맑은 고딕" w:eastAsia="맑은 고딕" w:cs="맑은 고딕"/>
              </w:rPr>
            </w:r>
          </w:p>
        </w:tc>
        <w:tc>
          <w:tcPr>
            <w:tcW w:type="dxa" w:w="2102"/>
          </w:tcPr>
          <w:p>
            <w:r>
              <w:rPr>
                <w:b/>
                <w:sz w:val="17"/>
                <w:rFonts w:ascii="맑은 고딕" w:hAnsi="맑은 고딕" w:eastAsia="맑은 고딕" w:cs="맑은 고딕"/>
              </w:rPr>
              <w:t>칸수</w:t>
            </w:r>
          </w:p>
        </w:tc>
        <w:tc>
          <w:tcPr>
            <w:tcW w:type="dxa" w:w="2102"/>
          </w:tcPr>
          <w:p>
            <w:r>
              <w:rPr>
                <w:b/>
                <w:sz w:val="17"/>
                <w:rFonts w:ascii="맑은 고딕" w:hAnsi="맑은 고딕" w:eastAsia="맑은 고딕" w:cs="맑은 고딕"/>
              </w:rPr>
              <w:t>평균점포</w:t>
            </w:r>
          </w:p>
        </w:tc>
        <w:tc>
          <w:tcPr>
            <w:tcW w:type="dxa" w:w="2102"/>
          </w:tcPr>
          <w:p>
            <w:r>
              <w:rPr>
                <w:b/>
                <w:sz w:val="17"/>
                <w:rFonts w:ascii="맑은 고딕" w:hAnsi="맑은 고딕" w:eastAsia="맑은 고딕" w:cs="맑은 고딕"/>
              </w:rPr>
              <w:t>변화없음비율</w:t>
            </w:r>
          </w:p>
        </w:tc>
        <w:tc>
          <w:tcPr>
            <w:tcW w:type="dxa" w:w="2102"/>
          </w:tcPr>
          <w:p>
            <w:r>
              <w:rPr>
                <w:b/>
                <w:sz w:val="17"/>
                <w:rFonts w:ascii="맑은 고딕" w:hAnsi="맑은 고딕" w:eastAsia="맑은 고딕" w:cs="맑은 고딕"/>
              </w:rPr>
              <w:t>순감소율</w:t>
            </w:r>
          </w:p>
        </w:tc>
      </w:tr>
      <w:tr>
        <w:tc>
          <w:tcPr>
            <w:tcW w:type="dxa" w:w="2102"/>
          </w:tcPr>
          <w:p>
            <w:r>
              <w:rPr>
                <w:sz w:val="17"/>
                <w:rFonts w:ascii="맑은 고딕" w:hAnsi="맑은 고딕" w:eastAsia="맑은 고딕" w:cs="맑은 고딕"/>
              </w:rPr>
              <w:t>1분위</w:t>
            </w:r>
          </w:p>
        </w:tc>
        <w:tc>
          <w:tcPr>
            <w:tcW w:type="dxa" w:w="2102"/>
          </w:tcPr>
          <w:p>
            <w:r>
              <w:rPr>
                <w:sz w:val="17"/>
                <w:rFonts w:ascii="맑은 고딕" w:hAnsi="맑은 고딕" w:eastAsia="맑은 고딕" w:cs="맑은 고딕"/>
              </w:rPr>
              <w:t>15520</w:t>
            </w:r>
          </w:p>
        </w:tc>
        <w:tc>
          <w:tcPr>
            <w:tcW w:type="dxa" w:w="2102"/>
          </w:tcPr>
          <w:p>
            <w:r>
              <w:rPr>
                <w:sz w:val="17"/>
                <w:rFonts w:ascii="맑은 고딕" w:hAnsi="맑은 고딕" w:eastAsia="맑은 고딕" w:cs="맑은 고딕"/>
              </w:rPr>
              <w:t>5.44</w:t>
            </w:r>
          </w:p>
        </w:tc>
        <w:tc>
          <w:tcPr>
            <w:tcW w:type="dxa" w:w="2102"/>
          </w:tcPr>
          <w:p>
            <w:r>
              <w:rPr>
                <w:sz w:val="17"/>
                <w:rFonts w:ascii="맑은 고딕" w:hAnsi="맑은 고딕" w:eastAsia="맑은 고딕" w:cs="맑은 고딕"/>
              </w:rPr>
              <w:t>0.693</w:t>
            </w:r>
          </w:p>
        </w:tc>
        <w:tc>
          <w:tcPr>
            <w:tcW w:type="dxa" w:w="2102"/>
          </w:tcPr>
          <w:p>
            <w:r>
              <w:rPr>
                <w:sz w:val="17"/>
                <w:rFonts w:ascii="맑은 고딕" w:hAnsi="맑은 고딕" w:eastAsia="맑은 고딕" w:cs="맑은 고딕"/>
              </w:rPr>
              <w:t>0.151</w:t>
            </w:r>
          </w:p>
        </w:tc>
      </w:tr>
      <w:tr>
        <w:tc>
          <w:tcPr>
            <w:tcW w:type="dxa" w:w="2102"/>
          </w:tcPr>
          <w:p>
            <w:r>
              <w:rPr>
                <w:sz w:val="17"/>
                <w:rFonts w:ascii="맑은 고딕" w:hAnsi="맑은 고딕" w:eastAsia="맑은 고딕" w:cs="맑은 고딕"/>
              </w:rPr>
              <w:t>2분위</w:t>
            </w:r>
          </w:p>
        </w:tc>
        <w:tc>
          <w:tcPr>
            <w:tcW w:type="dxa" w:w="2102"/>
          </w:tcPr>
          <w:p>
            <w:r>
              <w:rPr>
                <w:sz w:val="17"/>
                <w:rFonts w:ascii="맑은 고딕" w:hAnsi="맑은 고딕" w:eastAsia="맑은 고딕" w:cs="맑은 고딕"/>
              </w:rPr>
              <w:t>14018</w:t>
            </w:r>
          </w:p>
        </w:tc>
        <w:tc>
          <w:tcPr>
            <w:tcW w:type="dxa" w:w="2102"/>
          </w:tcPr>
          <w:p>
            <w:r>
              <w:rPr>
                <w:sz w:val="17"/>
                <w:rFonts w:ascii="맑은 고딕" w:hAnsi="맑은 고딕" w:eastAsia="맑은 고딕" w:cs="맑은 고딕"/>
              </w:rPr>
              <w:t>7.86</w:t>
            </w:r>
          </w:p>
        </w:tc>
        <w:tc>
          <w:tcPr>
            <w:tcW w:type="dxa" w:w="2102"/>
          </w:tcPr>
          <w:p>
            <w:r>
              <w:rPr>
                <w:sz w:val="17"/>
                <w:rFonts w:ascii="맑은 고딕" w:hAnsi="맑은 고딕" w:eastAsia="맑은 고딕" w:cs="맑은 고딕"/>
              </w:rPr>
              <w:t>0.599</w:t>
            </w:r>
          </w:p>
        </w:tc>
        <w:tc>
          <w:tcPr>
            <w:tcW w:type="dxa" w:w="2102"/>
          </w:tcPr>
          <w:p>
            <w:r>
              <w:rPr>
                <w:sz w:val="17"/>
                <w:rFonts w:ascii="맑은 고딕" w:hAnsi="맑은 고딕" w:eastAsia="맑은 고딕" w:cs="맑은 고딕"/>
              </w:rPr>
              <w:t>0.193</w:t>
            </w:r>
          </w:p>
        </w:tc>
      </w:tr>
      <w:tr>
        <w:tc>
          <w:tcPr>
            <w:tcW w:type="dxa" w:w="2102"/>
          </w:tcPr>
          <w:p>
            <w:r>
              <w:rPr>
                <w:sz w:val="17"/>
                <w:rFonts w:ascii="맑은 고딕" w:hAnsi="맑은 고딕" w:eastAsia="맑은 고딕" w:cs="맑은 고딕"/>
              </w:rPr>
              <w:t>3분위</w:t>
            </w:r>
          </w:p>
        </w:tc>
        <w:tc>
          <w:tcPr>
            <w:tcW w:type="dxa" w:w="2102"/>
          </w:tcPr>
          <w:p>
            <w:r>
              <w:rPr>
                <w:sz w:val="17"/>
                <w:rFonts w:ascii="맑은 고딕" w:hAnsi="맑은 고딕" w:eastAsia="맑은 고딕" w:cs="맑은 고딕"/>
              </w:rPr>
              <w:t>12139</w:t>
            </w:r>
          </w:p>
        </w:tc>
        <w:tc>
          <w:tcPr>
            <w:tcW w:type="dxa" w:w="2102"/>
          </w:tcPr>
          <w:p>
            <w:r>
              <w:rPr>
                <w:sz w:val="17"/>
                <w:rFonts w:ascii="맑은 고딕" w:hAnsi="맑은 고딕" w:eastAsia="맑은 고딕" w:cs="맑은 고딕"/>
              </w:rPr>
              <w:t>11.73</w:t>
            </w:r>
          </w:p>
        </w:tc>
        <w:tc>
          <w:tcPr>
            <w:tcW w:type="dxa" w:w="2102"/>
          </w:tcPr>
          <w:p>
            <w:r>
              <w:rPr>
                <w:sz w:val="17"/>
                <w:rFonts w:ascii="맑은 고딕" w:hAnsi="맑은 고딕" w:eastAsia="맑은 고딕" w:cs="맑은 고딕"/>
              </w:rPr>
              <w:t>0.465</w:t>
            </w:r>
          </w:p>
        </w:tc>
        <w:tc>
          <w:tcPr>
            <w:tcW w:type="dxa" w:w="2102"/>
          </w:tcPr>
          <w:p>
            <w:r>
              <w:rPr>
                <w:sz w:val="17"/>
                <w:rFonts w:ascii="맑은 고딕" w:hAnsi="맑은 고딕" w:eastAsia="맑은 고딕" w:cs="맑은 고딕"/>
              </w:rPr>
              <w:t>0.243</w:t>
            </w:r>
          </w:p>
        </w:tc>
      </w:tr>
      <w:tr>
        <w:tc>
          <w:tcPr>
            <w:tcW w:type="dxa" w:w="2102"/>
          </w:tcPr>
          <w:p>
            <w:r>
              <w:rPr>
                <w:sz w:val="17"/>
                <w:rFonts w:ascii="맑은 고딕" w:hAnsi="맑은 고딕" w:eastAsia="맑은 고딕" w:cs="맑은 고딕"/>
              </w:rPr>
              <w:t>4분위</w:t>
            </w:r>
          </w:p>
        </w:tc>
        <w:tc>
          <w:tcPr>
            <w:tcW w:type="dxa" w:w="2102"/>
          </w:tcPr>
          <w:p>
            <w:r>
              <w:rPr>
                <w:sz w:val="17"/>
                <w:rFonts w:ascii="맑은 고딕" w:hAnsi="맑은 고딕" w:eastAsia="맑은 고딕" w:cs="맑은 고딕"/>
              </w:rPr>
              <w:t>12718</w:t>
            </w:r>
          </w:p>
        </w:tc>
        <w:tc>
          <w:tcPr>
            <w:tcW w:type="dxa" w:w="2102"/>
          </w:tcPr>
          <w:p>
            <w:r>
              <w:rPr>
                <w:sz w:val="17"/>
                <w:rFonts w:ascii="맑은 고딕" w:hAnsi="맑은 고딕" w:eastAsia="맑은 고딕" w:cs="맑은 고딕"/>
              </w:rPr>
              <w:t>19.56</w:t>
            </w:r>
          </w:p>
        </w:tc>
        <w:tc>
          <w:tcPr>
            <w:tcW w:type="dxa" w:w="2102"/>
          </w:tcPr>
          <w:p>
            <w:r>
              <w:rPr>
                <w:sz w:val="17"/>
                <w:rFonts w:ascii="맑은 고딕" w:hAnsi="맑은 고딕" w:eastAsia="맑은 고딕" w:cs="맑은 고딕"/>
              </w:rPr>
              <w:t>0.298</w:t>
            </w:r>
          </w:p>
        </w:tc>
        <w:tc>
          <w:tcPr>
            <w:tcW w:type="dxa" w:w="2102"/>
          </w:tcPr>
          <w:p>
            <w:r>
              <w:rPr>
                <w:sz w:val="17"/>
                <w:rFonts w:ascii="맑은 고딕" w:hAnsi="맑은 고딕" w:eastAsia="맑은 고딕" w:cs="맑은 고딕"/>
              </w:rPr>
              <w:t>0.308</w:t>
            </w:r>
          </w:p>
        </w:tc>
      </w:tr>
      <w:tr>
        <w:tc>
          <w:tcPr>
            <w:tcW w:type="dxa" w:w="2102"/>
          </w:tcPr>
          <w:p>
            <w:r>
              <w:rPr>
                <w:sz w:val="17"/>
                <w:rFonts w:ascii="맑은 고딕" w:hAnsi="맑은 고딕" w:eastAsia="맑은 고딕" w:cs="맑은 고딕"/>
              </w:rPr>
              <w:t>5분위</w:t>
            </w:r>
          </w:p>
        </w:tc>
        <w:tc>
          <w:tcPr>
            <w:tcW w:type="dxa" w:w="2102"/>
          </w:tcPr>
          <w:p>
            <w:r>
              <w:rPr>
                <w:sz w:val="17"/>
                <w:rFonts w:ascii="맑은 고딕" w:hAnsi="맑은 고딕" w:eastAsia="맑은 고딕" w:cs="맑은 고딕"/>
              </w:rPr>
              <w:t>13080</w:t>
            </w:r>
          </w:p>
        </w:tc>
        <w:tc>
          <w:tcPr>
            <w:tcW w:type="dxa" w:w="2102"/>
          </w:tcPr>
          <w:p>
            <w:r>
              <w:rPr>
                <w:sz w:val="17"/>
                <w:rFonts w:ascii="맑은 고딕" w:hAnsi="맑은 고딕" w:eastAsia="맑은 고딕" w:cs="맑은 고딕"/>
              </w:rPr>
              <w:t>65.47</w:t>
            </w:r>
          </w:p>
        </w:tc>
        <w:tc>
          <w:tcPr>
            <w:tcW w:type="dxa" w:w="2102"/>
          </w:tcPr>
          <w:p>
            <w:r>
              <w:rPr>
                <w:sz w:val="17"/>
                <w:rFonts w:ascii="맑은 고딕" w:hAnsi="맑은 고딕" w:eastAsia="맑은 고딕" w:cs="맑은 고딕"/>
              </w:rPr>
              <w:t>0.079</w:t>
            </w:r>
          </w:p>
        </w:tc>
        <w:tc>
          <w:tcPr>
            <w:tcW w:type="dxa" w:w="2102"/>
          </w:tcPr>
          <w:p>
            <w:r>
              <w:rPr>
                <w:sz w:val="17"/>
                <w:rFonts w:ascii="맑은 고딕" w:hAnsi="맑은 고딕" w:eastAsia="맑은 고딕" w:cs="맑은 고딕"/>
              </w:rPr>
              <w:t>0.403</w:t>
            </w:r>
          </w:p>
        </w:tc>
      </w:tr>
    </w:tbl>
    <w:p>
      <w:r>
        <w:rPr>
          <w:b w:val="0"/>
          <w:i/>
          <w:sz w:val="18"/>
          <w:rFonts w:ascii="맑은 고딕" w:hAnsi="맑은 고딕" w:eastAsia="맑은 고딕" w:cs="맑은 고딕"/>
        </w:rPr>
        <w:t>표 6</w:t>
      </w:r>
    </w:p>
    <w:p>
      <w:r>
        <w:rPr>
          <w:b w:val="0"/>
          <w:i w:val="0"/>
          <w:sz w:val="19"/>
          <w:rFonts w:ascii="맑은 고딕" w:hAnsi="맑은 고딕" w:eastAsia="맑은 고딕" w:cs="맑은 고딕"/>
        </w:rPr>
        <w:t>읽는 법 — 1분위가 점포가 가장 적은 구간임. «변화없음비율» 열을 위에서 아래로 읽으면 규모가 커질 때 «아무 일도 없음»이 어떻게 줄어드는지 보임.</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아무 조정 없이 학습하면 모델은 “어떤 조건에서 쇠퇴하는가”보다 “어디에서 사건이 일어날 만큼 점포가 많은가”를 학습할 수 있다. 이후의 규모 통제와 2단계 모형은 이 문제를 해결하기 위한 장치다.</w:t>
      </w:r>
    </w:p>
    <w:p>
      <w:r>
        <w:br w:type="page"/>
      </w:r>
    </w:p>
    <w:p>
      <w:pPr>
        <w:pStyle w:val="Heading1"/>
      </w:pPr>
      <w:r>
        <w:rPr>
          <w:rFonts w:ascii="맑은 고딕" w:hAnsi="맑은 고딕" w:eastAsia="맑은 고딕" w:cs="맑은 고딕"/>
        </w:rPr>
        <w:t>04  기초 탐색과 상권유형별 차이</w:t>
      </w:r>
    </w:p>
    <w:p>
      <w:r>
        <w:rPr>
          <w:b/>
          <w:i w:val="0"/>
          <w:sz w:val="22"/>
          <w:rFonts w:ascii="맑은 고딕" w:hAnsi="맑은 고딕" w:eastAsia="맑은 고딕" w:cs="맑은 고딕"/>
        </w:rPr>
        <w:t>핵심 한 줄 — 상권유형별 순감소율 차이는 통계적으로는 분명했지만, 실제 차이의 크기는 작았다. “유형 자체가 위험을 만든다”고 바로 결론낼 정도는 아니었다.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표본이 수만 건이면 아주 작은 차이도 p-value가 매우 작게 나온다. 그래서 “차이가 존재하는가”와 “차이가 큰가”를 함께 봐야 한다.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상권유형 × 순감소 카이제곱 검정은 유의했지만 Cramér’s V=0.071로 효과크기는 작았다.</w:t>
      </w:r>
    </w:p>
    <w:p>
      <w:pPr>
        <w:ind w:left="173"/>
      </w:pPr>
      <w:r>
        <w:rPr>
          <w:b w:val="0"/>
          <w:i w:val="0"/>
          <w:sz w:val="21"/>
          <w:rFonts w:ascii="맑은 고딕" w:hAnsi="맑은 고딕" w:eastAsia="맑은 고딕" w:cs="맑은 고딕"/>
        </w:rPr>
        <w:t>• Kruskal-Wallis도 유의했지만 ε²=0.0050으로 실제 차이는 크지 않았다.</w:t>
      </w:r>
    </w:p>
    <w:p>
      <w:pPr>
        <w:ind w:left="173"/>
      </w:pPr>
      <w:r>
        <w:rPr>
          <w:b w:val="0"/>
          <w:i w:val="0"/>
          <w:sz w:val="21"/>
          <w:rFonts w:ascii="맑은 고딕" w:hAnsi="맑은 고딕" w:eastAsia="맑은 고딕" w:cs="맑은 고딕"/>
        </w:rPr>
        <w:t>• 변수 간 상관은 일부 높았지만 |r|&gt;0.8인 쌍은 없었다. 가장 큰 상관은 업종밀도와 업종점포비중(r=0.753)이었다.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통계적 차이</w:t>
            </w:r>
          </w:p>
        </w:tc>
        <w:tc>
          <w:tcPr>
            <w:tcW w:type="dxa" w:w="5256"/>
          </w:tcPr>
          <w:p>
            <w:r>
              <w:rPr>
                <w:sz w:val="17"/>
                <w:rFonts w:ascii="맑은 고딕" w:hAnsi="맑은 고딕" w:eastAsia="맑은 고딕" w:cs="맑은 고딕"/>
              </w:rPr>
              <w:t>χ²(3)=337.9, p&lt;0.001</w:t>
            </w:r>
          </w:p>
        </w:tc>
      </w:tr>
      <w:tr>
        <w:tc>
          <w:tcPr>
            <w:tcW w:type="dxa" w:w="5256"/>
          </w:tcPr>
          <w:p>
            <w:r>
              <w:rPr>
                <w:sz w:val="17"/>
                <w:rFonts w:ascii="맑은 고딕" w:hAnsi="맑은 고딕" w:eastAsia="맑은 고딕" w:cs="맑은 고딕"/>
              </w:rPr>
              <w:t>효과크기</w:t>
            </w:r>
          </w:p>
        </w:tc>
        <w:tc>
          <w:tcPr>
            <w:tcW w:type="dxa" w:w="5256"/>
          </w:tcPr>
          <w:p>
            <w:r>
              <w:rPr>
                <w:sz w:val="17"/>
                <w:rFonts w:ascii="맑은 고딕" w:hAnsi="맑은 고딕" w:eastAsia="맑은 고딕" w:cs="맑은 고딕"/>
              </w:rPr>
              <w:t>Cramér’s V=0.071 · ε²=0.0050 → 작음</w:t>
            </w:r>
          </w:p>
        </w:tc>
      </w:tr>
      <w:tr>
        <w:tc>
          <w:tcPr>
            <w:tcW w:type="dxa" w:w="5256"/>
          </w:tcPr>
          <w:p>
            <w:r>
              <w:rPr>
                <w:sz w:val="17"/>
                <w:rFonts w:ascii="맑은 고딕" w:hAnsi="맑은 고딕" w:eastAsia="맑은 고딕" w:cs="맑은 고딕"/>
              </w:rPr>
              <w:t>해석 주의</w:t>
            </w:r>
          </w:p>
        </w:tc>
        <w:tc>
          <w:tcPr>
            <w:tcW w:type="dxa" w:w="5256"/>
          </w:tcPr>
          <w:p>
            <w:r>
              <w:rPr>
                <w:sz w:val="17"/>
                <w:rFonts w:ascii="맑은 고딕" w:hAnsi="맑은 고딕" w:eastAsia="맑은 고딕" w:cs="맑은 고딕"/>
              </w:rPr>
              <w:t>상권유형 안에 규모와 업종 구성이 섞여 있으므로 추가 통제가 필요</w:t>
            </w:r>
          </w:p>
        </w:tc>
      </w:tr>
    </w:tbl>
    <w:p>
      <w:r>
        <w:rPr>
          <w:b w:val="0"/>
          <w:i/>
          <w:sz w:val="18"/>
          <w:rFonts w:ascii="맑은 고딕" w:hAnsi="맑은 고딕" w:eastAsia="맑은 고딕" w:cs="맑은 고딕"/>
        </w:rPr>
        <w:t>표 7</w:t>
      </w:r>
    </w:p>
    <w:p>
      <w:pPr>
        <w:jc w:val="center"/>
      </w:pPr>
      <w:r>
        <w:drawing>
          <wp:inline xmlns:a="http://schemas.openxmlformats.org/drawingml/2006/main" xmlns:pic="http://schemas.openxmlformats.org/drawingml/2006/picture">
            <wp:extent cx="6035040" cy="2087242"/>
            <wp:docPr id="1" name="Picture 1"/>
            <wp:cNvGraphicFramePr>
              <a:graphicFrameLocks noChangeAspect="1"/>
            </wp:cNvGraphicFramePr>
            <a:graphic>
              <a:graphicData uri="http://schemas.openxmlformats.org/drawingml/2006/picture">
                <pic:pic>
                  <pic:nvPicPr>
                    <pic:cNvPr id="0" name="g1.png"/>
                    <pic:cNvPicPr/>
                  </pic:nvPicPr>
                  <pic:blipFill>
                    <a:blip r:embed="rId9"/>
                    <a:stretch>
                      <a:fillRect/>
                    </a:stretch>
                  </pic:blipFill>
                  <pic:spPr>
                    <a:xfrm>
                      <a:off x="0" y="0"/>
                      <a:ext cx="6035040" cy="2087242"/>
                    </a:xfrm>
                    <a:prstGeom prst="rect"/>
                  </pic:spPr>
                </pic:pic>
              </a:graphicData>
            </a:graphic>
          </wp:inline>
        </w:drawing>
      </w:r>
    </w:p>
    <w:p>
      <w:pPr>
        <w:jc w:val="center"/>
      </w:pPr>
      <w:r>
        <w:rPr>
          <w:b w:val="0"/>
          <w:i/>
          <w:sz w:val="18"/>
          <w:rFonts w:ascii="맑은 고딕" w:hAnsi="맑은 고딕" w:eastAsia="맑은 고딕" w:cs="맑은 고딕"/>
        </w:rPr>
        <w:t>그림 1</w:t>
      </w:r>
    </w:p>
    <w:p>
      <w:r>
        <w:rPr>
          <w:b w:val="0"/>
          <w:i w:val="0"/>
          <w:sz w:val="19"/>
          <w:rFonts w:ascii="맑은 고딕" w:hAnsi="맑은 고딕" w:eastAsia="맑은 고딕" w:cs="맑은 고딕"/>
        </w:rPr>
        <w:t>읽는 법 — 왼쪽이 유형별, 오른쪽이 업종별 순감소율이고 점선이 전체 평균임.</w:t>
      </w:r>
    </w:p>
    <w:p>
      <w:pPr>
        <w:jc w:val="center"/>
      </w:pPr>
      <w:r>
        <w:drawing>
          <wp:inline xmlns:a="http://schemas.openxmlformats.org/drawingml/2006/main" xmlns:pic="http://schemas.openxmlformats.org/drawingml/2006/picture">
            <wp:extent cx="6035040" cy="2470721"/>
            <wp:docPr id="2" name="Picture 2"/>
            <wp:cNvGraphicFramePr>
              <a:graphicFrameLocks noChangeAspect="1"/>
            </wp:cNvGraphicFramePr>
            <a:graphic>
              <a:graphicData uri="http://schemas.openxmlformats.org/drawingml/2006/picture">
                <pic:pic>
                  <pic:nvPicPr>
                    <pic:cNvPr id="0" name="g2.png"/>
                    <pic:cNvPicPr/>
                  </pic:nvPicPr>
                  <pic:blipFill>
                    <a:blip r:embed="rId10"/>
                    <a:stretch>
                      <a:fillRect/>
                    </a:stretch>
                  </pic:blipFill>
                  <pic:spPr>
                    <a:xfrm>
                      <a:off x="0" y="0"/>
                      <a:ext cx="6035040" cy="2470721"/>
                    </a:xfrm>
                    <a:prstGeom prst="rect"/>
                  </pic:spPr>
                </pic:pic>
              </a:graphicData>
            </a:graphic>
          </wp:inline>
        </w:drawing>
      </w:r>
    </w:p>
    <w:p>
      <w:pPr>
        <w:jc w:val="center"/>
      </w:pPr>
      <w:r>
        <w:rPr>
          <w:b w:val="0"/>
          <w:i/>
          <w:sz w:val="18"/>
          <w:rFonts w:ascii="맑은 고딕" w:hAnsi="맑은 고딕" w:eastAsia="맑은 고딕" w:cs="맑은 고딕"/>
        </w:rPr>
        <w:t>그림 2</w:t>
      </w:r>
    </w:p>
    <w:p>
      <w:r>
        <w:rPr>
          <w:b w:val="0"/>
          <w:i w:val="0"/>
          <w:sz w:val="19"/>
          <w:rFonts w:ascii="맑은 고딕" w:hAnsi="맑은 고딕" w:eastAsia="맑은 고딕" w:cs="맑은 고딕"/>
        </w:rPr>
        <w:t>읽는 법 — 구간 안에서의 비율이라 막대 하나의 합이 100%임. 회색이 «변화 없음»이고, 왼쪽으로 갈수록 회색이 커지는 것이 규모 편향의 통로임.</w:t>
      </w:r>
    </w:p>
    <w:p>
      <w:pPr>
        <w:jc w:val="center"/>
      </w:pPr>
      <w:r>
        <w:drawing>
          <wp:inline xmlns:a="http://schemas.openxmlformats.org/drawingml/2006/main" xmlns:pic="http://schemas.openxmlformats.org/drawingml/2006/picture">
            <wp:extent cx="4961058" cy="4206239"/>
            <wp:docPr id="3" name="Picture 3"/>
            <wp:cNvGraphicFramePr>
              <a:graphicFrameLocks noChangeAspect="1"/>
            </wp:cNvGraphicFramePr>
            <a:graphic>
              <a:graphicData uri="http://schemas.openxmlformats.org/drawingml/2006/picture">
                <pic:pic>
                  <pic:nvPicPr>
                    <pic:cNvPr id="0" name="g3.png"/>
                    <pic:cNvPicPr/>
                  </pic:nvPicPr>
                  <pic:blipFill>
                    <a:blip r:embed="rId11"/>
                    <a:stretch>
                      <a:fillRect/>
                    </a:stretch>
                  </pic:blipFill>
                  <pic:spPr>
                    <a:xfrm>
                      <a:off x="0" y="0"/>
                      <a:ext cx="4961058" cy="4206239"/>
                    </a:xfrm>
                    <a:prstGeom prst="rect"/>
                  </pic:spPr>
                </pic:pic>
              </a:graphicData>
            </a:graphic>
          </wp:inline>
        </w:drawing>
      </w:r>
    </w:p>
    <w:p>
      <w:pPr>
        <w:jc w:val="center"/>
      </w:pPr>
      <w:r>
        <w:rPr>
          <w:b w:val="0"/>
          <w:i/>
          <w:sz w:val="18"/>
          <w:rFonts w:ascii="맑은 고딕" w:hAnsi="맑은 고딕" w:eastAsia="맑은 고딕" w:cs="맑은 고딕"/>
        </w:rPr>
        <w:t>그림 3</w:t>
      </w:r>
    </w:p>
    <w:p>
      <w:r>
        <w:rPr>
          <w:b w:val="0"/>
          <w:i w:val="0"/>
          <w:sz w:val="19"/>
          <w:rFonts w:ascii="맑은 고딕" w:hAnsi="맑은 고딕" w:eastAsia="맑은 고딕" w:cs="맑은 고딕"/>
        </w:rPr>
        <w:t>읽는 법 — 공변량끼리 얼마나 «같은 것을 재고 있는가»임. 붉을수록 강한 양의 상관이고, 0.7 안팎으로 붙어 있는 «업종 밀도 ↔ 업종 점포 비중»과 «유동인구 ↔ 면적»은 각각 한 덩어리로 읽어야 함.</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이 단계의 결론은 “상권유형별 차이가 아예 없다”도, “상권유형이 원인이다”도 아니다. 차이는 보이지만 그 크기가 작으므로, 점포 수와 업종 구성을 분리한 뒤 다시 확인해야 한다.</w:t>
      </w:r>
    </w:p>
    <w:p>
      <w:r>
        <w:br w:type="page"/>
      </w:r>
    </w:p>
    <w:p>
      <w:pPr>
        <w:pStyle w:val="Heading1"/>
      </w:pPr>
      <w:r>
        <w:rPr>
          <w:rFonts w:ascii="맑은 고딕" w:hAnsi="맑은 고딕" w:eastAsia="맑은 고딕" w:cs="맑은 고딕"/>
        </w:rPr>
        <w:t>05  비교 기준 — 모델이 넘어야 하는 선</w:t>
      </w:r>
    </w:p>
    <w:p>
      <w:r>
        <w:rPr>
          <w:b/>
          <w:i w:val="0"/>
          <w:sz w:val="22"/>
          <w:rFonts w:ascii="맑은 고딕" w:hAnsi="맑은 고딕" w:eastAsia="맑은 고딕" w:cs="맑은 고딕"/>
        </w:rPr>
        <w:t>핵심 한 줄 — 예측모델은 무작위보다만 좋아서는 부족하다. 점포 수 하나만으로도 상당히 맞힐 수 있기 때문에, 실제 기준선은 “점포 수 규칙”이다.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큰 상권일수록 개업·폐업 사건이 더 자주 발생한다. 이 규모 효과를 이기지 못하면 복잡한 모델을 쓸 이유가 없다.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무작위로 고르면 정밀도는 전체 순감소율과 같은 25.5%이다.</w:t>
      </w:r>
    </w:p>
    <w:p>
      <w:pPr>
        <w:ind w:left="173"/>
      </w:pPr>
      <w:r>
        <w:rPr>
          <w:b w:val="0"/>
          <w:i w:val="0"/>
          <w:sz w:val="21"/>
          <w:rFonts w:ascii="맑은 고딕" w:hAnsi="맑은 고딕" w:eastAsia="맑은 고딕" w:cs="맑은 고딕"/>
        </w:rPr>
        <w:t>• 직전 분기 상태를 그대로 쓰면 정밀도 28.4%, Lift 1.11로 개선 폭이 작았다.</w:t>
      </w:r>
    </w:p>
    <w:p>
      <w:pPr>
        <w:ind w:left="173"/>
      </w:pPr>
      <w:r>
        <w:rPr>
          <w:b w:val="0"/>
          <w:i w:val="0"/>
          <w:sz w:val="21"/>
          <w:rFonts w:ascii="맑은 고딕" w:hAnsi="맑은 고딕" w:eastAsia="맑은 고딕" w:cs="맑은 고딕"/>
        </w:rPr>
        <w:t>• 서울시 상권변화지표(HL)는 정밀도 24.4%, Lift 0.956으로 다음 분기 예측 목적에서는 무작위보다 낮았다.</w:t>
      </w:r>
    </w:p>
    <w:p>
      <w:pPr>
        <w:ind w:left="173"/>
      </w:pPr>
      <w:r>
        <w:rPr>
          <w:b w:val="0"/>
          <w:i w:val="0"/>
          <w:sz w:val="21"/>
          <w:rFonts w:ascii="맑은 고딕" w:hAnsi="맑은 고딕" w:eastAsia="맑은 고딕" w:cs="맑은 고딕"/>
        </w:rPr>
        <w:t>• 점포 수가 많은 순으로 같은 수를 고르면 정밀도 39.4%, Lift 1.54로 가장 강한 단순 기준이 됐다.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무작위</w:t>
            </w:r>
          </w:p>
        </w:tc>
        <w:tc>
          <w:tcPr>
            <w:tcW w:type="dxa" w:w="5256"/>
          </w:tcPr>
          <w:p>
            <w:r>
              <w:rPr>
                <w:sz w:val="17"/>
                <w:rFonts w:ascii="맑은 고딕" w:hAnsi="맑은 고딕" w:eastAsia="맑은 고딕" w:cs="맑은 고딕"/>
              </w:rPr>
              <w:t>정밀도 25.5% · Lift 1.00</w:t>
            </w:r>
          </w:p>
        </w:tc>
      </w:tr>
      <w:tr>
        <w:tc>
          <w:tcPr>
            <w:tcW w:type="dxa" w:w="5256"/>
          </w:tcPr>
          <w:p>
            <w:r>
              <w:rPr>
                <w:sz w:val="17"/>
                <w:rFonts w:ascii="맑은 고딕" w:hAnsi="맑은 고딕" w:eastAsia="맑은 고딕" w:cs="맑은 고딕"/>
              </w:rPr>
              <w:t>직전 분기</w:t>
            </w:r>
          </w:p>
        </w:tc>
        <w:tc>
          <w:tcPr>
            <w:tcW w:type="dxa" w:w="5256"/>
          </w:tcPr>
          <w:p>
            <w:r>
              <w:rPr>
                <w:sz w:val="17"/>
                <w:rFonts w:ascii="맑은 고딕" w:hAnsi="맑은 고딕" w:eastAsia="맑은 고딕" w:cs="맑은 고딕"/>
              </w:rPr>
              <w:t>28.4% · 1.11</w:t>
            </w:r>
          </w:p>
        </w:tc>
      </w:tr>
      <w:tr>
        <w:tc>
          <w:tcPr>
            <w:tcW w:type="dxa" w:w="5256"/>
          </w:tcPr>
          <w:p>
            <w:r>
              <w:rPr>
                <w:sz w:val="17"/>
                <w:rFonts w:ascii="맑은 고딕" w:hAnsi="맑은 고딕" w:eastAsia="맑은 고딕" w:cs="맑은 고딕"/>
              </w:rPr>
              <w:t>서울시 상권변화지표(HL)</w:t>
            </w:r>
          </w:p>
        </w:tc>
        <w:tc>
          <w:tcPr>
            <w:tcW w:type="dxa" w:w="5256"/>
          </w:tcPr>
          <w:p>
            <w:r>
              <w:rPr>
                <w:sz w:val="17"/>
                <w:rFonts w:ascii="맑은 고딕" w:hAnsi="맑은 고딕" w:eastAsia="맑은 고딕" w:cs="맑은 고딕"/>
              </w:rPr>
              <w:t>24.4% · 0.956</w:t>
            </w:r>
          </w:p>
        </w:tc>
      </w:tr>
      <w:tr>
        <w:tc>
          <w:tcPr>
            <w:tcW w:type="dxa" w:w="5256"/>
          </w:tcPr>
          <w:p>
            <w:r>
              <w:rPr>
                <w:sz w:val="17"/>
                <w:rFonts w:ascii="맑은 고딕" w:hAnsi="맑은 고딕" w:eastAsia="맑은 고딕" w:cs="맑은 고딕"/>
              </w:rPr>
              <w:t>점포 수</w:t>
            </w:r>
          </w:p>
        </w:tc>
        <w:tc>
          <w:tcPr>
            <w:tcW w:type="dxa" w:w="5256"/>
          </w:tcPr>
          <w:p>
            <w:r>
              <w:rPr>
                <w:sz w:val="17"/>
                <w:rFonts w:ascii="맑은 고딕" w:hAnsi="맑은 고딕" w:eastAsia="맑은 고딕" w:cs="맑은 고딕"/>
              </w:rPr>
              <w:t>39.4% · 1.54</w:t>
            </w:r>
          </w:p>
        </w:tc>
      </w:tr>
    </w:tbl>
    <w:p>
      <w:r>
        <w:rPr>
          <w:b w:val="0"/>
          <w:i/>
          <w:sz w:val="18"/>
          <w:rFonts w:ascii="맑은 고딕" w:hAnsi="맑은 고딕" w:eastAsia="맑은 고딕" w:cs="맑은 고딕"/>
        </w:rPr>
        <w:t>표 8</w:t>
      </w:r>
    </w:p>
    <w:tbl>
      <w:tblPr>
        <w:tblStyle w:val="LightGrid-Accent1"/>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b/>
                <w:sz w:val="17"/>
                <w:rFonts w:ascii="맑은 고딕" w:hAnsi="맑은 고딕" w:eastAsia="맑은 고딕" w:cs="맑은 고딕"/>
              </w:rPr>
            </w:r>
          </w:p>
        </w:tc>
        <w:tc>
          <w:tcPr>
            <w:tcW w:type="dxa" w:w="1752"/>
          </w:tcPr>
          <w:p>
            <w:r>
              <w:rPr>
                <w:b/>
                <w:sz w:val="17"/>
                <w:rFonts w:ascii="맑은 고딕" w:hAnsi="맑은 고딕" w:eastAsia="맑은 고딕" w:cs="맑은 고딕"/>
              </w:rPr>
              <w:t>기준선</w:t>
            </w:r>
          </w:p>
        </w:tc>
        <w:tc>
          <w:tcPr>
            <w:tcW w:type="dxa" w:w="1752"/>
          </w:tcPr>
          <w:p>
            <w:r>
              <w:rPr>
                <w:b/>
                <w:sz w:val="17"/>
                <w:rFonts w:ascii="맑은 고딕" w:hAnsi="맑은 고딕" w:eastAsia="맑은 고딕" w:cs="맑은 고딕"/>
              </w:rPr>
              <w:t>위험으로 찍은 수</w:t>
            </w:r>
          </w:p>
        </w:tc>
        <w:tc>
          <w:tcPr>
            <w:tcW w:type="dxa" w:w="1752"/>
          </w:tcPr>
          <w:p>
            <w:r>
              <w:rPr>
                <w:b/>
                <w:sz w:val="17"/>
                <w:rFonts w:ascii="맑은 고딕" w:hAnsi="맑은 고딕" w:eastAsia="맑은 고딕" w:cs="맑은 고딕"/>
              </w:rPr>
              <w:t>정밀도</w:t>
            </w:r>
          </w:p>
        </w:tc>
        <w:tc>
          <w:tcPr>
            <w:tcW w:type="dxa" w:w="1752"/>
          </w:tcPr>
          <w:p>
            <w:r>
              <w:rPr>
                <w:b/>
                <w:sz w:val="17"/>
                <w:rFonts w:ascii="맑은 고딕" w:hAnsi="맑은 고딕" w:eastAsia="맑은 고딕" w:cs="맑은 고딕"/>
              </w:rPr>
              <w:t>재현율</w:t>
            </w:r>
          </w:p>
        </w:tc>
        <w:tc>
          <w:tcPr>
            <w:tcW w:type="dxa" w:w="1752"/>
          </w:tcPr>
          <w:p>
            <w:r>
              <w:rPr>
                <w:b/>
                <w:sz w:val="17"/>
                <w:rFonts w:ascii="맑은 고딕" w:hAnsi="맑은 고딕" w:eastAsia="맑은 고딕" w:cs="맑은 고딕"/>
              </w:rPr>
              <w:t>Lift</w:t>
            </w:r>
          </w:p>
        </w:tc>
      </w:tr>
      <w:tr>
        <w:tc>
          <w:tcPr>
            <w:tcW w:type="dxa" w:w="1752"/>
          </w:tcPr>
          <w:p>
            <w:r>
              <w:rPr>
                <w:sz w:val="17"/>
                <w:rFonts w:ascii="맑은 고딕" w:hAnsi="맑은 고딕" w:eastAsia="맑은 고딕" w:cs="맑은 고딕"/>
              </w:rPr>
              <w:t>0</w:t>
            </w:r>
          </w:p>
        </w:tc>
        <w:tc>
          <w:tcPr>
            <w:tcW w:type="dxa" w:w="1752"/>
          </w:tcPr>
          <w:p>
            <w:r>
              <w:rPr>
                <w:sz w:val="17"/>
                <w:rFonts w:ascii="맑은 고딕" w:hAnsi="맑은 고딕" w:eastAsia="맑은 고딕" w:cs="맑은 고딕"/>
              </w:rPr>
              <w:t>무작위(전부 위험)</w:t>
            </w:r>
          </w:p>
        </w:tc>
        <w:tc>
          <w:tcPr>
            <w:tcW w:type="dxa" w:w="1752"/>
          </w:tcPr>
          <w:p>
            <w:r>
              <w:rPr>
                <w:sz w:val="17"/>
                <w:rFonts w:ascii="맑은 고딕" w:hAnsi="맑은 고딕" w:eastAsia="맑은 고딕" w:cs="맑은 고딕"/>
              </w:rPr>
              <w:t>67475</w:t>
            </w:r>
          </w:p>
        </w:tc>
        <w:tc>
          <w:tcPr>
            <w:tcW w:type="dxa" w:w="1752"/>
          </w:tcPr>
          <w:p>
            <w:r>
              <w:rPr>
                <w:sz w:val="17"/>
                <w:rFonts w:ascii="맑은 고딕" w:hAnsi="맑은 고딕" w:eastAsia="맑은 고딕" w:cs="맑은 고딕"/>
              </w:rPr>
              <w:t>0.255</w:t>
            </w:r>
          </w:p>
        </w:tc>
        <w:tc>
          <w:tcPr>
            <w:tcW w:type="dxa" w:w="1752"/>
          </w:tcPr>
          <w:p>
            <w:r>
              <w:rPr>
                <w:sz w:val="17"/>
                <w:rFonts w:ascii="맑은 고딕" w:hAnsi="맑은 고딕" w:eastAsia="맑은 고딕" w:cs="맑은 고딕"/>
              </w:rPr>
              <w:t>1</w:t>
            </w:r>
          </w:p>
        </w:tc>
        <w:tc>
          <w:tcPr>
            <w:tcW w:type="dxa" w:w="1752"/>
          </w:tcPr>
          <w:p>
            <w:r>
              <w:rPr>
                <w:sz w:val="17"/>
                <w:rFonts w:ascii="맑은 고딕" w:hAnsi="맑은 고딕" w:eastAsia="맑은 고딕" w:cs="맑은 고딕"/>
              </w:rPr>
              <w:t>1</w:t>
            </w:r>
          </w:p>
        </w:tc>
      </w:tr>
      <w:tr>
        <w:tc>
          <w:tcPr>
            <w:tcW w:type="dxa" w:w="1752"/>
          </w:tcPr>
          <w:p>
            <w:r>
              <w:rPr>
                <w:sz w:val="17"/>
                <w:rFonts w:ascii="맑은 고딕" w:hAnsi="맑은 고딕" w:eastAsia="맑은 고딕" w:cs="맑은 고딕"/>
              </w:rPr>
              <w:t>1</w:t>
            </w:r>
          </w:p>
        </w:tc>
        <w:tc>
          <w:tcPr>
            <w:tcW w:type="dxa" w:w="1752"/>
          </w:tcPr>
          <w:p>
            <w:r>
              <w:rPr>
                <w:sz w:val="17"/>
                <w:rFonts w:ascii="맑은 고딕" w:hAnsi="맑은 고딕" w:eastAsia="맑은 고딕" w:cs="맑은 고딕"/>
              </w:rPr>
              <w:t>직전 분기</w:t>
            </w:r>
          </w:p>
        </w:tc>
        <w:tc>
          <w:tcPr>
            <w:tcW w:type="dxa" w:w="1752"/>
          </w:tcPr>
          <w:p>
            <w:r>
              <w:rPr>
                <w:sz w:val="17"/>
                <w:rFonts w:ascii="맑은 고딕" w:hAnsi="맑은 고딕" w:eastAsia="맑은 고딕" w:cs="맑은 고딕"/>
              </w:rPr>
              <w:t>15682</w:t>
            </w:r>
          </w:p>
        </w:tc>
        <w:tc>
          <w:tcPr>
            <w:tcW w:type="dxa" w:w="1752"/>
          </w:tcPr>
          <w:p>
            <w:r>
              <w:rPr>
                <w:sz w:val="17"/>
                <w:rFonts w:ascii="맑은 고딕" w:hAnsi="맑은 고딕" w:eastAsia="맑은 고딕" w:cs="맑은 고딕"/>
              </w:rPr>
              <w:t>0.284</w:t>
            </w:r>
          </w:p>
        </w:tc>
        <w:tc>
          <w:tcPr>
            <w:tcW w:type="dxa" w:w="1752"/>
          </w:tcPr>
          <w:p>
            <w:r>
              <w:rPr>
                <w:sz w:val="17"/>
                <w:rFonts w:ascii="맑은 고딕" w:hAnsi="맑은 고딕" w:eastAsia="맑은 고딕" w:cs="맑은 고딕"/>
              </w:rPr>
              <w:t>0.259</w:t>
            </w:r>
          </w:p>
        </w:tc>
        <w:tc>
          <w:tcPr>
            <w:tcW w:type="dxa" w:w="1752"/>
          </w:tcPr>
          <w:p>
            <w:r>
              <w:rPr>
                <w:sz w:val="17"/>
                <w:rFonts w:ascii="맑은 고딕" w:hAnsi="맑은 고딕" w:eastAsia="맑은 고딕" w:cs="맑은 고딕"/>
              </w:rPr>
              <w:t>1.11</w:t>
            </w:r>
          </w:p>
        </w:tc>
      </w:tr>
      <w:tr>
        <w:tc>
          <w:tcPr>
            <w:tcW w:type="dxa" w:w="1752"/>
          </w:tcPr>
          <w:p>
            <w:r>
              <w:rPr>
                <w:sz w:val="17"/>
                <w:rFonts w:ascii="맑은 고딕" w:hAnsi="맑은 고딕" w:eastAsia="맑은 고딕" w:cs="맑은 고딕"/>
              </w:rPr>
              <w:t>2</w:t>
            </w:r>
          </w:p>
        </w:tc>
        <w:tc>
          <w:tcPr>
            <w:tcW w:type="dxa" w:w="1752"/>
          </w:tcPr>
          <w:p>
            <w:r>
              <w:rPr>
                <w:sz w:val="17"/>
                <w:rFonts w:ascii="맑은 고딕" w:hAnsi="맑은 고딕" w:eastAsia="맑은 고딕" w:cs="맑은 고딕"/>
              </w:rPr>
              <w:t>상권변화지표(HL)</w:t>
            </w:r>
          </w:p>
        </w:tc>
        <w:tc>
          <w:tcPr>
            <w:tcW w:type="dxa" w:w="1752"/>
          </w:tcPr>
          <w:p>
            <w:r>
              <w:rPr>
                <w:sz w:val="17"/>
                <w:rFonts w:ascii="맑은 고딕" w:hAnsi="맑은 고딕" w:eastAsia="맑은 고딕" w:cs="맑은 고딕"/>
              </w:rPr>
              <w:t>12608</w:t>
            </w:r>
          </w:p>
        </w:tc>
        <w:tc>
          <w:tcPr>
            <w:tcW w:type="dxa" w:w="1752"/>
          </w:tcPr>
          <w:p>
            <w:r>
              <w:rPr>
                <w:sz w:val="17"/>
                <w:rFonts w:ascii="맑은 고딕" w:hAnsi="맑은 고딕" w:eastAsia="맑은 고딕" w:cs="맑은 고딕"/>
              </w:rPr>
              <w:t>0.244</w:t>
            </w:r>
          </w:p>
        </w:tc>
        <w:tc>
          <w:tcPr>
            <w:tcW w:type="dxa" w:w="1752"/>
          </w:tcPr>
          <w:p>
            <w:r>
              <w:rPr>
                <w:sz w:val="17"/>
                <w:rFonts w:ascii="맑은 고딕" w:hAnsi="맑은 고딕" w:eastAsia="맑은 고딕" w:cs="맑은 고딕"/>
              </w:rPr>
              <w:t>0.179</w:t>
            </w:r>
          </w:p>
        </w:tc>
        <w:tc>
          <w:tcPr>
            <w:tcW w:type="dxa" w:w="1752"/>
          </w:tcPr>
          <w:p>
            <w:r>
              <w:rPr>
                <w:sz w:val="17"/>
                <w:rFonts w:ascii="맑은 고딕" w:hAnsi="맑은 고딕" w:eastAsia="맑은 고딕" w:cs="맑은 고딕"/>
              </w:rPr>
              <w:t>0.956</w:t>
            </w:r>
          </w:p>
        </w:tc>
      </w:tr>
      <w:tr>
        <w:tc>
          <w:tcPr>
            <w:tcW w:type="dxa" w:w="1752"/>
          </w:tcPr>
          <w:p>
            <w:r>
              <w:rPr>
                <w:sz w:val="17"/>
                <w:rFonts w:ascii="맑은 고딕" w:hAnsi="맑은 고딕" w:eastAsia="맑은 고딕" w:cs="맑은 고딕"/>
              </w:rPr>
              <w:t>3</w:t>
            </w:r>
          </w:p>
        </w:tc>
        <w:tc>
          <w:tcPr>
            <w:tcW w:type="dxa" w:w="1752"/>
          </w:tcPr>
          <w:p>
            <w:r>
              <w:rPr>
                <w:sz w:val="17"/>
                <w:rFonts w:ascii="맑은 고딕" w:hAnsi="맑은 고딕" w:eastAsia="맑은 고딕" w:cs="맑은 고딕"/>
              </w:rPr>
              <w:t>점포 수(상위 15,682칸)</w:t>
            </w:r>
          </w:p>
        </w:tc>
        <w:tc>
          <w:tcPr>
            <w:tcW w:type="dxa" w:w="1752"/>
          </w:tcPr>
          <w:p>
            <w:r>
              <w:rPr>
                <w:sz w:val="17"/>
                <w:rFonts w:ascii="맑은 고딕" w:hAnsi="맑은 고딕" w:eastAsia="맑은 고딕" w:cs="맑은 고딕"/>
              </w:rPr>
              <w:t>15682</w:t>
            </w:r>
          </w:p>
        </w:tc>
        <w:tc>
          <w:tcPr>
            <w:tcW w:type="dxa" w:w="1752"/>
          </w:tcPr>
          <w:p>
            <w:r>
              <w:rPr>
                <w:sz w:val="17"/>
                <w:rFonts w:ascii="맑은 고딕" w:hAnsi="맑은 고딕" w:eastAsia="맑은 고딕" w:cs="맑은 고딕"/>
              </w:rPr>
              <w:t>0.394</w:t>
            </w:r>
          </w:p>
        </w:tc>
        <w:tc>
          <w:tcPr>
            <w:tcW w:type="dxa" w:w="1752"/>
          </w:tcPr>
          <w:p>
            <w:r>
              <w:rPr>
                <w:sz w:val="17"/>
                <w:rFonts w:ascii="맑은 고딕" w:hAnsi="맑은 고딕" w:eastAsia="맑은 고딕" w:cs="맑은 고딕"/>
              </w:rPr>
              <w:t>0.359</w:t>
            </w:r>
          </w:p>
        </w:tc>
        <w:tc>
          <w:tcPr>
            <w:tcW w:type="dxa" w:w="1752"/>
          </w:tcPr>
          <w:p>
            <w:r>
              <w:rPr>
                <w:sz w:val="17"/>
                <w:rFonts w:ascii="맑은 고딕" w:hAnsi="맑은 고딕" w:eastAsia="맑은 고딕" w:cs="맑은 고딕"/>
              </w:rPr>
              <w:t>1.54</w:t>
            </w:r>
          </w:p>
        </w:tc>
      </w:tr>
    </w:tbl>
    <w:p>
      <w:r>
        <w:rPr>
          <w:b w:val="0"/>
          <w:i/>
          <w:sz w:val="18"/>
          <w:rFonts w:ascii="맑은 고딕" w:hAnsi="맑은 고딕" w:eastAsia="맑은 고딕" w:cs="맑은 고딕"/>
        </w:rPr>
        <w:t>표 9</w:t>
      </w:r>
    </w:p>
    <w:p>
      <w:r>
        <w:rPr>
          <w:b w:val="0"/>
          <w:i w:val="0"/>
          <w:sz w:val="19"/>
          <w:rFonts w:ascii="맑은 고딕" w:hAnsi="맑은 고딕" w:eastAsia="맑은 고딕" w:cs="맑은 고딕"/>
        </w:rPr>
        <w:t>읽는 법 — Lift 1.0 이 무작위이고 1 미만은 무작위보다 못하다는 뜻임. 모델이 넘어야 하는 선은 이 표에서 가장 높은 값(점포 수)임.</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모델 성능을 “무작위보다 좋다”라고만 말하면 과장이다. 이 연구에서 모델이 실제로 넘어야 할 비교선은 가장 강한 단순 규칙인 점포 수 기준이다.</w:t>
      </w:r>
    </w:p>
    <w:p>
      <w:r>
        <w:br w:type="page"/>
      </w:r>
    </w:p>
    <w:p>
      <w:pPr>
        <w:pStyle w:val="Heading1"/>
      </w:pPr>
      <w:r>
        <w:rPr>
          <w:rFonts w:ascii="맑은 고딕" w:hAnsi="맑은 고딕" w:eastAsia="맑은 고딕" w:cs="맑은 고딕"/>
        </w:rPr>
        <w:t>06  점포 수를 고정하면 무엇이 남는가</w:t>
      </w:r>
    </w:p>
    <w:p>
      <w:r>
        <w:rPr>
          <w:b/>
          <w:i w:val="0"/>
          <w:sz w:val="22"/>
          <w:rFonts w:ascii="맑은 고딕" w:hAnsi="맑은 고딕" w:eastAsia="맑은 고딕" w:cs="맑은 고딕"/>
        </w:rPr>
        <w:t>핵심 한 줄 — 점포 수가 비슷한 상권끼리 비교하자 “골목상권은 안전하다”는 단순 결론이 뒤집혔다. 규모가 상권유형과 위험 사이를 강하게 교란하고 있었다.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전체를 한꺼번에 비교하면 골목상권이 상대적으로 작은 상권에 많이 있다는 사실과 순감소 위험이 섞인다.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점포 수 5분위 안에서 다시 비교하면 점포 수 규칙의 Lift가 대부분 1에 가까워졌다. 전체에서 좋았던 성능의 상당 부분이 “큰 상권 고르기”였다는 뜻이다.</w:t>
      </w:r>
    </w:p>
    <w:p>
      <w:pPr>
        <w:ind w:left="173"/>
      </w:pPr>
      <w:r>
        <w:rPr>
          <w:b w:val="0"/>
          <w:i w:val="0"/>
          <w:sz w:val="21"/>
          <w:rFonts w:ascii="맑은 고딕" w:hAnsi="맑은 고딕" w:eastAsia="맑은 고딕" w:cs="맑은 고딕"/>
        </w:rPr>
        <w:t>• 규모를 통제하지 않은 단순 비교에서는 골목상권 OR=0.813로 더 안전해 보였다.</w:t>
      </w:r>
    </w:p>
    <w:p>
      <w:pPr>
        <w:ind w:left="173"/>
      </w:pPr>
      <w:r>
        <w:rPr>
          <w:b w:val="0"/>
          <w:i w:val="0"/>
          <w:sz w:val="21"/>
          <w:rFonts w:ascii="맑은 고딕" w:hAnsi="맑은 고딕" w:eastAsia="맑은 고딕" w:cs="맑은 고딕"/>
        </w:rPr>
        <w:t>• 점포 수 구간을 통제한 CMH 검정에서는 공통 OR=1.061, p=0.0017로 방향이 반대로 바뀌었다.</w:t>
      </w:r>
    </w:p>
    <w:p>
      <w:pPr>
        <w:ind w:left="173"/>
      </w:pPr>
      <w:r>
        <w:rPr>
          <w:b w:val="0"/>
          <w:i w:val="0"/>
          <w:sz w:val="21"/>
          <w:rFonts w:ascii="맑은 고딕" w:hAnsi="맑은 고딕" w:eastAsia="맑은 고딕" w:cs="맑은 고딕"/>
        </w:rPr>
        <w:t>• 다만 규모별 효과가 같지는 않았다. 작은·중간 구간 OR은 1.09~1.17이었지만 가장 큰 구간은 0.89였다.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단순 비교</w:t>
            </w:r>
          </w:p>
        </w:tc>
        <w:tc>
          <w:tcPr>
            <w:tcW w:type="dxa" w:w="5256"/>
          </w:tcPr>
          <w:p>
            <w:r>
              <w:rPr>
                <w:sz w:val="17"/>
                <w:rFonts w:ascii="맑은 고딕" w:hAnsi="맑은 고딕" w:eastAsia="맑은 고딕" w:cs="맑은 고딕"/>
              </w:rPr>
              <w:t>골목상권 OR 0.813 → 더 안전해 보임</w:t>
            </w:r>
          </w:p>
        </w:tc>
      </w:tr>
      <w:tr>
        <w:tc>
          <w:tcPr>
            <w:tcW w:type="dxa" w:w="5256"/>
          </w:tcPr>
          <w:p>
            <w:r>
              <w:rPr>
                <w:sz w:val="17"/>
                <w:rFonts w:ascii="맑은 고딕" w:hAnsi="맑은 고딕" w:eastAsia="맑은 고딕" w:cs="맑은 고딕"/>
              </w:rPr>
              <w:t>규모 통제 후</w:t>
            </w:r>
          </w:p>
        </w:tc>
        <w:tc>
          <w:tcPr>
            <w:tcW w:type="dxa" w:w="5256"/>
          </w:tcPr>
          <w:p>
            <w:r>
              <w:rPr>
                <w:sz w:val="17"/>
                <w:rFonts w:ascii="맑은 고딕" w:hAnsi="맑은 고딕" w:eastAsia="맑은 고딕" w:cs="맑은 고딕"/>
              </w:rPr>
              <w:t>CMH 공통 OR 1.061 [1.023, 1.101]</w:t>
            </w:r>
          </w:p>
        </w:tc>
      </w:tr>
      <w:tr>
        <w:tc>
          <w:tcPr>
            <w:tcW w:type="dxa" w:w="5256"/>
          </w:tcPr>
          <w:p>
            <w:r>
              <w:rPr>
                <w:sz w:val="17"/>
                <w:rFonts w:ascii="맑은 고딕" w:hAnsi="맑은 고딕" w:eastAsia="맑은 고딕" w:cs="맑은 고딕"/>
              </w:rPr>
              <w:t>규모별 차이</w:t>
            </w:r>
          </w:p>
        </w:tc>
        <w:tc>
          <w:tcPr>
            <w:tcW w:type="dxa" w:w="5256"/>
          </w:tcPr>
          <w:p>
            <w:r>
              <w:rPr>
                <w:sz w:val="17"/>
                <w:rFonts w:ascii="맑은 고딕" w:hAnsi="맑은 고딕" w:eastAsia="맑은 고딕" w:cs="맑은 고딕"/>
              </w:rPr>
              <w:t>Woolf p=0.0000166 → 하나의 OR로 요약하기 어려움</w:t>
            </w:r>
          </w:p>
        </w:tc>
      </w:tr>
    </w:tbl>
    <w:p>
      <w:r>
        <w:rPr>
          <w:b w:val="0"/>
          <w:i/>
          <w:sz w:val="18"/>
          <w:rFonts w:ascii="맑은 고딕" w:hAnsi="맑은 고딕" w:eastAsia="맑은 고딕" w:cs="맑은 고딕"/>
        </w:rPr>
        <w:t>표 10</w:t>
      </w:r>
    </w:p>
    <w:tbl>
      <w:tblPr>
        <w:tblStyle w:val="LightGrid-Accent1"/>
        <w:tblW w:type="auto" w:w="0"/>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sz w:val="17"/>
                <w:rFonts w:ascii="맑은 고딕" w:hAnsi="맑은 고딕" w:eastAsia="맑은 고딕" w:cs="맑은 고딕"/>
              </w:rPr>
            </w:r>
          </w:p>
        </w:tc>
        <w:tc>
          <w:tcPr>
            <w:tcW w:type="dxa" w:w="1502"/>
          </w:tcPr>
          <w:p>
            <w:r>
              <w:rPr>
                <w:b/>
                <w:sz w:val="17"/>
                <w:rFonts w:ascii="맑은 고딕" w:hAnsi="맑은 고딕" w:eastAsia="맑은 고딕" w:cs="맑은 고딕"/>
              </w:rPr>
              <w:t>칸수</w:t>
            </w:r>
          </w:p>
        </w:tc>
        <w:tc>
          <w:tcPr>
            <w:tcW w:type="dxa" w:w="1502"/>
          </w:tcPr>
          <w:p>
            <w:r>
              <w:rPr>
                <w:b/>
                <w:sz w:val="17"/>
                <w:rFonts w:ascii="맑은 고딕" w:hAnsi="맑은 고딕" w:eastAsia="맑은 고딕" w:cs="맑은 고딕"/>
              </w:rPr>
              <w:t>평균점포</w:t>
            </w:r>
          </w:p>
        </w:tc>
        <w:tc>
          <w:tcPr>
            <w:tcW w:type="dxa" w:w="1502"/>
          </w:tcPr>
          <w:p>
            <w:r>
              <w:rPr>
                <w:b/>
                <w:sz w:val="17"/>
                <w:rFonts w:ascii="맑은 고딕" w:hAnsi="맑은 고딕" w:eastAsia="맑은 고딕" w:cs="맑은 고딕"/>
              </w:rPr>
              <w:t>기저율</w:t>
            </w:r>
          </w:p>
        </w:tc>
        <w:tc>
          <w:tcPr>
            <w:tcW w:type="dxa" w:w="1502"/>
          </w:tcPr>
          <w:p>
            <w:r>
              <w:rPr>
                <w:b/>
                <w:sz w:val="17"/>
                <w:rFonts w:ascii="맑은 고딕" w:hAnsi="맑은 고딕" w:eastAsia="맑은 고딕" w:cs="맑은 고딕"/>
              </w:rPr>
              <w:t>직전 분기 Lift</w:t>
            </w:r>
          </w:p>
        </w:tc>
        <w:tc>
          <w:tcPr>
            <w:tcW w:type="dxa" w:w="1502"/>
          </w:tcPr>
          <w:p>
            <w:r>
              <w:rPr>
                <w:b/>
                <w:sz w:val="17"/>
                <w:rFonts w:ascii="맑은 고딕" w:hAnsi="맑은 고딕" w:eastAsia="맑은 고딕" w:cs="맑은 고딕"/>
              </w:rPr>
              <w:t>상권변화지표 Lift</w:t>
            </w:r>
          </w:p>
        </w:tc>
        <w:tc>
          <w:tcPr>
            <w:tcW w:type="dxa" w:w="1502"/>
          </w:tcPr>
          <w:p>
            <w:r>
              <w:rPr>
                <w:b/>
                <w:sz w:val="17"/>
                <w:rFonts w:ascii="맑은 고딕" w:hAnsi="맑은 고딕" w:eastAsia="맑은 고딕" w:cs="맑은 고딕"/>
              </w:rPr>
              <w:t>점포 수 Lift</w:t>
            </w:r>
          </w:p>
        </w:tc>
      </w:tr>
      <w:tr>
        <w:tc>
          <w:tcPr>
            <w:tcW w:type="dxa" w:w="1502"/>
          </w:tcPr>
          <w:p>
            <w:r>
              <w:rPr>
                <w:sz w:val="17"/>
                <w:rFonts w:ascii="맑은 고딕" w:hAnsi="맑은 고딕" w:eastAsia="맑은 고딕" w:cs="맑은 고딕"/>
              </w:rPr>
              <w:t>규모구간</w:t>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r>
      <w:tr>
        <w:tc>
          <w:tcPr>
            <w:tcW w:type="dxa" w:w="1502"/>
          </w:tcPr>
          <w:p>
            <w:r>
              <w:rPr>
                <w:sz w:val="17"/>
                <w:rFonts w:ascii="맑은 고딕" w:hAnsi="맑은 고딕" w:eastAsia="맑은 고딕" w:cs="맑은 고딕"/>
              </w:rPr>
              <w:t>1분위</w:t>
            </w:r>
          </w:p>
        </w:tc>
        <w:tc>
          <w:tcPr>
            <w:tcW w:type="dxa" w:w="1502"/>
          </w:tcPr>
          <w:p>
            <w:r>
              <w:rPr>
                <w:sz w:val="17"/>
                <w:rFonts w:ascii="맑은 고딕" w:hAnsi="맑은 고딕" w:eastAsia="맑은 고딕" w:cs="맑은 고딕"/>
              </w:rPr>
              <w:t>15520</w:t>
            </w:r>
          </w:p>
        </w:tc>
        <w:tc>
          <w:tcPr>
            <w:tcW w:type="dxa" w:w="1502"/>
          </w:tcPr>
          <w:p>
            <w:r>
              <w:rPr>
                <w:sz w:val="17"/>
                <w:rFonts w:ascii="맑은 고딕" w:hAnsi="맑은 고딕" w:eastAsia="맑은 고딕" w:cs="맑은 고딕"/>
              </w:rPr>
              <w:t>5.4</w:t>
            </w:r>
          </w:p>
        </w:tc>
        <w:tc>
          <w:tcPr>
            <w:tcW w:type="dxa" w:w="1502"/>
          </w:tcPr>
          <w:p>
            <w:r>
              <w:rPr>
                <w:sz w:val="17"/>
                <w:rFonts w:ascii="맑은 고딕" w:hAnsi="맑은 고딕" w:eastAsia="맑은 고딕" w:cs="맑은 고딕"/>
              </w:rPr>
              <w:t>0.151</w:t>
            </w:r>
          </w:p>
        </w:tc>
        <w:tc>
          <w:tcPr>
            <w:tcW w:type="dxa" w:w="1502"/>
          </w:tcPr>
          <w:p>
            <w:r>
              <w:rPr>
                <w:sz w:val="17"/>
                <w:rFonts w:ascii="맑은 고딕" w:hAnsi="맑은 고딕" w:eastAsia="맑은 고딕" w:cs="맑은 고딕"/>
              </w:rPr>
              <w:t>0.947</w:t>
            </w:r>
          </w:p>
        </w:tc>
        <w:tc>
          <w:tcPr>
            <w:tcW w:type="dxa" w:w="1502"/>
          </w:tcPr>
          <w:p>
            <w:r>
              <w:rPr>
                <w:sz w:val="17"/>
                <w:rFonts w:ascii="맑은 고딕" w:hAnsi="맑은 고딕" w:eastAsia="맑은 고딕" w:cs="맑은 고딕"/>
              </w:rPr>
              <w:t>1.01</w:t>
            </w:r>
          </w:p>
        </w:tc>
        <w:tc>
          <w:tcPr>
            <w:tcW w:type="dxa" w:w="1502"/>
          </w:tcPr>
          <w:p>
            <w:r>
              <w:rPr>
                <w:sz w:val="17"/>
                <w:rFonts w:ascii="맑은 고딕" w:hAnsi="맑은 고딕" w:eastAsia="맑은 고딕" w:cs="맑은 고딕"/>
              </w:rPr>
              <w:t>1.13</w:t>
            </w:r>
          </w:p>
        </w:tc>
      </w:tr>
      <w:tr>
        <w:tc>
          <w:tcPr>
            <w:tcW w:type="dxa" w:w="1502"/>
          </w:tcPr>
          <w:p>
            <w:r>
              <w:rPr>
                <w:sz w:val="17"/>
                <w:rFonts w:ascii="맑은 고딕" w:hAnsi="맑은 고딕" w:eastAsia="맑은 고딕" w:cs="맑은 고딕"/>
              </w:rPr>
              <w:t>2분위</w:t>
            </w:r>
          </w:p>
        </w:tc>
        <w:tc>
          <w:tcPr>
            <w:tcW w:type="dxa" w:w="1502"/>
          </w:tcPr>
          <w:p>
            <w:r>
              <w:rPr>
                <w:sz w:val="17"/>
                <w:rFonts w:ascii="맑은 고딕" w:hAnsi="맑은 고딕" w:eastAsia="맑은 고딕" w:cs="맑은 고딕"/>
              </w:rPr>
              <w:t>14018</w:t>
            </w:r>
          </w:p>
        </w:tc>
        <w:tc>
          <w:tcPr>
            <w:tcW w:type="dxa" w:w="1502"/>
          </w:tcPr>
          <w:p>
            <w:r>
              <w:rPr>
                <w:sz w:val="17"/>
                <w:rFonts w:ascii="맑은 고딕" w:hAnsi="맑은 고딕" w:eastAsia="맑은 고딕" w:cs="맑은 고딕"/>
              </w:rPr>
              <w:t>7.9</w:t>
            </w:r>
          </w:p>
        </w:tc>
        <w:tc>
          <w:tcPr>
            <w:tcW w:type="dxa" w:w="1502"/>
          </w:tcPr>
          <w:p>
            <w:r>
              <w:rPr>
                <w:sz w:val="17"/>
                <w:rFonts w:ascii="맑은 고딕" w:hAnsi="맑은 고딕" w:eastAsia="맑은 고딕" w:cs="맑은 고딕"/>
              </w:rPr>
              <w:t>0.193</w:t>
            </w:r>
          </w:p>
        </w:tc>
        <w:tc>
          <w:tcPr>
            <w:tcW w:type="dxa" w:w="1502"/>
          </w:tcPr>
          <w:p>
            <w:r>
              <w:rPr>
                <w:sz w:val="17"/>
                <w:rFonts w:ascii="맑은 고딕" w:hAnsi="맑은 고딕" w:eastAsia="맑은 고딕" w:cs="맑은 고딕"/>
              </w:rPr>
              <w:t>0.963</w:t>
            </w:r>
          </w:p>
        </w:tc>
        <w:tc>
          <w:tcPr>
            <w:tcW w:type="dxa" w:w="1502"/>
          </w:tcPr>
          <w:p>
            <w:r>
              <w:rPr>
                <w:sz w:val="17"/>
                <w:rFonts w:ascii="맑은 고딕" w:hAnsi="맑은 고딕" w:eastAsia="맑은 고딕" w:cs="맑은 고딕"/>
              </w:rPr>
              <w:t>1.05</w:t>
            </w:r>
          </w:p>
        </w:tc>
        <w:tc>
          <w:tcPr>
            <w:tcW w:type="dxa" w:w="1502"/>
          </w:tcPr>
          <w:p>
            <w:r>
              <w:rPr>
                <w:sz w:val="17"/>
                <w:rFonts w:ascii="맑은 고딕" w:hAnsi="맑은 고딕" w:eastAsia="맑은 고딕" w:cs="맑은 고딕"/>
              </w:rPr>
              <w:t>1.15</w:t>
            </w:r>
          </w:p>
        </w:tc>
      </w:tr>
      <w:tr>
        <w:tc>
          <w:tcPr>
            <w:tcW w:type="dxa" w:w="1502"/>
          </w:tcPr>
          <w:p>
            <w:r>
              <w:rPr>
                <w:sz w:val="17"/>
                <w:rFonts w:ascii="맑은 고딕" w:hAnsi="맑은 고딕" w:eastAsia="맑은 고딕" w:cs="맑은 고딕"/>
              </w:rPr>
              <w:t>3분위</w:t>
            </w:r>
          </w:p>
        </w:tc>
        <w:tc>
          <w:tcPr>
            <w:tcW w:type="dxa" w:w="1502"/>
          </w:tcPr>
          <w:p>
            <w:r>
              <w:rPr>
                <w:sz w:val="17"/>
                <w:rFonts w:ascii="맑은 고딕" w:hAnsi="맑은 고딕" w:eastAsia="맑은 고딕" w:cs="맑은 고딕"/>
              </w:rPr>
              <w:t>12139</w:t>
            </w:r>
          </w:p>
        </w:tc>
        <w:tc>
          <w:tcPr>
            <w:tcW w:type="dxa" w:w="1502"/>
          </w:tcPr>
          <w:p>
            <w:r>
              <w:rPr>
                <w:sz w:val="17"/>
                <w:rFonts w:ascii="맑은 고딕" w:hAnsi="맑은 고딕" w:eastAsia="맑은 고딕" w:cs="맑은 고딕"/>
              </w:rPr>
              <w:t>11.7</w:t>
            </w:r>
          </w:p>
        </w:tc>
        <w:tc>
          <w:tcPr>
            <w:tcW w:type="dxa" w:w="1502"/>
          </w:tcPr>
          <w:p>
            <w:r>
              <w:rPr>
                <w:sz w:val="17"/>
                <w:rFonts w:ascii="맑은 고딕" w:hAnsi="맑은 고딕" w:eastAsia="맑은 고딕" w:cs="맑은 고딕"/>
              </w:rPr>
              <w:t>0.243</w:t>
            </w:r>
          </w:p>
        </w:tc>
        <w:tc>
          <w:tcPr>
            <w:tcW w:type="dxa" w:w="1502"/>
          </w:tcPr>
          <w:p>
            <w:r>
              <w:rPr>
                <w:sz w:val="17"/>
                <w:rFonts w:ascii="맑은 고딕" w:hAnsi="맑은 고딕" w:eastAsia="맑은 고딕" w:cs="맑은 고딕"/>
              </w:rPr>
              <w:t>1</w:t>
            </w:r>
          </w:p>
        </w:tc>
        <w:tc>
          <w:tcPr>
            <w:tcW w:type="dxa" w:w="1502"/>
          </w:tcPr>
          <w:p>
            <w:r>
              <w:rPr>
                <w:sz w:val="17"/>
                <w:rFonts w:ascii="맑은 고딕" w:hAnsi="맑은 고딕" w:eastAsia="맑은 고딕" w:cs="맑은 고딕"/>
              </w:rPr>
              <w:t>1.01</w:t>
            </w:r>
          </w:p>
        </w:tc>
        <w:tc>
          <w:tcPr>
            <w:tcW w:type="dxa" w:w="1502"/>
          </w:tcPr>
          <w:p>
            <w:r>
              <w:rPr>
                <w:sz w:val="17"/>
                <w:rFonts w:ascii="맑은 고딕" w:hAnsi="맑은 고딕" w:eastAsia="맑은 고딕" w:cs="맑은 고딕"/>
              </w:rPr>
              <w:t>1.09</w:t>
            </w:r>
          </w:p>
        </w:tc>
      </w:tr>
      <w:tr>
        <w:tc>
          <w:tcPr>
            <w:tcW w:type="dxa" w:w="1502"/>
          </w:tcPr>
          <w:p>
            <w:r>
              <w:rPr>
                <w:sz w:val="17"/>
                <w:rFonts w:ascii="맑은 고딕" w:hAnsi="맑은 고딕" w:eastAsia="맑은 고딕" w:cs="맑은 고딕"/>
              </w:rPr>
              <w:t>4분위</w:t>
            </w:r>
          </w:p>
        </w:tc>
        <w:tc>
          <w:tcPr>
            <w:tcW w:type="dxa" w:w="1502"/>
          </w:tcPr>
          <w:p>
            <w:r>
              <w:rPr>
                <w:sz w:val="17"/>
                <w:rFonts w:ascii="맑은 고딕" w:hAnsi="맑은 고딕" w:eastAsia="맑은 고딕" w:cs="맑은 고딕"/>
              </w:rPr>
              <w:t>12718</w:t>
            </w:r>
          </w:p>
        </w:tc>
        <w:tc>
          <w:tcPr>
            <w:tcW w:type="dxa" w:w="1502"/>
          </w:tcPr>
          <w:p>
            <w:r>
              <w:rPr>
                <w:sz w:val="17"/>
                <w:rFonts w:ascii="맑은 고딕" w:hAnsi="맑은 고딕" w:eastAsia="맑은 고딕" w:cs="맑은 고딕"/>
              </w:rPr>
              <w:t>19.6</w:t>
            </w:r>
          </w:p>
        </w:tc>
        <w:tc>
          <w:tcPr>
            <w:tcW w:type="dxa" w:w="1502"/>
          </w:tcPr>
          <w:p>
            <w:r>
              <w:rPr>
                <w:sz w:val="17"/>
                <w:rFonts w:ascii="맑은 고딕" w:hAnsi="맑은 고딕" w:eastAsia="맑은 고딕" w:cs="맑은 고딕"/>
              </w:rPr>
              <w:t>0.308</w:t>
            </w:r>
          </w:p>
        </w:tc>
        <w:tc>
          <w:tcPr>
            <w:tcW w:type="dxa" w:w="1502"/>
          </w:tcPr>
          <w:p>
            <w:r>
              <w:rPr>
                <w:sz w:val="17"/>
                <w:rFonts w:ascii="맑은 고딕" w:hAnsi="맑은 고딕" w:eastAsia="맑은 고딕" w:cs="맑은 고딕"/>
              </w:rPr>
              <w:t>0.955</w:t>
            </w:r>
          </w:p>
        </w:tc>
        <w:tc>
          <w:tcPr>
            <w:tcW w:type="dxa" w:w="1502"/>
          </w:tcPr>
          <w:p>
            <w:r>
              <w:rPr>
                <w:sz w:val="17"/>
                <w:rFonts w:ascii="맑은 고딕" w:hAnsi="맑은 고딕" w:eastAsia="맑은 고딕" w:cs="맑은 고딕"/>
              </w:rPr>
              <w:t>1.06</w:t>
            </w:r>
          </w:p>
        </w:tc>
        <w:tc>
          <w:tcPr>
            <w:tcW w:type="dxa" w:w="1502"/>
          </w:tcPr>
          <w:p>
            <w:r>
              <w:rPr>
                <w:sz w:val="17"/>
                <w:rFonts w:ascii="맑은 고딕" w:hAnsi="맑은 고딕" w:eastAsia="맑은 고딕" w:cs="맑은 고딕"/>
              </w:rPr>
              <w:t>1.1</w:t>
            </w:r>
          </w:p>
        </w:tc>
      </w:tr>
      <w:tr>
        <w:tc>
          <w:tcPr>
            <w:tcW w:type="dxa" w:w="1502"/>
          </w:tcPr>
          <w:p>
            <w:r>
              <w:rPr>
                <w:sz w:val="17"/>
                <w:rFonts w:ascii="맑은 고딕" w:hAnsi="맑은 고딕" w:eastAsia="맑은 고딕" w:cs="맑은 고딕"/>
              </w:rPr>
              <w:t>5분위</w:t>
            </w:r>
          </w:p>
        </w:tc>
        <w:tc>
          <w:tcPr>
            <w:tcW w:type="dxa" w:w="1502"/>
          </w:tcPr>
          <w:p>
            <w:r>
              <w:rPr>
                <w:sz w:val="17"/>
                <w:rFonts w:ascii="맑은 고딕" w:hAnsi="맑은 고딕" w:eastAsia="맑은 고딕" w:cs="맑은 고딕"/>
              </w:rPr>
              <w:t>13080</w:t>
            </w:r>
          </w:p>
        </w:tc>
        <w:tc>
          <w:tcPr>
            <w:tcW w:type="dxa" w:w="1502"/>
          </w:tcPr>
          <w:p>
            <w:r>
              <w:rPr>
                <w:sz w:val="17"/>
                <w:rFonts w:ascii="맑은 고딕" w:hAnsi="맑은 고딕" w:eastAsia="맑은 고딕" w:cs="맑은 고딕"/>
              </w:rPr>
              <w:t>65.5</w:t>
            </w:r>
          </w:p>
        </w:tc>
        <w:tc>
          <w:tcPr>
            <w:tcW w:type="dxa" w:w="1502"/>
          </w:tcPr>
          <w:p>
            <w:r>
              <w:rPr>
                <w:sz w:val="17"/>
                <w:rFonts w:ascii="맑은 고딕" w:hAnsi="맑은 고딕" w:eastAsia="맑은 고딕" w:cs="맑은 고딕"/>
              </w:rPr>
              <w:t>0.403</w:t>
            </w:r>
          </w:p>
        </w:tc>
        <w:tc>
          <w:tcPr>
            <w:tcW w:type="dxa" w:w="1502"/>
          </w:tcPr>
          <w:p>
            <w:r>
              <w:rPr>
                <w:sz w:val="17"/>
                <w:rFonts w:ascii="맑은 고딕" w:hAnsi="맑은 고딕" w:eastAsia="맑은 고딕" w:cs="맑은 고딕"/>
              </w:rPr>
              <w:t>1.01</w:t>
            </w:r>
          </w:p>
        </w:tc>
        <w:tc>
          <w:tcPr>
            <w:tcW w:type="dxa" w:w="1502"/>
          </w:tcPr>
          <w:p>
            <w:r>
              <w:rPr>
                <w:sz w:val="17"/>
                <w:rFonts w:ascii="맑은 고딕" w:hAnsi="맑은 고딕" w:eastAsia="맑은 고딕" w:cs="맑은 고딕"/>
              </w:rPr>
              <w:t>0.969</w:t>
            </w:r>
          </w:p>
        </w:tc>
        <w:tc>
          <w:tcPr>
            <w:tcW w:type="dxa" w:w="1502"/>
          </w:tcPr>
          <w:p>
            <w:r>
              <w:rPr>
                <w:sz w:val="17"/>
                <w:rFonts w:ascii="맑은 고딕" w:hAnsi="맑은 고딕" w:eastAsia="맑은 고딕" w:cs="맑은 고딕"/>
              </w:rPr>
              <w:t>1.06</w:t>
            </w:r>
          </w:p>
        </w:tc>
      </w:tr>
    </w:tbl>
    <w:p>
      <w:r>
        <w:rPr>
          <w:b w:val="0"/>
          <w:i/>
          <w:sz w:val="18"/>
          <w:rFonts w:ascii="맑은 고딕" w:hAnsi="맑은 고딕" w:eastAsia="맑은 고딕" w:cs="맑은 고딕"/>
        </w:rPr>
        <w:t>표 11</w:t>
      </w:r>
    </w:p>
    <w:p>
      <w:r>
        <w:rPr>
          <w:b w:val="0"/>
          <w:i w:val="0"/>
          <w:sz w:val="19"/>
          <w:rFonts w:ascii="맑은 고딕" w:hAnsi="맑은 고딕" w:eastAsia="맑은 고딕" w:cs="맑은 고딕"/>
        </w:rPr>
        <w:t>읽는 법 — 층(점포 수 5분위) 안에서 같은 기준선을 다시 잰 값임. 층 안에서 1 근처로 내려가면 그 규칙이 위험이 아니라 규모를 고르고 있었다는 뜻임.</w:t>
      </w:r>
    </w:p>
    <w:tbl>
      <w:tblPr>
        <w:tblStyle w:val="LightGrid-Accent1"/>
        <w:tblW w:type="auto" w:w="0"/>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sz w:val="17"/>
                <w:rFonts w:ascii="맑은 고딕" w:hAnsi="맑은 고딕" w:eastAsia="맑은 고딕" w:cs="맑은 고딕"/>
              </w:rPr>
            </w:r>
          </w:p>
        </w:tc>
        <w:tc>
          <w:tcPr>
            <w:tcW w:type="dxa" w:w="1314"/>
          </w:tcPr>
          <w:p>
            <w:r>
              <w:rPr>
                <w:b/>
                <w:sz w:val="17"/>
                <w:rFonts w:ascii="맑은 고딕" w:hAnsi="맑은 고딕" w:eastAsia="맑은 고딕" w:cs="맑은 고딕"/>
              </w:rPr>
              <w:t>노출·사건</w:t>
            </w:r>
          </w:p>
        </w:tc>
        <w:tc>
          <w:tcPr>
            <w:tcW w:type="dxa" w:w="1314"/>
          </w:tcPr>
          <w:p>
            <w:r>
              <w:rPr>
                <w:b/>
                <w:sz w:val="17"/>
                <w:rFonts w:ascii="맑은 고딕" w:hAnsi="맑은 고딕" w:eastAsia="맑은 고딕" w:cs="맑은 고딕"/>
              </w:rPr>
              <w:t>노출·비사건</w:t>
            </w:r>
          </w:p>
        </w:tc>
        <w:tc>
          <w:tcPr>
            <w:tcW w:type="dxa" w:w="1314"/>
          </w:tcPr>
          <w:p>
            <w:r>
              <w:rPr>
                <w:b/>
                <w:sz w:val="17"/>
                <w:rFonts w:ascii="맑은 고딕" w:hAnsi="맑은 고딕" w:eastAsia="맑은 고딕" w:cs="맑은 고딕"/>
              </w:rPr>
              <w:t>비노출·사건</w:t>
            </w:r>
          </w:p>
        </w:tc>
        <w:tc>
          <w:tcPr>
            <w:tcW w:type="dxa" w:w="1314"/>
          </w:tcPr>
          <w:p>
            <w:r>
              <w:rPr>
                <w:b/>
                <w:sz w:val="17"/>
                <w:rFonts w:ascii="맑은 고딕" w:hAnsi="맑은 고딕" w:eastAsia="맑은 고딕" w:cs="맑은 고딕"/>
              </w:rPr>
              <w:t>비노출·비사건</w:t>
            </w:r>
          </w:p>
        </w:tc>
        <w:tc>
          <w:tcPr>
            <w:tcW w:type="dxa" w:w="1314"/>
          </w:tcPr>
          <w:p>
            <w:r>
              <w:rPr>
                <w:b/>
                <w:sz w:val="17"/>
                <w:rFonts w:ascii="맑은 고딕" w:hAnsi="맑은 고딕" w:eastAsia="맑은 고딕" w:cs="맑은 고딕"/>
              </w:rPr>
              <w:t>노출군 사건률</w:t>
            </w:r>
          </w:p>
        </w:tc>
        <w:tc>
          <w:tcPr>
            <w:tcW w:type="dxa" w:w="1314"/>
          </w:tcPr>
          <w:p>
            <w:r>
              <w:rPr>
                <w:b/>
                <w:sz w:val="17"/>
                <w:rFonts w:ascii="맑은 고딕" w:hAnsi="맑은 고딕" w:eastAsia="맑은 고딕" w:cs="맑은 고딕"/>
              </w:rPr>
              <w:t>비노출군 사건률</w:t>
            </w:r>
          </w:p>
        </w:tc>
        <w:tc>
          <w:tcPr>
            <w:tcW w:type="dxa" w:w="1314"/>
          </w:tcPr>
          <w:p>
            <w:r>
              <w:rPr>
                <w:b/>
                <w:sz w:val="17"/>
                <w:rFonts w:ascii="맑은 고딕" w:hAnsi="맑은 고딕" w:eastAsia="맑은 고딕" w:cs="맑은 고딕"/>
              </w:rPr>
              <w:t>층 오즈비</w:t>
            </w:r>
          </w:p>
        </w:tc>
      </w:tr>
      <w:tr>
        <w:tc>
          <w:tcPr>
            <w:tcW w:type="dxa" w:w="1314"/>
          </w:tcPr>
          <w:p>
            <w:r>
              <w:rPr>
                <w:sz w:val="17"/>
                <w:rFonts w:ascii="맑은 고딕" w:hAnsi="맑은 고딕" w:eastAsia="맑은 고딕" w:cs="맑은 고딕"/>
              </w:rPr>
              <w:t>1분위</w:t>
            </w:r>
          </w:p>
        </w:tc>
        <w:tc>
          <w:tcPr>
            <w:tcW w:type="dxa" w:w="1314"/>
          </w:tcPr>
          <w:p>
            <w:r>
              <w:rPr>
                <w:sz w:val="17"/>
                <w:rFonts w:ascii="맑은 고딕" w:hAnsi="맑은 고딕" w:eastAsia="맑은 고딕" w:cs="맑은 고딕"/>
              </w:rPr>
              <w:t>1618</w:t>
            </w:r>
          </w:p>
        </w:tc>
        <w:tc>
          <w:tcPr>
            <w:tcW w:type="dxa" w:w="1314"/>
          </w:tcPr>
          <w:p>
            <w:r>
              <w:rPr>
                <w:sz w:val="17"/>
                <w:rFonts w:ascii="맑은 고딕" w:hAnsi="맑은 고딕" w:eastAsia="맑은 고딕" w:cs="맑은 고딕"/>
              </w:rPr>
              <w:t>8636</w:t>
            </w:r>
          </w:p>
        </w:tc>
        <w:tc>
          <w:tcPr>
            <w:tcW w:type="dxa" w:w="1314"/>
          </w:tcPr>
          <w:p>
            <w:r>
              <w:rPr>
                <w:sz w:val="17"/>
                <w:rFonts w:ascii="맑은 고딕" w:hAnsi="맑은 고딕" w:eastAsia="맑은 고딕" w:cs="맑은 고딕"/>
              </w:rPr>
              <w:t>728</w:t>
            </w:r>
          </w:p>
        </w:tc>
        <w:tc>
          <w:tcPr>
            <w:tcW w:type="dxa" w:w="1314"/>
          </w:tcPr>
          <w:p>
            <w:r>
              <w:rPr>
                <w:sz w:val="17"/>
                <w:rFonts w:ascii="맑은 고딕" w:hAnsi="맑은 고딕" w:eastAsia="맑은 고딕" w:cs="맑은 고딕"/>
              </w:rPr>
              <w:t>4538</w:t>
            </w:r>
          </w:p>
        </w:tc>
        <w:tc>
          <w:tcPr>
            <w:tcW w:type="dxa" w:w="1314"/>
          </w:tcPr>
          <w:p>
            <w:r>
              <w:rPr>
                <w:sz w:val="17"/>
                <w:rFonts w:ascii="맑은 고딕" w:hAnsi="맑은 고딕" w:eastAsia="맑은 고딕" w:cs="맑은 고딕"/>
              </w:rPr>
              <w:t>0.1578</w:t>
            </w:r>
          </w:p>
        </w:tc>
        <w:tc>
          <w:tcPr>
            <w:tcW w:type="dxa" w:w="1314"/>
          </w:tcPr>
          <w:p>
            <w:r>
              <w:rPr>
                <w:sz w:val="17"/>
                <w:rFonts w:ascii="맑은 고딕" w:hAnsi="맑은 고딕" w:eastAsia="맑은 고딕" w:cs="맑은 고딕"/>
              </w:rPr>
              <w:t>0.1382</w:t>
            </w:r>
          </w:p>
        </w:tc>
        <w:tc>
          <w:tcPr>
            <w:tcW w:type="dxa" w:w="1314"/>
          </w:tcPr>
          <w:p>
            <w:r>
              <w:rPr>
                <w:sz w:val="17"/>
                <w:rFonts w:ascii="맑은 고딕" w:hAnsi="맑은 고딕" w:eastAsia="맑은 고딕" w:cs="맑은 고딕"/>
              </w:rPr>
              <w:t>1.17</w:t>
            </w:r>
          </w:p>
        </w:tc>
      </w:tr>
      <w:tr>
        <w:tc>
          <w:tcPr>
            <w:tcW w:type="dxa" w:w="1314"/>
          </w:tcPr>
          <w:p>
            <w:r>
              <w:rPr>
                <w:sz w:val="17"/>
                <w:rFonts w:ascii="맑은 고딕" w:hAnsi="맑은 고딕" w:eastAsia="맑은 고딕" w:cs="맑은 고딕"/>
              </w:rPr>
              <w:t>2분위</w:t>
            </w:r>
          </w:p>
        </w:tc>
        <w:tc>
          <w:tcPr>
            <w:tcW w:type="dxa" w:w="1314"/>
          </w:tcPr>
          <w:p>
            <w:r>
              <w:rPr>
                <w:sz w:val="17"/>
                <w:rFonts w:ascii="맑은 고딕" w:hAnsi="맑은 고딕" w:eastAsia="맑은 고딕" w:cs="맑은 고딕"/>
              </w:rPr>
              <w:t>1701</w:t>
            </w:r>
          </w:p>
        </w:tc>
        <w:tc>
          <w:tcPr>
            <w:tcW w:type="dxa" w:w="1314"/>
          </w:tcPr>
          <w:p>
            <w:r>
              <w:rPr>
                <w:sz w:val="17"/>
                <w:rFonts w:ascii="맑은 고딕" w:hAnsi="맑은 고딕" w:eastAsia="맑은 고딕" w:cs="맑은 고딕"/>
              </w:rPr>
              <w:t>6817</w:t>
            </w:r>
          </w:p>
        </w:tc>
        <w:tc>
          <w:tcPr>
            <w:tcW w:type="dxa" w:w="1314"/>
          </w:tcPr>
          <w:p>
            <w:r>
              <w:rPr>
                <w:sz w:val="17"/>
                <w:rFonts w:ascii="맑은 고딕" w:hAnsi="맑은 고딕" w:eastAsia="맑은 고딕" w:cs="맑은 고딕"/>
              </w:rPr>
              <w:t>1009</w:t>
            </w:r>
          </w:p>
        </w:tc>
        <w:tc>
          <w:tcPr>
            <w:tcW w:type="dxa" w:w="1314"/>
          </w:tcPr>
          <w:p>
            <w:r>
              <w:rPr>
                <w:sz w:val="17"/>
                <w:rFonts w:ascii="맑은 고딕" w:hAnsi="맑은 고딕" w:eastAsia="맑은 고딕" w:cs="맑은 고딕"/>
              </w:rPr>
              <w:t>4491</w:t>
            </w:r>
          </w:p>
        </w:tc>
        <w:tc>
          <w:tcPr>
            <w:tcW w:type="dxa" w:w="1314"/>
          </w:tcPr>
          <w:p>
            <w:r>
              <w:rPr>
                <w:sz w:val="17"/>
                <w:rFonts w:ascii="맑은 고딕" w:hAnsi="맑은 고딕" w:eastAsia="맑은 고딕" w:cs="맑은 고딕"/>
              </w:rPr>
              <w:t>0.1997</w:t>
            </w:r>
          </w:p>
        </w:tc>
        <w:tc>
          <w:tcPr>
            <w:tcW w:type="dxa" w:w="1314"/>
          </w:tcPr>
          <w:p>
            <w:r>
              <w:rPr>
                <w:sz w:val="17"/>
                <w:rFonts w:ascii="맑은 고딕" w:hAnsi="맑은 고딕" w:eastAsia="맑은 고딕" w:cs="맑은 고딕"/>
              </w:rPr>
              <w:t>0.1835</w:t>
            </w:r>
          </w:p>
        </w:tc>
        <w:tc>
          <w:tcPr>
            <w:tcW w:type="dxa" w:w="1314"/>
          </w:tcPr>
          <w:p>
            <w:r>
              <w:rPr>
                <w:sz w:val="17"/>
                <w:rFonts w:ascii="맑은 고딕" w:hAnsi="맑은 고딕" w:eastAsia="맑은 고딕" w:cs="맑은 고딕"/>
              </w:rPr>
              <w:t>1.11</w:t>
            </w:r>
          </w:p>
        </w:tc>
      </w:tr>
      <w:tr>
        <w:tc>
          <w:tcPr>
            <w:tcW w:type="dxa" w:w="1314"/>
          </w:tcPr>
          <w:p>
            <w:r>
              <w:rPr>
                <w:sz w:val="17"/>
                <w:rFonts w:ascii="맑은 고딕" w:hAnsi="맑은 고딕" w:eastAsia="맑은 고딕" w:cs="맑은 고딕"/>
              </w:rPr>
              <w:t>3분위</w:t>
            </w:r>
          </w:p>
        </w:tc>
        <w:tc>
          <w:tcPr>
            <w:tcW w:type="dxa" w:w="1314"/>
          </w:tcPr>
          <w:p>
            <w:r>
              <w:rPr>
                <w:sz w:val="17"/>
                <w:rFonts w:ascii="맑은 고딕" w:hAnsi="맑은 고딕" w:eastAsia="맑은 고딕" w:cs="맑은 고딕"/>
              </w:rPr>
              <w:t>1665</w:t>
            </w:r>
          </w:p>
        </w:tc>
        <w:tc>
          <w:tcPr>
            <w:tcW w:type="dxa" w:w="1314"/>
          </w:tcPr>
          <w:p>
            <w:r>
              <w:rPr>
                <w:sz w:val="17"/>
                <w:rFonts w:ascii="맑은 고딕" w:hAnsi="맑은 고딕" w:eastAsia="맑은 고딕" w:cs="맑은 고딕"/>
              </w:rPr>
              <w:t>4934</w:t>
            </w:r>
          </w:p>
        </w:tc>
        <w:tc>
          <w:tcPr>
            <w:tcW w:type="dxa" w:w="1314"/>
          </w:tcPr>
          <w:p>
            <w:r>
              <w:rPr>
                <w:sz w:val="17"/>
                <w:rFonts w:ascii="맑은 고딕" w:hAnsi="맑은 고딕" w:eastAsia="맑은 고딕" w:cs="맑은 고딕"/>
              </w:rPr>
              <w:t>1281</w:t>
            </w:r>
          </w:p>
        </w:tc>
        <w:tc>
          <w:tcPr>
            <w:tcW w:type="dxa" w:w="1314"/>
          </w:tcPr>
          <w:p>
            <w:r>
              <w:rPr>
                <w:sz w:val="17"/>
                <w:rFonts w:ascii="맑은 고딕" w:hAnsi="맑은 고딕" w:eastAsia="맑은 고딕" w:cs="맑은 고딕"/>
              </w:rPr>
              <w:t>4259</w:t>
            </w:r>
          </w:p>
        </w:tc>
        <w:tc>
          <w:tcPr>
            <w:tcW w:type="dxa" w:w="1314"/>
          </w:tcPr>
          <w:p>
            <w:r>
              <w:rPr>
                <w:sz w:val="17"/>
                <w:rFonts w:ascii="맑은 고딕" w:hAnsi="맑은 고딕" w:eastAsia="맑은 고딕" w:cs="맑은 고딕"/>
              </w:rPr>
              <w:t>0.2523</w:t>
            </w:r>
          </w:p>
        </w:tc>
        <w:tc>
          <w:tcPr>
            <w:tcW w:type="dxa" w:w="1314"/>
          </w:tcPr>
          <w:p>
            <w:r>
              <w:rPr>
                <w:sz w:val="17"/>
                <w:rFonts w:ascii="맑은 고딕" w:hAnsi="맑은 고딕" w:eastAsia="맑은 고딕" w:cs="맑은 고딕"/>
              </w:rPr>
              <w:t>0.2312</w:t>
            </w:r>
          </w:p>
        </w:tc>
        <w:tc>
          <w:tcPr>
            <w:tcW w:type="dxa" w:w="1314"/>
          </w:tcPr>
          <w:p>
            <w:r>
              <w:rPr>
                <w:sz w:val="17"/>
                <w:rFonts w:ascii="맑은 고딕" w:hAnsi="맑은 고딕" w:eastAsia="맑은 고딕" w:cs="맑은 고딕"/>
              </w:rPr>
              <w:t>1.12</w:t>
            </w:r>
          </w:p>
        </w:tc>
      </w:tr>
      <w:tr>
        <w:tc>
          <w:tcPr>
            <w:tcW w:type="dxa" w:w="1314"/>
          </w:tcPr>
          <w:p>
            <w:r>
              <w:rPr>
                <w:sz w:val="17"/>
                <w:rFonts w:ascii="맑은 고딕" w:hAnsi="맑은 고딕" w:eastAsia="맑은 고딕" w:cs="맑은 고딕"/>
              </w:rPr>
              <w:t>4분위</w:t>
            </w:r>
          </w:p>
        </w:tc>
        <w:tc>
          <w:tcPr>
            <w:tcW w:type="dxa" w:w="1314"/>
          </w:tcPr>
          <w:p>
            <w:r>
              <w:rPr>
                <w:sz w:val="17"/>
                <w:rFonts w:ascii="맑은 고딕" w:hAnsi="맑은 고딕" w:eastAsia="맑은 고딕" w:cs="맑은 고딕"/>
              </w:rPr>
              <w:t>1805</w:t>
            </w:r>
          </w:p>
        </w:tc>
        <w:tc>
          <w:tcPr>
            <w:tcW w:type="dxa" w:w="1314"/>
          </w:tcPr>
          <w:p>
            <w:r>
              <w:rPr>
                <w:sz w:val="17"/>
                <w:rFonts w:ascii="맑은 고딕" w:hAnsi="맑은 고딕" w:eastAsia="맑은 고딕" w:cs="맑은 고딕"/>
              </w:rPr>
              <w:t>3862</w:t>
            </w:r>
          </w:p>
        </w:tc>
        <w:tc>
          <w:tcPr>
            <w:tcW w:type="dxa" w:w="1314"/>
          </w:tcPr>
          <w:p>
            <w:r>
              <w:rPr>
                <w:sz w:val="17"/>
                <w:rFonts w:ascii="맑은 고딕" w:hAnsi="맑은 고딕" w:eastAsia="맑은 고딕" w:cs="맑은 고딕"/>
              </w:rPr>
              <w:t>2118</w:t>
            </w:r>
          </w:p>
        </w:tc>
        <w:tc>
          <w:tcPr>
            <w:tcW w:type="dxa" w:w="1314"/>
          </w:tcPr>
          <w:p>
            <w:r>
              <w:rPr>
                <w:sz w:val="17"/>
                <w:rFonts w:ascii="맑은 고딕" w:hAnsi="맑은 고딕" w:eastAsia="맑은 고딕" w:cs="맑은 고딕"/>
              </w:rPr>
              <w:t>4933</w:t>
            </w:r>
          </w:p>
        </w:tc>
        <w:tc>
          <w:tcPr>
            <w:tcW w:type="dxa" w:w="1314"/>
          </w:tcPr>
          <w:p>
            <w:r>
              <w:rPr>
                <w:sz w:val="17"/>
                <w:rFonts w:ascii="맑은 고딕" w:hAnsi="맑은 고딕" w:eastAsia="맑은 고딕" w:cs="맑은 고딕"/>
              </w:rPr>
              <w:t>0.3185</w:t>
            </w:r>
          </w:p>
        </w:tc>
        <w:tc>
          <w:tcPr>
            <w:tcW w:type="dxa" w:w="1314"/>
          </w:tcPr>
          <w:p>
            <w:r>
              <w:rPr>
                <w:sz w:val="17"/>
                <w:rFonts w:ascii="맑은 고딕" w:hAnsi="맑은 고딕" w:eastAsia="맑은 고딕" w:cs="맑은 고딕"/>
              </w:rPr>
              <w:t>0.3004</w:t>
            </w:r>
          </w:p>
        </w:tc>
        <w:tc>
          <w:tcPr>
            <w:tcW w:type="dxa" w:w="1314"/>
          </w:tcPr>
          <w:p>
            <w:r>
              <w:rPr>
                <w:sz w:val="17"/>
                <w:rFonts w:ascii="맑은 고딕" w:hAnsi="맑은 고딕" w:eastAsia="맑은 고딕" w:cs="맑은 고딕"/>
              </w:rPr>
              <w:t>1.09</w:t>
            </w:r>
          </w:p>
        </w:tc>
      </w:tr>
      <w:tr>
        <w:tc>
          <w:tcPr>
            <w:tcW w:type="dxa" w:w="1314"/>
          </w:tcPr>
          <w:p>
            <w:r>
              <w:rPr>
                <w:sz w:val="17"/>
                <w:rFonts w:ascii="맑은 고딕" w:hAnsi="맑은 고딕" w:eastAsia="맑은 고딕" w:cs="맑은 고딕"/>
              </w:rPr>
              <w:t>5분위</w:t>
            </w:r>
          </w:p>
        </w:tc>
        <w:tc>
          <w:tcPr>
            <w:tcW w:type="dxa" w:w="1314"/>
          </w:tcPr>
          <w:p>
            <w:r>
              <w:rPr>
                <w:sz w:val="17"/>
                <w:rFonts w:ascii="맑은 고딕" w:hAnsi="맑은 고딕" w:eastAsia="맑은 고딕" w:cs="맑은 고딕"/>
              </w:rPr>
              <w:t>1377</w:t>
            </w:r>
          </w:p>
        </w:tc>
        <w:tc>
          <w:tcPr>
            <w:tcW w:type="dxa" w:w="1314"/>
          </w:tcPr>
          <w:p>
            <w:r>
              <w:rPr>
                <w:sz w:val="17"/>
                <w:rFonts w:ascii="맑은 고딕" w:hAnsi="맑은 고딕" w:eastAsia="맑은 고딕" w:cs="맑은 고딕"/>
              </w:rPr>
              <w:t>2232</w:t>
            </w:r>
          </w:p>
        </w:tc>
        <w:tc>
          <w:tcPr>
            <w:tcW w:type="dxa" w:w="1314"/>
          </w:tcPr>
          <w:p>
            <w:r>
              <w:rPr>
                <w:sz w:val="17"/>
                <w:rFonts w:ascii="맑은 고딕" w:hAnsi="맑은 고딕" w:eastAsia="맑은 고딕" w:cs="맑은 고딕"/>
              </w:rPr>
              <w:t>3888</w:t>
            </w:r>
          </w:p>
        </w:tc>
        <w:tc>
          <w:tcPr>
            <w:tcW w:type="dxa" w:w="1314"/>
          </w:tcPr>
          <w:p>
            <w:r>
              <w:rPr>
                <w:sz w:val="17"/>
                <w:rFonts w:ascii="맑은 고딕" w:hAnsi="맑은 고딕" w:eastAsia="맑은 고딕" w:cs="맑은 고딕"/>
              </w:rPr>
              <w:t>5583</w:t>
            </w:r>
          </w:p>
        </w:tc>
        <w:tc>
          <w:tcPr>
            <w:tcW w:type="dxa" w:w="1314"/>
          </w:tcPr>
          <w:p>
            <w:r>
              <w:rPr>
                <w:sz w:val="17"/>
                <w:rFonts w:ascii="맑은 고딕" w:hAnsi="맑은 고딕" w:eastAsia="맑은 고딕" w:cs="맑은 고딕"/>
              </w:rPr>
              <w:t>0.3815</w:t>
            </w:r>
          </w:p>
        </w:tc>
        <w:tc>
          <w:tcPr>
            <w:tcW w:type="dxa" w:w="1314"/>
          </w:tcPr>
          <w:p>
            <w:r>
              <w:rPr>
                <w:sz w:val="17"/>
                <w:rFonts w:ascii="맑은 고딕" w:hAnsi="맑은 고딕" w:eastAsia="맑은 고딕" w:cs="맑은 고딕"/>
              </w:rPr>
              <w:t>0.4105</w:t>
            </w:r>
          </w:p>
        </w:tc>
        <w:tc>
          <w:tcPr>
            <w:tcW w:type="dxa" w:w="1314"/>
          </w:tcPr>
          <w:p>
            <w:r>
              <w:rPr>
                <w:sz w:val="17"/>
                <w:rFonts w:ascii="맑은 고딕" w:hAnsi="맑은 고딕" w:eastAsia="맑은 고딕" w:cs="맑은 고딕"/>
              </w:rPr>
              <w:t>0.8859</w:t>
            </w:r>
          </w:p>
        </w:tc>
      </w:tr>
    </w:tbl>
    <w:p>
      <w:r>
        <w:rPr>
          <w:b w:val="0"/>
          <w:i/>
          <w:sz w:val="18"/>
          <w:rFonts w:ascii="맑은 고딕" w:hAnsi="맑은 고딕" w:eastAsia="맑은 고딕" w:cs="맑은 고딕"/>
        </w:rPr>
        <w:t>표 12</w:t>
      </w:r>
    </w:p>
    <w:p>
      <w:r>
        <w:rPr>
          <w:b w:val="0"/>
          <w:i w:val="0"/>
          <w:sz w:val="19"/>
          <w:rFonts w:ascii="맑은 고딕" w:hAnsi="맑은 고딕" w:eastAsia="맑은 고딕" w:cs="맑은 고딕"/>
        </w:rPr>
        <w:t>읽는 법 — 층별 2×2 표임. «노출군»이 골목상권, «비노출군»이 그 밖이고 마지막 열이 층별 오즈비임. 층마다 값이 흔들리는 것이 동질성 위배의 모습임.</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이 결과는 Simpson의 역설에 해당한다. 실무적으로는 “골목상권이 더 위험하다/안전하다”처럼 한 문장으로 묶기보다, 점포 규모를 나눠서 말해야 한다.</w:t>
      </w:r>
    </w:p>
    <w:p>
      <w:r>
        <w:br w:type="page"/>
      </w:r>
    </w:p>
    <w:p>
      <w:pPr>
        <w:pStyle w:val="Heading1"/>
      </w:pPr>
      <w:r>
        <w:rPr>
          <w:rFonts w:ascii="맑은 고딕" w:hAnsi="맑은 고딕" w:eastAsia="맑은 고딕" w:cs="맑은 고딕"/>
        </w:rPr>
        <w:t>07  검정 방법의 선택 — 정규성과 등분산성</w:t>
      </w:r>
    </w:p>
    <w:p>
      <w:r>
        <w:rPr>
          <w:b/>
          <w:i w:val="0"/>
          <w:sz w:val="22"/>
          <w:rFonts w:ascii="맑은 고딕" w:hAnsi="맑은 고딕" w:eastAsia="맑은 고딕" w:cs="맑은 고딕"/>
        </w:rPr>
        <w:t>핵심 한 줄 — 데이터 분포가 정규분포와 거리가 있고 일부 집단은 분산도 달랐기 때문에, 평균 비교보다 순위 기반의 Kruskal-Wallis 검정을 주 검정으로 사용했다.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검정 방법은 결과가 잘 나오는 것을 고르는 것이 아니라, 데이터가 어떤 분포를 가지는지 확인한 뒤 정해야 한다.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0/1 라벨 자체에 정규성 검정을 하는 대신, 각 상권×업종의 여러 분기 순감소 비율을 만들어 연속값으로 비교했다.</w:t>
      </w:r>
    </w:p>
    <w:p>
      <w:pPr>
        <w:ind w:left="173"/>
      </w:pPr>
      <w:r>
        <w:rPr>
          <w:b w:val="0"/>
          <w:i w:val="0"/>
          <w:sz w:val="21"/>
          <w:rFonts w:ascii="맑은 고딕" w:hAnsi="맑은 고딕" w:eastAsia="맑은 고딕" w:cs="맑은 고딕"/>
        </w:rPr>
        <w:t>• 상권유형 4/4, 업종 10/10, 자치구 25/25 그룹에서 정규성이 모두 기각됐다.</w:t>
      </w:r>
    </w:p>
    <w:p>
      <w:pPr>
        <w:ind w:left="173"/>
      </w:pPr>
      <w:r>
        <w:rPr>
          <w:b w:val="0"/>
          <w:i w:val="0"/>
          <w:sz w:val="21"/>
          <w:rFonts w:ascii="맑은 고딕" w:hAnsi="맑은 고딕" w:eastAsia="맑은 고딕" w:cs="맑은 고딕"/>
        </w:rPr>
        <w:t>• 등분산성은 상권유형과 업종에서 위배됐고, 자치구만 Levene p=0.073으로 크게 위배되지 않았다.</w:t>
      </w:r>
    </w:p>
    <w:p>
      <w:pPr>
        <w:ind w:left="173"/>
      </w:pPr>
      <w:r>
        <w:rPr>
          <w:b w:val="0"/>
          <w:i w:val="0"/>
          <w:sz w:val="21"/>
          <w:rFonts w:ascii="맑은 고딕" w:hAnsi="맑은 고딕" w:eastAsia="맑은 고딕" w:cs="맑은 고딕"/>
        </w:rPr>
        <w:t>• 전체 분포는 왜도 +0.592로 오른쪽 꼬리가 길었고, 순감소가 한 번도 없었던 조합도 7.1% 있었다.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정규성</w:t>
            </w:r>
          </w:p>
        </w:tc>
        <w:tc>
          <w:tcPr>
            <w:tcW w:type="dxa" w:w="5256"/>
          </w:tcPr>
          <w:p>
            <w:r>
              <w:rPr>
                <w:sz w:val="17"/>
                <w:rFonts w:ascii="맑은 고딕" w:hAnsi="맑은 고딕" w:eastAsia="맑은 고딕" w:cs="맑은 고딕"/>
              </w:rPr>
              <w:t>상권유형 4/4 · 업종 10/10 · 자치구 25/25 모두 위배</w:t>
            </w:r>
          </w:p>
        </w:tc>
      </w:tr>
      <w:tr>
        <w:tc>
          <w:tcPr>
            <w:tcW w:type="dxa" w:w="5256"/>
          </w:tcPr>
          <w:p>
            <w:r>
              <w:rPr>
                <w:sz w:val="17"/>
                <w:rFonts w:ascii="맑은 고딕" w:hAnsi="맑은 고딕" w:eastAsia="맑은 고딕" w:cs="맑은 고딕"/>
              </w:rPr>
              <w:t>등분산성</w:t>
            </w:r>
          </w:p>
        </w:tc>
        <w:tc>
          <w:tcPr>
            <w:tcW w:type="dxa" w:w="5256"/>
          </w:tcPr>
          <w:p>
            <w:r>
              <w:rPr>
                <w:sz w:val="17"/>
                <w:rFonts w:ascii="맑은 고딕" w:hAnsi="맑은 고딕" w:eastAsia="맑은 고딕" w:cs="맑은 고딕"/>
              </w:rPr>
              <w:t>상권유형·업종 위배 / 자치구만 성립</w:t>
            </w:r>
          </w:p>
        </w:tc>
      </w:tr>
      <w:tr>
        <w:tc>
          <w:tcPr>
            <w:tcW w:type="dxa" w:w="5256"/>
          </w:tcPr>
          <w:p>
            <w:r>
              <w:rPr>
                <w:sz w:val="17"/>
                <w:rFonts w:ascii="맑은 고딕" w:hAnsi="맑은 고딕" w:eastAsia="맑은 고딕" w:cs="맑은 고딕"/>
              </w:rPr>
              <w:t>주 검정</w:t>
            </w:r>
          </w:p>
        </w:tc>
        <w:tc>
          <w:tcPr>
            <w:tcW w:type="dxa" w:w="5256"/>
          </w:tcPr>
          <w:p>
            <w:r>
              <w:rPr>
                <w:sz w:val="17"/>
                <w:rFonts w:ascii="맑은 고딕" w:hAnsi="맑은 고딕" w:eastAsia="맑은 고딕" w:cs="맑은 고딕"/>
              </w:rPr>
              <w:t>Kruskal-Wallis</w:t>
            </w:r>
          </w:p>
        </w:tc>
      </w:tr>
      <w:tr>
        <w:tc>
          <w:tcPr>
            <w:tcW w:type="dxa" w:w="5256"/>
          </w:tcPr>
          <w:p>
            <w:r>
              <w:rPr>
                <w:sz w:val="17"/>
                <w:rFonts w:ascii="맑은 고딕" w:hAnsi="맑은 고딕" w:eastAsia="맑은 고딕" w:cs="맑은 고딕"/>
              </w:rPr>
              <w:t>시각 확인</w:t>
            </w:r>
          </w:p>
        </w:tc>
        <w:tc>
          <w:tcPr>
            <w:tcW w:type="dxa" w:w="5256"/>
          </w:tcPr>
          <w:p>
            <w:r>
              <w:rPr>
                <w:sz w:val="17"/>
                <w:rFonts w:ascii="맑은 고딕" w:hAnsi="맑은 고딕" w:eastAsia="맑은 고딕" w:cs="맑은 고딕"/>
              </w:rPr>
              <w:t>Q-Q plot + Boxplot</w:t>
            </w:r>
          </w:p>
        </w:tc>
      </w:tr>
    </w:tbl>
    <w:p>
      <w:r>
        <w:rPr>
          <w:b w:val="0"/>
          <w:i/>
          <w:sz w:val="18"/>
          <w:rFonts w:ascii="맑은 고딕" w:hAnsi="맑은 고딕" w:eastAsia="맑은 고딕" w:cs="맑은 고딕"/>
        </w:rPr>
        <w:t>표 13</w:t>
      </w:r>
    </w:p>
    <w:tbl>
      <w:tblPr>
        <w:tblStyle w:val="LightGrid-Accent1"/>
        <w:tblW w:type="auto" w:w="0"/>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sz w:val="17"/>
                <w:rFonts w:ascii="맑은 고딕" w:hAnsi="맑은 고딕" w:eastAsia="맑은 고딕" w:cs="맑은 고딕"/>
              </w:rPr>
            </w:r>
          </w:p>
        </w:tc>
        <w:tc>
          <w:tcPr>
            <w:tcW w:type="dxa" w:w="1502"/>
          </w:tcPr>
          <w:p>
            <w:r>
              <w:rPr>
                <w:b/>
                <w:sz w:val="17"/>
                <w:rFonts w:ascii="맑은 고딕" w:hAnsi="맑은 고딕" w:eastAsia="맑은 고딕" w:cs="맑은 고딕"/>
              </w:rPr>
              <w:t>그룹 수</w:t>
            </w:r>
          </w:p>
        </w:tc>
        <w:tc>
          <w:tcPr>
            <w:tcW w:type="dxa" w:w="1502"/>
          </w:tcPr>
          <w:p>
            <w:r>
              <w:rPr>
                <w:b/>
                <w:sz w:val="17"/>
                <w:rFonts w:ascii="맑은 고딕" w:hAnsi="맑은 고딕" w:eastAsia="맑은 고딕" w:cs="맑은 고딕"/>
              </w:rPr>
              <w:t>정규성 위배</w:t>
            </w:r>
          </w:p>
        </w:tc>
        <w:tc>
          <w:tcPr>
            <w:tcW w:type="dxa" w:w="1502"/>
          </w:tcPr>
          <w:p>
            <w:r>
              <w:rPr>
                <w:b/>
                <w:sz w:val="17"/>
                <w:rFonts w:ascii="맑은 고딕" w:hAnsi="맑은 고딕" w:eastAsia="맑은 고딕" w:cs="맑은 고딕"/>
              </w:rPr>
              <w:t>정규성 성립 그룹</w:t>
            </w:r>
          </w:p>
        </w:tc>
        <w:tc>
          <w:tcPr>
            <w:tcW w:type="dxa" w:w="1502"/>
          </w:tcPr>
          <w:p>
            <w:r>
              <w:rPr>
                <w:b/>
                <w:sz w:val="17"/>
                <w:rFonts w:ascii="맑은 고딕" w:hAnsi="맑은 고딕" w:eastAsia="맑은 고딕" w:cs="맑은 고딕"/>
              </w:rPr>
              <w:t>Levene 통계량</w:t>
            </w:r>
          </w:p>
        </w:tc>
        <w:tc>
          <w:tcPr>
            <w:tcW w:type="dxa" w:w="1502"/>
          </w:tcPr>
          <w:p>
            <w:r>
              <w:rPr>
                <w:b/>
                <w:sz w:val="17"/>
                <w:rFonts w:ascii="맑은 고딕" w:hAnsi="맑은 고딕" w:eastAsia="맑은 고딕" w:cs="맑은 고딕"/>
              </w:rPr>
              <w:t>Levene p</w:t>
            </w:r>
          </w:p>
        </w:tc>
        <w:tc>
          <w:tcPr>
            <w:tcW w:type="dxa" w:w="1502"/>
          </w:tcPr>
          <w:p>
            <w:r>
              <w:rPr>
                <w:b/>
                <w:sz w:val="17"/>
                <w:rFonts w:ascii="맑은 고딕" w:hAnsi="맑은 고딕" w:eastAsia="맑은 고딕" w:cs="맑은 고딕"/>
              </w:rPr>
              <w:t>등분산성</w:t>
            </w:r>
          </w:p>
        </w:tc>
      </w:tr>
      <w:tr>
        <w:tc>
          <w:tcPr>
            <w:tcW w:type="dxa" w:w="1502"/>
          </w:tcPr>
          <w:p>
            <w:r>
              <w:rPr>
                <w:sz w:val="17"/>
                <w:rFonts w:ascii="맑은 고딕" w:hAnsi="맑은 고딕" w:eastAsia="맑은 고딕" w:cs="맑은 고딕"/>
              </w:rPr>
              <w:t>구분</w:t>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r>
      <w:tr>
        <w:tc>
          <w:tcPr>
            <w:tcW w:type="dxa" w:w="1502"/>
          </w:tcPr>
          <w:p>
            <w:r>
              <w:rPr>
                <w:sz w:val="17"/>
                <w:rFonts w:ascii="맑은 고딕" w:hAnsi="맑은 고딕" w:eastAsia="맑은 고딕" w:cs="맑은 고딕"/>
              </w:rPr>
              <w:t>상권유형</w:t>
            </w:r>
          </w:p>
        </w:tc>
        <w:tc>
          <w:tcPr>
            <w:tcW w:type="dxa" w:w="1502"/>
          </w:tcPr>
          <w:p>
            <w:r>
              <w:rPr>
                <w:sz w:val="17"/>
                <w:rFonts w:ascii="맑은 고딕" w:hAnsi="맑은 고딕" w:eastAsia="맑은 고딕" w:cs="맑은 고딕"/>
              </w:rPr>
              <w:t>4</w:t>
            </w:r>
          </w:p>
        </w:tc>
        <w:tc>
          <w:tcPr>
            <w:tcW w:type="dxa" w:w="1502"/>
          </w:tcPr>
          <w:p>
            <w:r>
              <w:rPr>
                <w:sz w:val="17"/>
                <w:rFonts w:ascii="맑은 고딕" w:hAnsi="맑은 고딕" w:eastAsia="맑은 고딕" w:cs="맑은 고딕"/>
              </w:rPr>
              <w:t>4/4</w:t>
            </w:r>
          </w:p>
        </w:tc>
        <w:tc>
          <w:tcPr>
            <w:tcW w:type="dxa" w:w="1502"/>
          </w:tcPr>
          <w:p>
            <w:r>
              <w:rPr>
                <w:sz w:val="17"/>
                <w:rFonts w:ascii="맑은 고딕" w:hAnsi="맑은 고딕" w:eastAsia="맑은 고딕" w:cs="맑은 고딕"/>
              </w:rPr>
              <w:t>없음</w:t>
            </w:r>
          </w:p>
        </w:tc>
        <w:tc>
          <w:tcPr>
            <w:tcW w:type="dxa" w:w="1502"/>
          </w:tcPr>
          <w:p>
            <w:r>
              <w:rPr>
                <w:sz w:val="17"/>
                <w:rFonts w:ascii="맑은 고딕" w:hAnsi="맑은 고딕" w:eastAsia="맑은 고딕" w:cs="맑은 고딕"/>
              </w:rPr>
              <w:t>16</w:t>
            </w:r>
          </w:p>
        </w:tc>
        <w:tc>
          <w:tcPr>
            <w:tcW w:type="dxa" w:w="1502"/>
          </w:tcPr>
          <w:p>
            <w:r>
              <w:rPr>
                <w:sz w:val="17"/>
                <w:rFonts w:ascii="맑은 고딕" w:hAnsi="맑은 고딕" w:eastAsia="맑은 고딕" w:cs="맑은 고딕"/>
              </w:rPr>
              <w:t>0.000000000234641</w:t>
            </w:r>
          </w:p>
        </w:tc>
        <w:tc>
          <w:tcPr>
            <w:tcW w:type="dxa" w:w="1502"/>
          </w:tcPr>
          <w:p>
            <w:r>
              <w:rPr>
                <w:sz w:val="17"/>
                <w:rFonts w:ascii="맑은 고딕" w:hAnsi="맑은 고딕" w:eastAsia="맑은 고딕" w:cs="맑은 고딕"/>
              </w:rPr>
              <w:t>위배</w:t>
            </w:r>
          </w:p>
        </w:tc>
      </w:tr>
      <w:tr>
        <w:tc>
          <w:tcPr>
            <w:tcW w:type="dxa" w:w="1502"/>
          </w:tcPr>
          <w:p>
            <w:r>
              <w:rPr>
                <w:sz w:val="17"/>
                <w:rFonts w:ascii="맑은 고딕" w:hAnsi="맑은 고딕" w:eastAsia="맑은 고딕" w:cs="맑은 고딕"/>
              </w:rPr>
              <w:t>서비스_업종_코드_명</w:t>
            </w:r>
          </w:p>
        </w:tc>
        <w:tc>
          <w:tcPr>
            <w:tcW w:type="dxa" w:w="1502"/>
          </w:tcPr>
          <w:p>
            <w:r>
              <w:rPr>
                <w:sz w:val="17"/>
                <w:rFonts w:ascii="맑은 고딕" w:hAnsi="맑은 고딕" w:eastAsia="맑은 고딕" w:cs="맑은 고딕"/>
              </w:rPr>
              <w:t>10</w:t>
            </w:r>
          </w:p>
        </w:tc>
        <w:tc>
          <w:tcPr>
            <w:tcW w:type="dxa" w:w="1502"/>
          </w:tcPr>
          <w:p>
            <w:r>
              <w:rPr>
                <w:sz w:val="17"/>
                <w:rFonts w:ascii="맑은 고딕" w:hAnsi="맑은 고딕" w:eastAsia="맑은 고딕" w:cs="맑은 고딕"/>
              </w:rPr>
              <w:t>10/10</w:t>
            </w:r>
          </w:p>
        </w:tc>
        <w:tc>
          <w:tcPr>
            <w:tcW w:type="dxa" w:w="1502"/>
          </w:tcPr>
          <w:p>
            <w:r>
              <w:rPr>
                <w:sz w:val="17"/>
                <w:rFonts w:ascii="맑은 고딕" w:hAnsi="맑은 고딕" w:eastAsia="맑은 고딕" w:cs="맑은 고딕"/>
              </w:rPr>
              <w:t>없음</w:t>
            </w:r>
          </w:p>
        </w:tc>
        <w:tc>
          <w:tcPr>
            <w:tcW w:type="dxa" w:w="1502"/>
          </w:tcPr>
          <w:p>
            <w:r>
              <w:rPr>
                <w:sz w:val="17"/>
                <w:rFonts w:ascii="맑은 고딕" w:hAnsi="맑은 고딕" w:eastAsia="맑은 고딕" w:cs="맑은 고딕"/>
              </w:rPr>
              <w:t>10.83</w:t>
            </w:r>
          </w:p>
        </w:tc>
        <w:tc>
          <w:tcPr>
            <w:tcW w:type="dxa" w:w="1502"/>
          </w:tcPr>
          <w:p>
            <w:r>
              <w:rPr>
                <w:sz w:val="17"/>
                <w:rFonts w:ascii="맑은 고딕" w:hAnsi="맑은 고딕" w:eastAsia="맑은 고딕" w:cs="맑은 고딕"/>
              </w:rPr>
              <w:t>0</w:t>
            </w:r>
          </w:p>
        </w:tc>
        <w:tc>
          <w:tcPr>
            <w:tcW w:type="dxa" w:w="1502"/>
          </w:tcPr>
          <w:p>
            <w:r>
              <w:rPr>
                <w:sz w:val="17"/>
                <w:rFonts w:ascii="맑은 고딕" w:hAnsi="맑은 고딕" w:eastAsia="맑은 고딕" w:cs="맑은 고딕"/>
              </w:rPr>
              <w:t>위배</w:t>
            </w:r>
          </w:p>
        </w:tc>
      </w:tr>
    </w:tbl>
    <w:p>
      <w:r>
        <w:rPr>
          <w:b w:val="0"/>
          <w:i/>
          <w:sz w:val="18"/>
          <w:rFonts w:ascii="맑은 고딕" w:hAnsi="맑은 고딕" w:eastAsia="맑은 고딕" w:cs="맑은 고딕"/>
        </w:rPr>
        <w:t>표 14</w:t>
      </w:r>
    </w:p>
    <w:p>
      <w:r>
        <w:rPr>
          <w:b w:val="0"/>
          <w:i w:val="0"/>
          <w:sz w:val="19"/>
          <w:rFonts w:ascii="맑은 고딕" w:hAnsi="맑은 고딕" w:eastAsia="맑은 고딕" w:cs="맑은 고딕"/>
        </w:rPr>
        <w:t>읽는 법 — 그룹별 정규성 위배 개수와 Levene 결과임.</w:t>
      </w:r>
    </w:p>
    <w:p>
      <w:pPr>
        <w:jc w:val="center"/>
      </w:pPr>
      <w:r>
        <w:drawing>
          <wp:inline xmlns:a="http://schemas.openxmlformats.org/drawingml/2006/main" xmlns:pic="http://schemas.openxmlformats.org/drawingml/2006/picture">
            <wp:extent cx="6035040" cy="2693491"/>
            <wp:docPr id="4" name="Picture 4"/>
            <wp:cNvGraphicFramePr>
              <a:graphicFrameLocks noChangeAspect="1"/>
            </wp:cNvGraphicFramePr>
            <a:graphic>
              <a:graphicData uri="http://schemas.openxmlformats.org/drawingml/2006/picture">
                <pic:pic>
                  <pic:nvPicPr>
                    <pic:cNvPr id="0" name="g4.png"/>
                    <pic:cNvPicPr/>
                  </pic:nvPicPr>
                  <pic:blipFill>
                    <a:blip r:embed="rId12"/>
                    <a:stretch>
                      <a:fillRect/>
                    </a:stretch>
                  </pic:blipFill>
                  <pic:spPr>
                    <a:xfrm>
                      <a:off x="0" y="0"/>
                      <a:ext cx="6035040" cy="2693491"/>
                    </a:xfrm>
                    <a:prstGeom prst="rect"/>
                  </pic:spPr>
                </pic:pic>
              </a:graphicData>
            </a:graphic>
          </wp:inline>
        </w:drawing>
      </w:r>
    </w:p>
    <w:p>
      <w:pPr>
        <w:jc w:val="center"/>
      </w:pPr>
      <w:r>
        <w:rPr>
          <w:b w:val="0"/>
          <w:i/>
          <w:sz w:val="18"/>
          <w:rFonts w:ascii="맑은 고딕" w:hAnsi="맑은 고딕" w:eastAsia="맑은 고딕" w:cs="맑은 고딕"/>
        </w:rPr>
        <w:t>그림 4</w:t>
      </w:r>
    </w:p>
    <w:p>
      <w:r>
        <w:rPr>
          <w:b w:val="0"/>
          <w:i w:val="0"/>
          <w:sz w:val="19"/>
          <w:rFonts w:ascii="맑은 고딕" w:hAnsi="맑은 고딕" w:eastAsia="맑은 고딕" w:cs="맑은 고딕"/>
        </w:rPr>
        <w:t>읽는 법 — 상자 높이가 그룹마다 다른 것이 등분산성 위배의 모습이고, 위쪽에 흩어진 점들이 오른쪽 꼬리임.</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ANOVA는 참고값으로 두고, 정규성 가정을 덜 요구하는 Kruskal-Wallis를 중심으로 결론을 냈다. 이는 사후에 결과를 맞춘 선택이 아니라 사전 가정 점검에서 나온 선택이다.</w:t>
      </w:r>
    </w:p>
    <w:p>
      <w:r>
        <w:br w:type="page"/>
      </w:r>
    </w:p>
    <w:p>
      <w:pPr>
        <w:pStyle w:val="Heading1"/>
      </w:pPr>
      <w:r>
        <w:rPr>
          <w:rFonts w:ascii="맑은 고딕" w:hAnsi="맑은 고딕" w:eastAsia="맑은 고딕" w:cs="맑은 고딕"/>
        </w:rPr>
        <w:t>08  가설 직접 검증 — 업종 × 상권유형 · 업종 × 자치구</w:t>
      </w:r>
    </w:p>
    <w:p>
      <w:r>
        <w:rPr>
          <w:b/>
          <w:i w:val="0"/>
          <w:sz w:val="22"/>
          <w:rFonts w:ascii="맑은 고딕" w:hAnsi="맑은 고딕" w:eastAsia="맑은 고딕" w:cs="맑은 고딕"/>
        </w:rPr>
        <w:t>핵심 한 줄 — 같은 업종이라도 상권유형에 따라 위험이 달라지는 경우가 많았지만, 그 영향의 크기는 업종마다 크게 달랐다. 자치구 효과는 상대적으로 약했다.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전체 업종을 섞으면 “업종 효과”와 “상권유형 효과”가 붙는다. 그래서 업종을 하나씩 고정한 뒤 상권유형 차이를 따로 검정했다.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10개 업종 중 8개가 Bonferroni 보정 후에도 상권유형별 차이를 보였다.</w:t>
      </w:r>
    </w:p>
    <w:p>
      <w:pPr>
        <w:ind w:left="173"/>
      </w:pPr>
      <w:r>
        <w:rPr>
          <w:b w:val="0"/>
          <w:i w:val="0"/>
          <w:sz w:val="21"/>
          <w:rFonts w:ascii="맑은 고딕" w:hAnsi="맑은 고딕" w:eastAsia="맑은 고딕" w:cs="맑은 고딕"/>
        </w:rPr>
        <w:t>• 호프·간이주점은 ε²=0.1202로 입지 차이가 비교적 컸고, 커피·음료 0.0652, 한식 0.0607이 뒤를 이었다.</w:t>
      </w:r>
    </w:p>
    <w:p>
      <w:pPr>
        <w:ind w:left="173"/>
      </w:pPr>
      <w:r>
        <w:rPr>
          <w:b w:val="0"/>
          <w:i w:val="0"/>
          <w:sz w:val="21"/>
          <w:rFonts w:ascii="맑은 고딕" w:hAnsi="맑은 고딕" w:eastAsia="맑은 고딕" w:cs="맑은 고딕"/>
        </w:rPr>
        <w:t>• 치킨전문점은 ε²=0.0002로 차이가 사실상 없고 통계적으로도 유의하지 않았다.</w:t>
      </w:r>
    </w:p>
    <w:p>
      <w:pPr>
        <w:ind w:left="173"/>
      </w:pPr>
      <w:r>
        <w:rPr>
          <w:b w:val="0"/>
          <w:i w:val="0"/>
          <w:sz w:val="21"/>
          <w:rFonts w:ascii="맑은 고딕" w:hAnsi="맑은 고딕" w:eastAsia="맑은 고딕" w:cs="맑은 고딕"/>
        </w:rPr>
        <w:t>• 골목상권 안에서 자치구를 비교한 분석은 확인 가능한 3개 업종 모두 Bonferroni 기준을 통과하지 못했다.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상권유형 차이</w:t>
            </w:r>
          </w:p>
        </w:tc>
        <w:tc>
          <w:tcPr>
            <w:tcW w:type="dxa" w:w="5256"/>
          </w:tcPr>
          <w:p>
            <w:r>
              <w:rPr>
                <w:sz w:val="17"/>
                <w:rFonts w:ascii="맑은 고딕" w:hAnsi="맑은 고딕" w:eastAsia="맑은 고딕" w:cs="맑은 고딕"/>
              </w:rPr>
              <w:t>10개 업종 중 8개 유의</w:t>
            </w:r>
          </w:p>
        </w:tc>
      </w:tr>
      <w:tr>
        <w:tc>
          <w:tcPr>
            <w:tcW w:type="dxa" w:w="5256"/>
          </w:tcPr>
          <w:p>
            <w:r>
              <w:rPr>
                <w:sz w:val="17"/>
                <w:rFonts w:ascii="맑은 고딕" w:hAnsi="맑은 고딕" w:eastAsia="맑은 고딕" w:cs="맑은 고딕"/>
              </w:rPr>
              <w:t>가장 큰 효과</w:t>
            </w:r>
          </w:p>
        </w:tc>
        <w:tc>
          <w:tcPr>
            <w:tcW w:type="dxa" w:w="5256"/>
          </w:tcPr>
          <w:p>
            <w:r>
              <w:rPr>
                <w:sz w:val="17"/>
                <w:rFonts w:ascii="맑은 고딕" w:hAnsi="맑은 고딕" w:eastAsia="맑은 고딕" w:cs="맑은 고딕"/>
              </w:rPr>
              <w:t>호프·간이주점 ε²=0.1202</w:t>
            </w:r>
          </w:p>
        </w:tc>
      </w:tr>
      <w:tr>
        <w:tc>
          <w:tcPr>
            <w:tcW w:type="dxa" w:w="5256"/>
          </w:tcPr>
          <w:p>
            <w:r>
              <w:rPr>
                <w:sz w:val="17"/>
                <w:rFonts w:ascii="맑은 고딕" w:hAnsi="맑은 고딕" w:eastAsia="맑은 고딕" w:cs="맑은 고딕"/>
              </w:rPr>
              <w:t>거의 차이 없음</w:t>
            </w:r>
          </w:p>
        </w:tc>
        <w:tc>
          <w:tcPr>
            <w:tcW w:type="dxa" w:w="5256"/>
          </w:tcPr>
          <w:p>
            <w:r>
              <w:rPr>
                <w:sz w:val="17"/>
                <w:rFonts w:ascii="맑은 고딕" w:hAnsi="맑은 고딕" w:eastAsia="맑은 고딕" w:cs="맑은 고딕"/>
              </w:rPr>
              <w:t>치킨전문점 ε²=0.0002</w:t>
            </w:r>
          </w:p>
        </w:tc>
      </w:tr>
      <w:tr>
        <w:tc>
          <w:tcPr>
            <w:tcW w:type="dxa" w:w="5256"/>
          </w:tcPr>
          <w:p>
            <w:r>
              <w:rPr>
                <w:sz w:val="17"/>
                <w:rFonts w:ascii="맑은 고딕" w:hAnsi="맑은 고딕" w:eastAsia="맑은 고딕" w:cs="맑은 고딕"/>
              </w:rPr>
              <w:t>평균 효과크기</w:t>
            </w:r>
          </w:p>
        </w:tc>
        <w:tc>
          <w:tcPr>
            <w:tcW w:type="dxa" w:w="5256"/>
          </w:tcPr>
          <w:p>
            <w:r>
              <w:rPr>
                <w:sz w:val="17"/>
                <w:rFonts w:ascii="맑은 고딕" w:hAnsi="맑은 고딕" w:eastAsia="맑은 고딕" w:cs="맑은 고딕"/>
              </w:rPr>
              <w:t>상권유형 0.0465 &gt; 자치구 0.0211</w:t>
            </w:r>
          </w:p>
        </w:tc>
      </w:tr>
    </w:tbl>
    <w:p>
      <w:r>
        <w:rPr>
          <w:b w:val="0"/>
          <w:i/>
          <w:sz w:val="18"/>
          <w:rFonts w:ascii="맑은 고딕" w:hAnsi="맑은 고딕" w:eastAsia="맑은 고딕" w:cs="맑은 고딕"/>
        </w:rPr>
        <w:t>표 15</w:t>
      </w:r>
    </w:p>
    <w:tbl>
      <w:tblPr>
        <w:tblStyle w:val="LightGrid-Accent1"/>
        <w:tblW w:type="auto" w:w="0"/>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sz w:val="17"/>
                <w:rFonts w:ascii="맑은 고딕" w:hAnsi="맑은 고딕" w:eastAsia="맑은 고딕" w:cs="맑은 고딕"/>
              </w:rPr>
            </w:r>
          </w:p>
        </w:tc>
        <w:tc>
          <w:tcPr>
            <w:tcW w:type="dxa" w:w="1502"/>
          </w:tcPr>
          <w:p>
            <w:r>
              <w:rPr>
                <w:b/>
                <w:sz w:val="17"/>
                <w:rFonts w:ascii="맑은 고딕" w:hAnsi="맑은 고딕" w:eastAsia="맑은 고딕" w:cs="맑은 고딕"/>
              </w:rPr>
              <w:t>그룹수</w:t>
            </w:r>
          </w:p>
        </w:tc>
        <w:tc>
          <w:tcPr>
            <w:tcW w:type="dxa" w:w="1502"/>
          </w:tcPr>
          <w:p>
            <w:r>
              <w:rPr>
                <w:b/>
                <w:sz w:val="17"/>
                <w:rFonts w:ascii="맑은 고딕" w:hAnsi="맑은 고딕" w:eastAsia="맑은 고딕" w:cs="맑은 고딕"/>
              </w:rPr>
              <w:t>H</w:t>
            </w:r>
          </w:p>
        </w:tc>
        <w:tc>
          <w:tcPr>
            <w:tcW w:type="dxa" w:w="1502"/>
          </w:tcPr>
          <w:p>
            <w:r>
              <w:rPr>
                <w:b/>
                <w:sz w:val="17"/>
                <w:rFonts w:ascii="맑은 고딕" w:hAnsi="맑은 고딕" w:eastAsia="맑은 고딕" w:cs="맑은 고딕"/>
              </w:rPr>
              <w:t>n</w:t>
            </w:r>
          </w:p>
        </w:tc>
        <w:tc>
          <w:tcPr>
            <w:tcW w:type="dxa" w:w="1502"/>
          </w:tcPr>
          <w:p>
            <w:r>
              <w:rPr>
                <w:b/>
                <w:sz w:val="17"/>
                <w:rFonts w:ascii="맑은 고딕" w:hAnsi="맑은 고딕" w:eastAsia="맑은 고딕" w:cs="맑은 고딕"/>
              </w:rPr>
              <w:t>p-value</w:t>
            </w:r>
          </w:p>
        </w:tc>
        <w:tc>
          <w:tcPr>
            <w:tcW w:type="dxa" w:w="1502"/>
          </w:tcPr>
          <w:p>
            <w:r>
              <w:rPr>
                <w:b/>
                <w:sz w:val="17"/>
                <w:rFonts w:ascii="맑은 고딕" w:hAnsi="맑은 고딕" w:eastAsia="맑은 고딕" w:cs="맑은 고딕"/>
              </w:rPr>
              <w:t>유의</w:t>
            </w:r>
          </w:p>
        </w:tc>
        <w:tc>
          <w:tcPr>
            <w:tcW w:type="dxa" w:w="1502"/>
          </w:tcPr>
          <w:p>
            <w:r>
              <w:rPr>
                <w:b/>
                <w:sz w:val="17"/>
                <w:rFonts w:ascii="맑은 고딕" w:hAnsi="맑은 고딕" w:eastAsia="맑은 고딕" w:cs="맑은 고딕"/>
              </w:rPr>
              <w:t>eps2</w:t>
            </w:r>
          </w:p>
        </w:tc>
      </w:tr>
      <w:tr>
        <w:tc>
          <w:tcPr>
            <w:tcW w:type="dxa" w:w="1502"/>
          </w:tcPr>
          <w:p>
            <w:r>
              <w:rPr>
                <w:sz w:val="17"/>
                <w:rFonts w:ascii="맑은 고딕" w:hAnsi="맑은 고딕" w:eastAsia="맑은 고딕" w:cs="맑은 고딕"/>
              </w:rPr>
              <w:t>업종</w:t>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c>
          <w:tcPr>
            <w:tcW w:type="dxa" w:w="1502"/>
          </w:tcPr>
          <w:p>
            <w:r>
              <w:rPr>
                <w:sz w:val="17"/>
                <w:rFonts w:ascii="맑은 고딕" w:hAnsi="맑은 고딕" w:eastAsia="맑은 고딕" w:cs="맑은 고딕"/>
              </w:rPr>
            </w:r>
          </w:p>
        </w:tc>
      </w:tr>
      <w:tr>
        <w:tc>
          <w:tcPr>
            <w:tcW w:type="dxa" w:w="1502"/>
          </w:tcPr>
          <w:p>
            <w:r>
              <w:rPr>
                <w:sz w:val="17"/>
                <w:rFonts w:ascii="맑은 고딕" w:hAnsi="맑은 고딕" w:eastAsia="맑은 고딕" w:cs="맑은 고딕"/>
              </w:rPr>
              <w:t>호프-간이주점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86.9</w:t>
            </w:r>
          </w:p>
        </w:tc>
        <w:tc>
          <w:tcPr>
            <w:tcW w:type="dxa" w:w="1502"/>
          </w:tcPr>
          <w:p>
            <w:r>
              <w:rPr>
                <w:sz w:val="17"/>
                <w:rFonts w:ascii="맑은 고딕" w:hAnsi="맑은 고딕" w:eastAsia="맑은 고딕" w:cs="맑은 고딕"/>
              </w:rPr>
              <w:t>709</w:t>
            </w:r>
          </w:p>
        </w:tc>
        <w:tc>
          <w:tcPr>
            <w:tcW w:type="dxa" w:w="1502"/>
          </w:tcPr>
          <w:p>
            <w:r>
              <w:rPr>
                <w:sz w:val="17"/>
                <w:rFonts w:ascii="맑은 고딕" w:hAnsi="맑은 고딕" w:eastAsia="맑은 고딕" w:cs="맑은 고딕"/>
              </w:rPr>
              <w:t>0</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0.1202</w:t>
            </w:r>
          </w:p>
        </w:tc>
      </w:tr>
      <w:tr>
        <w:tc>
          <w:tcPr>
            <w:tcW w:type="dxa" w:w="1502"/>
          </w:tcPr>
          <w:p>
            <w:r>
              <w:rPr>
                <w:sz w:val="17"/>
                <w:rFonts w:ascii="맑은 고딕" w:hAnsi="맑은 고딕" w:eastAsia="맑은 고딕" w:cs="맑은 고딕"/>
              </w:rPr>
              <w:t>커피-음료</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67.4</w:t>
            </w:r>
          </w:p>
        </w:tc>
        <w:tc>
          <w:tcPr>
            <w:tcW w:type="dxa" w:w="1502"/>
          </w:tcPr>
          <w:p>
            <w:r>
              <w:rPr>
                <w:sz w:val="17"/>
                <w:rFonts w:ascii="맑은 고딕" w:hAnsi="맑은 고딕" w:eastAsia="맑은 고딕" w:cs="맑은 고딕"/>
              </w:rPr>
              <w:t>1006</w:t>
            </w:r>
          </w:p>
        </w:tc>
        <w:tc>
          <w:tcPr>
            <w:tcW w:type="dxa" w:w="1502"/>
          </w:tcPr>
          <w:p>
            <w:r>
              <w:rPr>
                <w:sz w:val="17"/>
                <w:rFonts w:ascii="맑은 고딕" w:hAnsi="맑은 고딕" w:eastAsia="맑은 고딕" w:cs="맑은 고딕"/>
              </w:rPr>
              <w:t>0.000000000000002</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0.0652</w:t>
            </w:r>
          </w:p>
        </w:tc>
      </w:tr>
      <w:tr>
        <w:tc>
          <w:tcPr>
            <w:tcW w:type="dxa" w:w="1502"/>
          </w:tcPr>
          <w:p>
            <w:r>
              <w:rPr>
                <w:sz w:val="17"/>
                <w:rFonts w:ascii="맑은 고딕" w:hAnsi="맑은 고딕" w:eastAsia="맑은 고딕" w:cs="맑은 고딕"/>
              </w:rPr>
              <w:t>한식음식점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81</w:t>
            </w:r>
          </w:p>
        </w:tc>
        <w:tc>
          <w:tcPr>
            <w:tcW w:type="dxa" w:w="1502"/>
          </w:tcPr>
          <w:p>
            <w:r>
              <w:rPr>
                <w:sz w:val="17"/>
                <w:rFonts w:ascii="맑은 고딕" w:hAnsi="맑은 고딕" w:eastAsia="맑은 고딕" w:cs="맑은 고딕"/>
              </w:rPr>
              <w:t>1306</w:t>
            </w:r>
          </w:p>
        </w:tc>
        <w:tc>
          <w:tcPr>
            <w:tcW w:type="dxa" w:w="1502"/>
          </w:tcPr>
          <w:p>
            <w:r>
              <w:rPr>
                <w:sz w:val="17"/>
                <w:rFonts w:ascii="맑은 고딕" w:hAnsi="맑은 고딕" w:eastAsia="맑은 고딕" w:cs="맑은 고딕"/>
              </w:rPr>
              <w:t>0</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0.0607</w:t>
            </w:r>
          </w:p>
        </w:tc>
      </w:tr>
      <w:tr>
        <w:tc>
          <w:tcPr>
            <w:tcW w:type="dxa" w:w="1502"/>
          </w:tcPr>
          <w:p>
            <w:r>
              <w:rPr>
                <w:sz w:val="17"/>
                <w:rFonts w:ascii="맑은 고딕" w:hAnsi="맑은 고딕" w:eastAsia="맑은 고딕" w:cs="맑은 고딕"/>
              </w:rPr>
              <w:t>양식음식점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18.8</w:t>
            </w:r>
          </w:p>
        </w:tc>
        <w:tc>
          <w:tcPr>
            <w:tcW w:type="dxa" w:w="1502"/>
          </w:tcPr>
          <w:p>
            <w:r>
              <w:rPr>
                <w:sz w:val="17"/>
                <w:rFonts w:ascii="맑은 고딕" w:hAnsi="맑은 고딕" w:eastAsia="맑은 고딕" w:cs="맑은 고딕"/>
              </w:rPr>
              <w:t>352</w:t>
            </w:r>
          </w:p>
        </w:tc>
        <w:tc>
          <w:tcPr>
            <w:tcW w:type="dxa" w:w="1502"/>
          </w:tcPr>
          <w:p>
            <w:r>
              <w:rPr>
                <w:sz w:val="17"/>
                <w:rFonts w:ascii="맑은 고딕" w:hAnsi="맑은 고딕" w:eastAsia="맑은 고딕" w:cs="맑은 고딕"/>
              </w:rPr>
              <w:t>0.000081024701224</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0.0483</w:t>
            </w:r>
          </w:p>
        </w:tc>
      </w:tr>
      <w:tr>
        <w:tc>
          <w:tcPr>
            <w:tcW w:type="dxa" w:w="1502"/>
          </w:tcPr>
          <w:p>
            <w:r>
              <w:rPr>
                <w:sz w:val="17"/>
                <w:rFonts w:ascii="맑은 고딕" w:hAnsi="맑은 고딕" w:eastAsia="맑은 고딕" w:cs="맑은 고딕"/>
              </w:rPr>
              <w:t>분식전문점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32.5</w:t>
            </w:r>
          </w:p>
        </w:tc>
        <w:tc>
          <w:tcPr>
            <w:tcW w:type="dxa" w:w="1502"/>
          </w:tcPr>
          <w:p>
            <w:r>
              <w:rPr>
                <w:sz w:val="17"/>
                <w:rFonts w:ascii="맑은 고딕" w:hAnsi="맑은 고딕" w:eastAsia="맑은 고딕" w:cs="맑은 고딕"/>
              </w:rPr>
              <w:t>637</w:t>
            </w:r>
          </w:p>
        </w:tc>
        <w:tc>
          <w:tcPr>
            <w:tcW w:type="dxa" w:w="1502"/>
          </w:tcPr>
          <w:p>
            <w:r>
              <w:rPr>
                <w:sz w:val="17"/>
                <w:rFonts w:ascii="맑은 고딕" w:hAnsi="맑은 고딕" w:eastAsia="맑은 고딕" w:cs="맑은 고딕"/>
              </w:rPr>
              <w:t>0.000000088388986</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0.0481</w:t>
            </w:r>
          </w:p>
        </w:tc>
      </w:tr>
      <w:tr>
        <w:tc>
          <w:tcPr>
            <w:tcW w:type="dxa" w:w="1502"/>
          </w:tcPr>
          <w:p>
            <w:r>
              <w:rPr>
                <w:sz w:val="17"/>
                <w:rFonts w:ascii="맑은 고딕" w:hAnsi="맑은 고딕" w:eastAsia="맑은 고딕" w:cs="맑은 고딕"/>
              </w:rPr>
              <w:t>일식음식점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15.6</w:t>
            </w:r>
          </w:p>
        </w:tc>
        <w:tc>
          <w:tcPr>
            <w:tcW w:type="dxa" w:w="1502"/>
          </w:tcPr>
          <w:p>
            <w:r>
              <w:rPr>
                <w:sz w:val="17"/>
                <w:rFonts w:ascii="맑은 고딕" w:hAnsi="맑은 고딕" w:eastAsia="맑은 고딕" w:cs="맑은 고딕"/>
              </w:rPr>
              <w:t>307</w:t>
            </w:r>
          </w:p>
        </w:tc>
        <w:tc>
          <w:tcPr>
            <w:tcW w:type="dxa" w:w="1502"/>
          </w:tcPr>
          <w:p>
            <w:r>
              <w:rPr>
                <w:sz w:val="17"/>
                <w:rFonts w:ascii="맑은 고딕" w:hAnsi="맑은 고딕" w:eastAsia="맑은 고딕" w:cs="맑은 고딕"/>
              </w:rPr>
              <w:t>0.0004</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0.0448</w:t>
            </w:r>
          </w:p>
        </w:tc>
      </w:tr>
      <w:tr>
        <w:tc>
          <w:tcPr>
            <w:tcW w:type="dxa" w:w="1502"/>
          </w:tcPr>
          <w:p>
            <w:r>
              <w:rPr>
                <w:sz w:val="17"/>
                <w:rFonts w:ascii="맑은 고딕" w:hAnsi="맑은 고딕" w:eastAsia="맑은 고딕" w:cs="맑은 고딕"/>
              </w:rPr>
              <w:t>제과점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12.9</w:t>
            </w:r>
          </w:p>
        </w:tc>
        <w:tc>
          <w:tcPr>
            <w:tcW w:type="dxa" w:w="1502"/>
          </w:tcPr>
          <w:p>
            <w:r>
              <w:rPr>
                <w:sz w:val="17"/>
                <w:rFonts w:ascii="맑은 고딕" w:hAnsi="맑은 고딕" w:eastAsia="맑은 고딕" w:cs="맑은 고딕"/>
              </w:rPr>
              <w:t>347</w:t>
            </w:r>
          </w:p>
        </w:tc>
        <w:tc>
          <w:tcPr>
            <w:tcW w:type="dxa" w:w="1502"/>
          </w:tcPr>
          <w:p>
            <w:r>
              <w:rPr>
                <w:sz w:val="17"/>
                <w:rFonts w:ascii="맑은 고딕" w:hAnsi="맑은 고딕" w:eastAsia="맑은 고딕" w:cs="맑은 고딕"/>
              </w:rPr>
              <w:t>0.0015</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0.0318</w:t>
            </w:r>
          </w:p>
        </w:tc>
      </w:tr>
      <w:tr>
        <w:tc>
          <w:tcPr>
            <w:tcW w:type="dxa" w:w="1502"/>
          </w:tcPr>
          <w:p>
            <w:r>
              <w:rPr>
                <w:sz w:val="17"/>
                <w:rFonts w:ascii="맑은 고딕" w:hAnsi="맑은 고딕" w:eastAsia="맑은 고딕" w:cs="맑은 고딕"/>
              </w:rPr>
              <w:t>중식음식점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11</w:t>
            </w:r>
          </w:p>
        </w:tc>
        <w:tc>
          <w:tcPr>
            <w:tcW w:type="dxa" w:w="1502"/>
          </w:tcPr>
          <w:p>
            <w:r>
              <w:rPr>
                <w:sz w:val="17"/>
                <w:rFonts w:ascii="맑은 고딕" w:hAnsi="맑은 고딕" w:eastAsia="맑은 고딕" w:cs="맑은 고딕"/>
              </w:rPr>
              <w:t>302</w:t>
            </w:r>
          </w:p>
        </w:tc>
        <w:tc>
          <w:tcPr>
            <w:tcW w:type="dxa" w:w="1502"/>
          </w:tcPr>
          <w:p>
            <w:r>
              <w:rPr>
                <w:sz w:val="17"/>
                <w:rFonts w:ascii="맑은 고딕" w:hAnsi="맑은 고딕" w:eastAsia="맑은 고딕" w:cs="맑은 고딕"/>
              </w:rPr>
              <w:t>0.0041</w:t>
            </w:r>
          </w:p>
        </w:tc>
        <w:tc>
          <w:tcPr>
            <w:tcW w:type="dxa" w:w="1502"/>
          </w:tcPr>
          <w:p>
            <w:r>
              <w:rPr>
                <w:sz w:val="17"/>
                <w:rFonts w:ascii="맑은 고딕" w:hAnsi="맑은 고딕" w:eastAsia="맑은 고딕" w:cs="맑은 고딕"/>
              </w:rPr>
              <w:t>True</w:t>
            </w:r>
          </w:p>
        </w:tc>
        <w:tc>
          <w:tcPr>
            <w:tcW w:type="dxa" w:w="1502"/>
          </w:tcPr>
          <w:p>
            <w:r>
              <w:rPr>
                <w:sz w:val="17"/>
                <w:rFonts w:ascii="맑은 고딕" w:hAnsi="맑은 고딕" w:eastAsia="맑은 고딕" w:cs="맑은 고딕"/>
              </w:rPr>
              <w:t>0.03</w:t>
            </w:r>
          </w:p>
        </w:tc>
      </w:tr>
      <w:tr>
        <w:tc>
          <w:tcPr>
            <w:tcW w:type="dxa" w:w="1502"/>
          </w:tcPr>
          <w:p>
            <w:r>
              <w:rPr>
                <w:sz w:val="17"/>
                <w:rFonts w:ascii="맑은 고딕" w:hAnsi="맑은 고딕" w:eastAsia="맑은 고딕" w:cs="맑은 고딕"/>
              </w:rPr>
              <w:t>패스트푸드점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7.1</w:t>
            </w:r>
          </w:p>
        </w:tc>
        <w:tc>
          <w:tcPr>
            <w:tcW w:type="dxa" w:w="1502"/>
          </w:tcPr>
          <w:p>
            <w:r>
              <w:rPr>
                <w:sz w:val="17"/>
                <w:rFonts w:ascii="맑은 고딕" w:hAnsi="맑은 고딕" w:eastAsia="맑은 고딕" w:cs="맑은 고딕"/>
              </w:rPr>
              <w:t>322</w:t>
            </w:r>
          </w:p>
        </w:tc>
        <w:tc>
          <w:tcPr>
            <w:tcW w:type="dxa" w:w="1502"/>
          </w:tcPr>
          <w:p>
            <w:r>
              <w:rPr>
                <w:sz w:val="17"/>
                <w:rFonts w:ascii="맑은 고딕" w:hAnsi="맑은 고딕" w:eastAsia="맑은 고딕" w:cs="맑은 고딕"/>
              </w:rPr>
              <w:t>0.0281</w:t>
            </w:r>
          </w:p>
        </w:tc>
        <w:tc>
          <w:tcPr>
            <w:tcW w:type="dxa" w:w="1502"/>
          </w:tcPr>
          <w:p>
            <w:r>
              <w:rPr>
                <w:sz w:val="17"/>
                <w:rFonts w:ascii="맑은 고딕" w:hAnsi="맑은 고딕" w:eastAsia="맑은 고딕" w:cs="맑은 고딕"/>
              </w:rPr>
              <w:t>False</w:t>
            </w:r>
          </w:p>
        </w:tc>
        <w:tc>
          <w:tcPr>
            <w:tcW w:type="dxa" w:w="1502"/>
          </w:tcPr>
          <w:p>
            <w:r>
              <w:rPr>
                <w:sz w:val="17"/>
                <w:rFonts w:ascii="맑은 고딕" w:hAnsi="맑은 고딕" w:eastAsia="맑은 고딕" w:cs="맑은 고딕"/>
              </w:rPr>
              <w:t>0.0161</w:t>
            </w:r>
          </w:p>
        </w:tc>
      </w:tr>
      <w:tr>
        <w:tc>
          <w:tcPr>
            <w:tcW w:type="dxa" w:w="1502"/>
          </w:tcPr>
          <w:p>
            <w:r>
              <w:rPr>
                <w:sz w:val="17"/>
                <w:rFonts w:ascii="맑은 고딕" w:hAnsi="맑은 고딕" w:eastAsia="맑은 고딕" w:cs="맑은 고딕"/>
              </w:rPr>
              <w:t>치킨전문점</w:t>
            </w:r>
          </w:p>
        </w:tc>
        <w:tc>
          <w:tcPr>
            <w:tcW w:type="dxa" w:w="1502"/>
          </w:tcPr>
          <w:p>
            <w:r>
              <w:rPr>
                <w:sz w:val="17"/>
                <w:rFonts w:ascii="맑은 고딕" w:hAnsi="맑은 고딕" w:eastAsia="맑은 고딕" w:cs="맑은 고딕"/>
              </w:rPr>
              <w:t>3</w:t>
            </w:r>
          </w:p>
        </w:tc>
        <w:tc>
          <w:tcPr>
            <w:tcW w:type="dxa" w:w="1502"/>
          </w:tcPr>
          <w:p>
            <w:r>
              <w:rPr>
                <w:sz w:val="17"/>
                <w:rFonts w:ascii="맑은 고딕" w:hAnsi="맑은 고딕" w:eastAsia="맑은 고딕" w:cs="맑은 고딕"/>
              </w:rPr>
              <w:t>2.1</w:t>
            </w:r>
          </w:p>
        </w:tc>
        <w:tc>
          <w:tcPr>
            <w:tcW w:type="dxa" w:w="1502"/>
          </w:tcPr>
          <w:p>
            <w:r>
              <w:rPr>
                <w:sz w:val="17"/>
                <w:rFonts w:ascii="맑은 고딕" w:hAnsi="맑은 고딕" w:eastAsia="맑은 고딕" w:cs="맑은 고딕"/>
              </w:rPr>
              <w:t>341</w:t>
            </w:r>
          </w:p>
        </w:tc>
        <w:tc>
          <w:tcPr>
            <w:tcW w:type="dxa" w:w="1502"/>
          </w:tcPr>
          <w:p>
            <w:r>
              <w:rPr>
                <w:sz w:val="17"/>
                <w:rFonts w:ascii="맑은 고딕" w:hAnsi="맑은 고딕" w:eastAsia="맑은 고딕" w:cs="맑은 고딕"/>
              </w:rPr>
              <w:t>0.3552</w:t>
            </w:r>
          </w:p>
        </w:tc>
        <w:tc>
          <w:tcPr>
            <w:tcW w:type="dxa" w:w="1502"/>
          </w:tcPr>
          <w:p>
            <w:r>
              <w:rPr>
                <w:sz w:val="17"/>
                <w:rFonts w:ascii="맑은 고딕" w:hAnsi="맑은 고딕" w:eastAsia="맑은 고딕" w:cs="맑은 고딕"/>
              </w:rPr>
              <w:t>False</w:t>
            </w:r>
          </w:p>
        </w:tc>
        <w:tc>
          <w:tcPr>
            <w:tcW w:type="dxa" w:w="1502"/>
          </w:tcPr>
          <w:p>
            <w:r>
              <w:rPr>
                <w:sz w:val="17"/>
                <w:rFonts w:ascii="맑은 고딕" w:hAnsi="맑은 고딕" w:eastAsia="맑은 고딕" w:cs="맑은 고딕"/>
              </w:rPr>
              <w:t>0.0002</w:t>
            </w:r>
          </w:p>
        </w:tc>
      </w:tr>
    </w:tbl>
    <w:p>
      <w:r>
        <w:rPr>
          <w:b w:val="0"/>
          <w:i/>
          <w:sz w:val="18"/>
          <w:rFonts w:ascii="맑은 고딕" w:hAnsi="맑은 고딕" w:eastAsia="맑은 고딕" w:cs="맑은 고딕"/>
        </w:rPr>
        <w:t>표 16</w:t>
      </w:r>
    </w:p>
    <w:p>
      <w:r>
        <w:rPr>
          <w:b w:val="0"/>
          <w:i w:val="0"/>
          <w:sz w:val="19"/>
          <w:rFonts w:ascii="맑은 고딕" w:hAnsi="맑은 고딕" w:eastAsia="맑은 고딕" w:cs="맑은 고딕"/>
        </w:rPr>
        <w:t>읽는 법 — 업종을 하나로 고정하고 유형 간 차이를 검정한 결과임. 표본이 커서 p 는 거의 다 유의하므로 판정은 맨 오른쪽 eps2(효과크기) 열로 함.</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“모든 업종이 입지에 민감하다”는 결론은 틀리다. 상권유형의 영향을 많이 받는 업종과 거의 받지 않는 업종을 구분해야 한다. 자치구 결과는 표본이 줄어 검정력이 낮다는 한계도 함께 봐야 한다.</w:t>
      </w:r>
    </w:p>
    <w:p>
      <w:r>
        <w:br w:type="page"/>
      </w:r>
    </w:p>
    <w:p>
      <w:pPr>
        <w:pStyle w:val="Heading1"/>
      </w:pPr>
      <w:r>
        <w:rPr>
          <w:rFonts w:ascii="맑은 고딕" w:hAnsi="맑은 고딕" w:eastAsia="맑은 고딕" w:cs="맑은 고딕"/>
        </w:rPr>
        <w:t>09  성향점수매칭 — 조건을 맞추고 다시 비교</w:t>
      </w:r>
    </w:p>
    <w:p>
      <w:r>
        <w:rPr>
          <w:b/>
          <w:i w:val="0"/>
          <w:sz w:val="22"/>
          <w:rFonts w:ascii="맑은 고딕" w:hAnsi="맑은 고딕" w:eastAsia="맑은 고딕" w:cs="맑은 고딕"/>
        </w:rPr>
        <w:t>핵심 한 줄 — 한식음식점은 단순 비교에서는 더 위험해 보였지만, 규모와 입지가 비슷한 곳끼리 짝지으니 오히려 순감소 위험이 낮았다.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업종별 상권 규모가 너무 달라 그대로 비교하면 “업종 차이”가 아니라 “큰 상권에 많이 들어가 있는가”를 비교하게 된다.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한식음식점을 처리군으로 정하고 점포 수, 유동인구, 면적, 집객시설, 분기를 맞춰 1:1 매칭했다.</w:t>
      </w:r>
    </w:p>
    <w:p>
      <w:pPr>
        <w:ind w:left="173"/>
      </w:pPr>
      <w:r>
        <w:rPr>
          <w:b w:val="0"/>
          <w:i w:val="0"/>
          <w:sz w:val="21"/>
          <w:rFonts w:ascii="맑은 고딕" w:hAnsi="맑은 고딕" w:eastAsia="맑은 고딕" w:cs="맑은 고딕"/>
        </w:rPr>
        <w:t>• 9,957개의 한식음식점 조합 중 6,836쌍이 매칭됐고, 매칭 후 모든 조건 변수의 |SMD|가 0.1 아래로 내려가 비교 가능한 수준이 됐다.</w:t>
      </w:r>
    </w:p>
    <w:p>
      <w:pPr>
        <w:ind w:left="173"/>
      </w:pPr>
      <w:r>
        <w:rPr>
          <w:b w:val="0"/>
          <w:i w:val="0"/>
          <w:sz w:val="21"/>
          <w:rFonts w:ascii="맑은 고딕" w:hAnsi="맑은 고딕" w:eastAsia="맑은 고딕" w:cs="맑은 고딕"/>
        </w:rPr>
        <w:t>• 매칭 전 한식음식점은 +2.38%p 더 위험해 보였지만, 매칭 후 ATT는 −5.46%p로 방향이 반대로 바뀌었다.</w:t>
      </w:r>
    </w:p>
    <w:p>
      <w:pPr>
        <w:ind w:left="173"/>
      </w:pPr>
      <w:r>
        <w:rPr>
          <w:b w:val="0"/>
          <w:i w:val="0"/>
          <w:sz w:val="21"/>
          <w:rFonts w:ascii="맑은 고딕" w:hAnsi="맑은 고딕" w:eastAsia="맑은 고딕" w:cs="맑은 고딕"/>
        </w:rPr>
        <w:t>• McNemar 검정, 상권 단위 부트스트랩 신뢰구간, 캘리퍼·복원 여부를 바꾼 다섯 설계가 모두 같은 방향을 보였다.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매칭 쌍</w:t>
            </w:r>
          </w:p>
        </w:tc>
        <w:tc>
          <w:tcPr>
            <w:tcW w:type="dxa" w:w="5256"/>
          </w:tcPr>
          <w:p>
            <w:r>
              <w:rPr>
                <w:sz w:val="17"/>
                <w:rFonts w:ascii="맑은 고딕" w:hAnsi="맑은 고딕" w:eastAsia="맑은 고딕" w:cs="맑은 고딕"/>
              </w:rPr>
              <w:t>6,836쌍 · 처리군 매칭률 68.7%</w:t>
            </w:r>
          </w:p>
        </w:tc>
      </w:tr>
      <w:tr>
        <w:tc>
          <w:tcPr>
            <w:tcW w:type="dxa" w:w="5256"/>
          </w:tcPr>
          <w:p>
            <w:r>
              <w:rPr>
                <w:sz w:val="17"/>
                <w:rFonts w:ascii="맑은 고딕" w:hAnsi="맑은 고딕" w:eastAsia="맑은 고딕" w:cs="맑은 고딕"/>
              </w:rPr>
              <w:t>단순 격차</w:t>
            </w:r>
          </w:p>
        </w:tc>
        <w:tc>
          <w:tcPr>
            <w:tcW w:type="dxa" w:w="5256"/>
          </w:tcPr>
          <w:p>
            <w:r>
              <w:rPr>
                <w:sz w:val="17"/>
                <w:rFonts w:ascii="맑은 고딕" w:hAnsi="맑은 고딕" w:eastAsia="맑은 고딕" w:cs="맑은 고딕"/>
              </w:rPr>
              <w:t>+2.38%p</w:t>
            </w:r>
          </w:p>
        </w:tc>
      </w:tr>
      <w:tr>
        <w:tc>
          <w:tcPr>
            <w:tcW w:type="dxa" w:w="5256"/>
          </w:tcPr>
          <w:p>
            <w:r>
              <w:rPr>
                <w:sz w:val="17"/>
                <w:rFonts w:ascii="맑은 고딕" w:hAnsi="맑은 고딕" w:eastAsia="맑은 고딕" w:cs="맑은 고딕"/>
              </w:rPr>
              <w:t>매칭 후 ATT</w:t>
            </w:r>
          </w:p>
        </w:tc>
        <w:tc>
          <w:tcPr>
            <w:tcW w:type="dxa" w:w="5256"/>
          </w:tcPr>
          <w:p>
            <w:r>
              <w:rPr>
                <w:sz w:val="17"/>
                <w:rFonts w:ascii="맑은 고딕" w:hAnsi="맑은 고딕" w:eastAsia="맑은 고딕" w:cs="맑은 고딕"/>
              </w:rPr>
              <w:t>−5.46%p</w:t>
            </w:r>
          </w:p>
        </w:tc>
      </w:tr>
      <w:tr>
        <w:tc>
          <w:tcPr>
            <w:tcW w:type="dxa" w:w="5256"/>
          </w:tcPr>
          <w:p>
            <w:r>
              <w:rPr>
                <w:sz w:val="17"/>
                <w:rFonts w:ascii="맑은 고딕" w:hAnsi="맑은 고딕" w:eastAsia="맑은 고딕" w:cs="맑은 고딕"/>
              </w:rPr>
              <w:t>95% CI</w:t>
            </w:r>
          </w:p>
        </w:tc>
        <w:tc>
          <w:tcPr>
            <w:tcW w:type="dxa" w:w="5256"/>
          </w:tcPr>
          <w:p>
            <w:r>
              <w:rPr>
                <w:sz w:val="17"/>
                <w:rFonts w:ascii="맑은 고딕" w:hAnsi="맑은 고딕" w:eastAsia="맑은 고딕" w:cs="맑은 고딕"/>
              </w:rPr>
              <w:t>−6.77%p ~ −3.81%p</w:t>
            </w:r>
          </w:p>
        </w:tc>
      </w:tr>
      <w:tr>
        <w:tc>
          <w:tcPr>
            <w:tcW w:type="dxa" w:w="5256"/>
          </w:tcPr>
          <w:p>
            <w:r>
              <w:rPr>
                <w:sz w:val="17"/>
                <w:rFonts w:ascii="맑은 고딕" w:hAnsi="맑은 고딕" w:eastAsia="맑은 고딕" w:cs="맑은 고딕"/>
              </w:rPr>
              <w:t>민감도 분석</w:t>
            </w:r>
          </w:p>
        </w:tc>
        <w:tc>
          <w:tcPr>
            <w:tcW w:type="dxa" w:w="5256"/>
          </w:tcPr>
          <w:p>
            <w:r>
              <w:rPr>
                <w:sz w:val="17"/>
                <w:rFonts w:ascii="맑은 고딕" w:hAnsi="맑은 고딕" w:eastAsia="맑은 고딕" w:cs="맑은 고딕"/>
              </w:rPr>
              <w:t>−5.59%p ~ −4.43%p</w:t>
            </w:r>
          </w:p>
        </w:tc>
      </w:tr>
    </w:tbl>
    <w:p>
      <w:r>
        <w:rPr>
          <w:b w:val="0"/>
          <w:i/>
          <w:sz w:val="18"/>
          <w:rFonts w:ascii="맑은 고딕" w:hAnsi="맑은 고딕" w:eastAsia="맑은 고딕" w:cs="맑은 고딕"/>
        </w:rPr>
        <w:t>표 17</w:t>
      </w:r>
    </w:p>
    <w:p>
      <w:pPr>
        <w:jc w:val="center"/>
      </w:pPr>
      <w:r>
        <w:drawing>
          <wp:inline xmlns:a="http://schemas.openxmlformats.org/drawingml/2006/main" xmlns:pic="http://schemas.openxmlformats.org/drawingml/2006/picture">
            <wp:extent cx="6035040" cy="2865885"/>
            <wp:docPr id="5" name="Picture 5"/>
            <wp:cNvGraphicFramePr>
              <a:graphicFrameLocks noChangeAspect="1"/>
            </wp:cNvGraphicFramePr>
            <a:graphic>
              <a:graphicData uri="http://schemas.openxmlformats.org/drawingml/2006/picture">
                <pic:pic>
                  <pic:nvPicPr>
                    <pic:cNvPr id="0" name="g5.png"/>
                    <pic:cNvPicPr/>
                  </pic:nvPicPr>
                  <pic:blipFill>
                    <a:blip r:embed="rId13"/>
                    <a:stretch>
                      <a:fillRect/>
                    </a:stretch>
                  </pic:blipFill>
                  <pic:spPr>
                    <a:xfrm>
                      <a:off x="0" y="0"/>
                      <a:ext cx="6035040" cy="2865885"/>
                    </a:xfrm>
                    <a:prstGeom prst="rect"/>
                  </pic:spPr>
                </pic:pic>
              </a:graphicData>
            </a:graphic>
          </wp:inline>
        </w:drawing>
      </w:r>
    </w:p>
    <w:p>
      <w:pPr>
        <w:jc w:val="center"/>
      </w:pPr>
      <w:r>
        <w:rPr>
          <w:b w:val="0"/>
          <w:i/>
          <w:sz w:val="18"/>
          <w:rFonts w:ascii="맑은 고딕" w:hAnsi="맑은 고딕" w:eastAsia="맑은 고딕" w:cs="맑은 고딕"/>
        </w:rPr>
        <w:t>그림 5</w:t>
      </w:r>
    </w:p>
    <w:p>
      <w:r>
        <w:rPr>
          <w:b w:val="0"/>
          <w:i w:val="0"/>
          <w:sz w:val="19"/>
          <w:rFonts w:ascii="맑은 고딕" w:hAnsi="맑은 고딕" w:eastAsia="맑은 고딕" w:cs="맑은 고딕"/>
        </w:rPr>
        <w:t>읽는 법 — 붉은 점이 매칭 전, 파란 점이 매칭 후 |SMD| 임. 점선 0.1 왼쪽으로 모두 들어와야 비교가 성립함.</w:t>
      </w:r>
    </w:p>
    <w:tbl>
      <w:tblPr>
        <w:tblStyle w:val="LightGrid-Accent1"/>
        <w:tblW w:type="auto" w:w="0"/>
        <w:tblLook w:firstColumn="1" w:firstRow="1" w:lastColumn="0" w:lastRow="0" w:noHBand="0" w:noVBand="1" w:val="04A0"/>
      </w:tblPr>
      <w:tblGrid>
        <w:gridCol w:w="2102"/>
        <w:gridCol w:w="2102"/>
        <w:gridCol w:w="2102"/>
        <w:gridCol w:w="2102"/>
        <w:gridCol w:w="2102"/>
      </w:tblGrid>
      <w:tr>
        <w:tc>
          <w:tcPr>
            <w:tcW w:type="dxa" w:w="2102"/>
          </w:tcPr>
          <w:p>
            <w:r>
              <w:rPr>
                <w:b/>
                <w:sz w:val="17"/>
                <w:rFonts w:ascii="맑은 고딕" w:hAnsi="맑은 고딕" w:eastAsia="맑은 고딕" w:cs="맑은 고딕"/>
              </w:rPr>
            </w:r>
          </w:p>
        </w:tc>
        <w:tc>
          <w:tcPr>
            <w:tcW w:type="dxa" w:w="2102"/>
          </w:tcPr>
          <w:p>
            <w:r>
              <w:rPr>
                <w:b/>
                <w:sz w:val="17"/>
                <w:rFonts w:ascii="맑은 고딕" w:hAnsi="맑은 고딕" w:eastAsia="맑은 고딕" w:cs="맑은 고딕"/>
              </w:rPr>
              <w:t>쌍수</w:t>
            </w:r>
          </w:p>
        </w:tc>
        <w:tc>
          <w:tcPr>
            <w:tcW w:type="dxa" w:w="2102"/>
          </w:tcPr>
          <w:p>
            <w:r>
              <w:rPr>
                <w:b/>
                <w:sz w:val="17"/>
                <w:rFonts w:ascii="맑은 고딕" w:hAnsi="맑은 고딕" w:eastAsia="맑은 고딕" w:cs="맑은 고딕"/>
              </w:rPr>
              <w:t>처리군_순감소율</w:t>
            </w:r>
          </w:p>
        </w:tc>
        <w:tc>
          <w:tcPr>
            <w:tcW w:type="dxa" w:w="2102"/>
          </w:tcPr>
          <w:p>
            <w:r>
              <w:rPr>
                <w:b/>
                <w:sz w:val="17"/>
                <w:rFonts w:ascii="맑은 고딕" w:hAnsi="맑은 고딕" w:eastAsia="맑은 고딕" w:cs="맑은 고딕"/>
              </w:rPr>
              <w:t>대조군_순감소율</w:t>
            </w:r>
          </w:p>
        </w:tc>
        <w:tc>
          <w:tcPr>
            <w:tcW w:type="dxa" w:w="2102"/>
          </w:tcPr>
          <w:p>
            <w:r>
              <w:rPr>
                <w:b/>
                <w:sz w:val="17"/>
                <w:rFonts w:ascii="맑은 고딕" w:hAnsi="맑은 고딕" w:eastAsia="맑은 고딕" w:cs="맑은 고딕"/>
              </w:rPr>
              <w:t>ATT(%p)</w:t>
            </w:r>
          </w:p>
        </w:tc>
      </w:tr>
      <w:tr>
        <w:tc>
          <w:tcPr>
            <w:tcW w:type="dxa" w:w="2102"/>
          </w:tcPr>
          <w:p>
            <w:r>
              <w:rPr>
                <w:sz w:val="17"/>
                <w:rFonts w:ascii="맑은 고딕" w:hAnsi="맑은 고딕" w:eastAsia="맑은 고딕" w:cs="맑은 고딕"/>
              </w:rPr>
              <w:t>상권유형</w:t>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r>
      <w:tr>
        <w:tc>
          <w:tcPr>
            <w:tcW w:type="dxa" w:w="2102"/>
          </w:tcPr>
          <w:p>
            <w:r>
              <w:rPr>
                <w:sz w:val="17"/>
                <w:rFonts w:ascii="맑은 고딕" w:hAnsi="맑은 고딕" w:eastAsia="맑은 고딕" w:cs="맑은 고딕"/>
              </w:rPr>
              <w:t>골목상권</w:t>
            </w:r>
          </w:p>
        </w:tc>
        <w:tc>
          <w:tcPr>
            <w:tcW w:type="dxa" w:w="2102"/>
          </w:tcPr>
          <w:p>
            <w:r>
              <w:rPr>
                <w:sz w:val="17"/>
                <w:rFonts w:ascii="맑은 고딕" w:hAnsi="맑은 고딕" w:eastAsia="맑은 고딕" w:cs="맑은 고딕"/>
              </w:rPr>
              <w:t>6848</w:t>
            </w:r>
          </w:p>
        </w:tc>
        <w:tc>
          <w:tcPr>
            <w:tcW w:type="dxa" w:w="2102"/>
          </w:tcPr>
          <w:p>
            <w:r>
              <w:rPr>
                <w:sz w:val="17"/>
                <w:rFonts w:ascii="맑은 고딕" w:hAnsi="맑은 고딕" w:eastAsia="맑은 고딕" w:cs="맑은 고딕"/>
              </w:rPr>
              <w:t>0.228</w:t>
            </w:r>
          </w:p>
        </w:tc>
        <w:tc>
          <w:tcPr>
            <w:tcW w:type="dxa" w:w="2102"/>
          </w:tcPr>
          <w:p>
            <w:r>
              <w:rPr>
                <w:sz w:val="17"/>
                <w:rFonts w:ascii="맑은 고딕" w:hAnsi="맑은 고딕" w:eastAsia="맑은 고딕" w:cs="맑은 고딕"/>
              </w:rPr>
              <w:t>0.282</w:t>
            </w:r>
          </w:p>
        </w:tc>
        <w:tc>
          <w:tcPr>
            <w:tcW w:type="dxa" w:w="2102"/>
          </w:tcPr>
          <w:p>
            <w:r>
              <w:rPr>
                <w:sz w:val="17"/>
                <w:rFonts w:ascii="맑은 고딕" w:hAnsi="맑은 고딕" w:eastAsia="맑은 고딕" w:cs="맑은 고딕"/>
              </w:rPr>
              <w:t>-5.39</w:t>
            </w:r>
          </w:p>
        </w:tc>
      </w:tr>
      <w:tr>
        <w:tc>
          <w:tcPr>
            <w:tcW w:type="dxa" w:w="2102"/>
          </w:tcPr>
          <w:p>
            <w:r>
              <w:rPr>
                <w:sz w:val="17"/>
                <w:rFonts w:ascii="맑은 고딕" w:hAnsi="맑은 고딕" w:eastAsia="맑은 고딕" w:cs="맑은 고딕"/>
              </w:rPr>
              <w:t>관광특구</w:t>
            </w:r>
          </w:p>
        </w:tc>
        <w:tc>
          <w:tcPr>
            <w:tcW w:type="dxa" w:w="2102"/>
          </w:tcPr>
          <w:p>
            <w:r>
              <w:rPr>
                <w:sz w:val="17"/>
                <w:rFonts w:ascii="맑은 고딕" w:hAnsi="맑은 고딕" w:eastAsia="맑은 고딕" w:cs="맑은 고딕"/>
              </w:rPr>
              <w:t>50</w:t>
            </w:r>
          </w:p>
        </w:tc>
        <w:tc>
          <w:tcPr>
            <w:tcW w:type="dxa" w:w="2102"/>
          </w:tcPr>
          <w:p>
            <w:r>
              <w:rPr>
                <w:sz w:val="17"/>
                <w:rFonts w:ascii="맑은 고딕" w:hAnsi="맑은 고딕" w:eastAsia="맑은 고딕" w:cs="맑은 고딕"/>
              </w:rPr>
              <w:t>0.34</w:t>
            </w:r>
          </w:p>
        </w:tc>
        <w:tc>
          <w:tcPr>
            <w:tcW w:type="dxa" w:w="2102"/>
          </w:tcPr>
          <w:p>
            <w:r>
              <w:rPr>
                <w:sz w:val="17"/>
                <w:rFonts w:ascii="맑은 고딕" w:hAnsi="맑은 고딕" w:eastAsia="맑은 고딕" w:cs="맑은 고딕"/>
              </w:rPr>
              <w:t>0.46</w:t>
            </w:r>
          </w:p>
        </w:tc>
        <w:tc>
          <w:tcPr>
            <w:tcW w:type="dxa" w:w="2102"/>
          </w:tcPr>
          <w:p>
            <w:r>
              <w:rPr>
                <w:sz w:val="17"/>
                <w:rFonts w:ascii="맑은 고딕" w:hAnsi="맑은 고딕" w:eastAsia="맑은 고딕" w:cs="맑은 고딕"/>
              </w:rPr>
              <w:t>-12</w:t>
            </w:r>
          </w:p>
        </w:tc>
      </w:tr>
      <w:tr>
        <w:tc>
          <w:tcPr>
            <w:tcW w:type="dxa" w:w="2102"/>
          </w:tcPr>
          <w:p>
            <w:r>
              <w:rPr>
                <w:sz w:val="17"/>
                <w:rFonts w:ascii="맑은 고딕" w:hAnsi="맑은 고딕" w:eastAsia="맑은 고딕" w:cs="맑은 고딕"/>
              </w:rPr>
              <w:t>발달상권</w:t>
            </w:r>
          </w:p>
        </w:tc>
        <w:tc>
          <w:tcPr>
            <w:tcW w:type="dxa" w:w="2102"/>
          </w:tcPr>
          <w:p>
            <w:r>
              <w:rPr>
                <w:sz w:val="17"/>
                <w:rFonts w:ascii="맑은 고딕" w:hAnsi="맑은 고딕" w:eastAsia="맑은 고딕" w:cs="맑은 고딕"/>
              </w:rPr>
              <w:t>1710</w:t>
            </w:r>
          </w:p>
        </w:tc>
        <w:tc>
          <w:tcPr>
            <w:tcW w:type="dxa" w:w="2102"/>
          </w:tcPr>
          <w:p>
            <w:r>
              <w:rPr>
                <w:sz w:val="17"/>
                <w:rFonts w:ascii="맑은 고딕" w:hAnsi="맑은 고딕" w:eastAsia="맑은 고딕" w:cs="맑은 고딕"/>
              </w:rPr>
              <w:t>0.347</w:t>
            </w:r>
          </w:p>
        </w:tc>
        <w:tc>
          <w:tcPr>
            <w:tcW w:type="dxa" w:w="2102"/>
          </w:tcPr>
          <w:p>
            <w:r>
              <w:rPr>
                <w:sz w:val="17"/>
                <w:rFonts w:ascii="맑은 고딕" w:hAnsi="맑은 고딕" w:eastAsia="맑은 고딕" w:cs="맑은 고딕"/>
              </w:rPr>
              <w:t>0.44</w:t>
            </w:r>
          </w:p>
        </w:tc>
        <w:tc>
          <w:tcPr>
            <w:tcW w:type="dxa" w:w="2102"/>
          </w:tcPr>
          <w:p>
            <w:r>
              <w:rPr>
                <w:sz w:val="17"/>
                <w:rFonts w:ascii="맑은 고딕" w:hAnsi="맑은 고딕" w:eastAsia="맑은 고딕" w:cs="맑은 고딕"/>
              </w:rPr>
              <w:t>-9.3</w:t>
            </w:r>
          </w:p>
        </w:tc>
      </w:tr>
      <w:tr>
        <w:tc>
          <w:tcPr>
            <w:tcW w:type="dxa" w:w="2102"/>
          </w:tcPr>
          <w:p>
            <w:r>
              <w:rPr>
                <w:sz w:val="17"/>
                <w:rFonts w:ascii="맑은 고딕" w:hAnsi="맑은 고딕" w:eastAsia="맑은 고딕" w:cs="맑은 고딕"/>
              </w:rPr>
              <w:t>전통시장</w:t>
            </w:r>
          </w:p>
        </w:tc>
        <w:tc>
          <w:tcPr>
            <w:tcW w:type="dxa" w:w="2102"/>
          </w:tcPr>
          <w:p>
            <w:r>
              <w:rPr>
                <w:sz w:val="17"/>
                <w:rFonts w:ascii="맑은 고딕" w:hAnsi="맑은 고딕" w:eastAsia="맑은 고딕" w:cs="맑은 고딕"/>
              </w:rPr>
              <w:t>1422</w:t>
            </w:r>
          </w:p>
        </w:tc>
        <w:tc>
          <w:tcPr>
            <w:tcW w:type="dxa" w:w="2102"/>
          </w:tcPr>
          <w:p>
            <w:r>
              <w:rPr>
                <w:sz w:val="17"/>
                <w:rFonts w:ascii="맑은 고딕" w:hAnsi="맑은 고딕" w:eastAsia="맑은 고딕" w:cs="맑은 고딕"/>
              </w:rPr>
              <w:t>0.211</w:t>
            </w:r>
          </w:p>
        </w:tc>
        <w:tc>
          <w:tcPr>
            <w:tcW w:type="dxa" w:w="2102"/>
          </w:tcPr>
          <w:p>
            <w:r>
              <w:rPr>
                <w:sz w:val="17"/>
                <w:rFonts w:ascii="맑은 고딕" w:hAnsi="맑은 고딕" w:eastAsia="맑은 고딕" w:cs="맑은 고딕"/>
              </w:rPr>
              <w:t>0.296</w:t>
            </w:r>
          </w:p>
        </w:tc>
        <w:tc>
          <w:tcPr>
            <w:tcW w:type="dxa" w:w="2102"/>
          </w:tcPr>
          <w:p>
            <w:r>
              <w:rPr>
                <w:sz w:val="17"/>
                <w:rFonts w:ascii="맑은 고딕" w:hAnsi="맑은 고딕" w:eastAsia="맑은 고딕" w:cs="맑은 고딕"/>
              </w:rPr>
              <w:t>-8.51</w:t>
            </w:r>
          </w:p>
        </w:tc>
      </w:tr>
    </w:tbl>
    <w:p>
      <w:r>
        <w:rPr>
          <w:b w:val="0"/>
          <w:i/>
          <w:sz w:val="18"/>
          <w:rFonts w:ascii="맑은 고딕" w:hAnsi="맑은 고딕" w:eastAsia="맑은 고딕" w:cs="맑은 고딕"/>
        </w:rPr>
        <w:t>표 18</w:t>
      </w:r>
    </w:p>
    <w:p>
      <w:r>
        <w:rPr>
          <w:b w:val="0"/>
          <w:i w:val="0"/>
          <w:sz w:val="19"/>
          <w:rFonts w:ascii="맑은 고딕" w:hAnsi="맑은 고딕" w:eastAsia="맑은 고딕" w:cs="맑은 고딕"/>
        </w:rPr>
        <w:t>읽는 법 — 유형별로 따로 낸 ATT 임. 쌍이 50개뿐인 관광특구는 참고용이고, 나머지 세 유형에서 부호가 같은지가 판정 근거임.</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“한식음식점 자체가 위험하다”는 단순 해석은 지지되지 않았다. 다만 ATT는 매칭이 가능한 한식음식점 집단에서의 평균 차이이므로 모든 한식음식점에 그대로 일반화하는 데는 주의가 필요하다.</w:t>
      </w:r>
    </w:p>
    <w:p>
      <w:r>
        <w:br w:type="page"/>
      </w:r>
    </w:p>
    <w:p>
      <w:pPr>
        <w:pStyle w:val="Heading1"/>
      </w:pPr>
      <w:r>
        <w:rPr>
          <w:rFonts w:ascii="맑은 고딕" w:hAnsi="맑은 고딕" w:eastAsia="맑은 고딕" w:cs="맑은 고딕"/>
        </w:rPr>
        <w:t>10  사후검정 — 어느 상권유형이 실제로 다른가</w:t>
      </w:r>
    </w:p>
    <w:p>
      <w:r>
        <w:rPr>
          <w:b/>
          <w:i w:val="0"/>
          <w:sz w:val="22"/>
          <w:rFonts w:ascii="맑은 고딕" w:hAnsi="맑은 고딕" w:eastAsia="맑은 고딕" w:cs="맑은 고딕"/>
        </w:rPr>
        <w:t>핵심 한 줄 — 전체적으로 차이가 있다는 것만으로는 부족해, Dunn 사후검정으로 상권유형을 두 개씩 비교했다. 전통시장과 골목상권만 뚜렷하게 구분되지 않았다.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Kruskal-Wallis는 “어딘가 다르다”까지만 알려준다. 정책적으로는 정확히 어느 유형과 어느 유형 사이가 다른지 알아야 한다.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상권유형 4개에서 가능한 6쌍 중 5쌍이 Bonferroni 보정 후에도 유의했다.</w:t>
      </w:r>
    </w:p>
    <w:p>
      <w:pPr>
        <w:ind w:left="173"/>
      </w:pPr>
      <w:r>
        <w:rPr>
          <w:b w:val="0"/>
          <w:i w:val="0"/>
          <w:sz w:val="21"/>
          <w:rFonts w:ascii="맑은 고딕" w:hAnsi="맑은 고딕" w:eastAsia="맑은 고딕" w:cs="맑은 고딕"/>
        </w:rPr>
        <w:t>• 전통시장과 골목상권은 p=0.321로 유의한 차이가 없었다.</w:t>
      </w:r>
    </w:p>
    <w:p>
      <w:pPr>
        <w:ind w:left="173"/>
      </w:pPr>
      <w:r>
        <w:rPr>
          <w:b w:val="0"/>
          <w:i w:val="0"/>
          <w:sz w:val="21"/>
          <w:rFonts w:ascii="맑은 고딕" w:hAnsi="맑은 고딕" w:eastAsia="맑은 고딕" w:cs="맑은 고딕"/>
        </w:rPr>
        <w:t>• 발달상권은 전통시장·골목상권보다 높았고, 관광특구는 세 유형 모두보다 높았다.</w:t>
      </w:r>
    </w:p>
    <w:p>
      <w:pPr>
        <w:ind w:left="173"/>
      </w:pPr>
      <w:r>
        <w:rPr>
          <w:b w:val="0"/>
          <w:i w:val="0"/>
          <w:sz w:val="21"/>
          <w:rFonts w:ascii="맑은 고딕" w:hAnsi="맑은 고딕" w:eastAsia="맑은 고딕" w:cs="맑은 고딕"/>
        </w:rPr>
        <w:t>• 골목상권 안의 자치구 25개를 쌍으로 비교한 300개 조합에서는 유의한 쌍이 3개(1.0%)뿐이었다.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상권유형 결과</w:t>
            </w:r>
          </w:p>
        </w:tc>
        <w:tc>
          <w:tcPr>
            <w:tcW w:type="dxa" w:w="5256"/>
          </w:tcPr>
          <w:p>
            <w:r>
              <w:rPr>
                <w:sz w:val="17"/>
                <w:rFonts w:ascii="맑은 고딕" w:hAnsi="맑은 고딕" w:eastAsia="맑은 고딕" w:cs="맑은 고딕"/>
              </w:rPr>
              <w:t>{전통시장 ≈ 골목상권} &lt; 발달상권 &lt; 관광특구</w:t>
            </w:r>
          </w:p>
        </w:tc>
      </w:tr>
      <w:tr>
        <w:tc>
          <w:tcPr>
            <w:tcW w:type="dxa" w:w="5256"/>
          </w:tcPr>
          <w:p>
            <w:r>
              <w:rPr>
                <w:sz w:val="17"/>
                <w:rFonts w:ascii="맑은 고딕" w:hAnsi="맑은 고딕" w:eastAsia="맑은 고딕" w:cs="맑은 고딕"/>
              </w:rPr>
              <w:t>유의한 유형 쌍</w:t>
            </w:r>
          </w:p>
        </w:tc>
        <w:tc>
          <w:tcPr>
            <w:tcW w:type="dxa" w:w="5256"/>
          </w:tcPr>
          <w:p>
            <w:r>
              <w:rPr>
                <w:sz w:val="17"/>
                <w:rFonts w:ascii="맑은 고딕" w:hAnsi="맑은 고딕" w:eastAsia="맑은 고딕" w:cs="맑은 고딕"/>
              </w:rPr>
              <w:t>5/6</w:t>
            </w:r>
          </w:p>
        </w:tc>
      </w:tr>
      <w:tr>
        <w:tc>
          <w:tcPr>
            <w:tcW w:type="dxa" w:w="5256"/>
          </w:tcPr>
          <w:p>
            <w:r>
              <w:rPr>
                <w:sz w:val="17"/>
                <w:rFonts w:ascii="맑은 고딕" w:hAnsi="맑은 고딕" w:eastAsia="맑은 고딕" w:cs="맑은 고딕"/>
              </w:rPr>
              <w:t>유의한 자치구 쌍</w:t>
            </w:r>
          </w:p>
        </w:tc>
        <w:tc>
          <w:tcPr>
            <w:tcW w:type="dxa" w:w="5256"/>
          </w:tcPr>
          <w:p>
            <w:r>
              <w:rPr>
                <w:sz w:val="17"/>
                <w:rFonts w:ascii="맑은 고딕" w:hAnsi="맑은 고딕" w:eastAsia="맑은 고딕" w:cs="맑은 고딕"/>
              </w:rPr>
              <w:t>3/300 · 1.0%</w:t>
            </w:r>
          </w:p>
        </w:tc>
      </w:tr>
      <w:tr>
        <w:tc>
          <w:tcPr>
            <w:tcW w:type="dxa" w:w="5256"/>
          </w:tcPr>
          <w:p>
            <w:r>
              <w:rPr>
                <w:sz w:val="17"/>
                <w:rFonts w:ascii="맑은 고딕" w:hAnsi="맑은 고딕" w:eastAsia="맑은 고딕" w:cs="맑은 고딕"/>
              </w:rPr>
              <w:t>실무 단위</w:t>
            </w:r>
          </w:p>
        </w:tc>
        <w:tc>
          <w:tcPr>
            <w:tcW w:type="dxa" w:w="5256"/>
          </w:tcPr>
          <w:p>
            <w:r>
              <w:rPr>
                <w:sz w:val="17"/>
                <w:rFonts w:ascii="맑은 고딕" w:hAnsi="맑은 고딕" w:eastAsia="맑은 고딕" w:cs="맑은 고딕"/>
              </w:rPr>
              <w:t>자치구보다 개별 상권</w:t>
            </w:r>
          </w:p>
        </w:tc>
      </w:tr>
    </w:tbl>
    <w:p>
      <w:r>
        <w:rPr>
          <w:b w:val="0"/>
          <w:i/>
          <w:sz w:val="18"/>
          <w:rFonts w:ascii="맑은 고딕" w:hAnsi="맑은 고딕" w:eastAsia="맑은 고딕" w:cs="맑은 고딕"/>
        </w:rPr>
        <w:t>표 19</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Pr>
                <w:b/>
                <w:sz w:val="17"/>
                <w:rFonts w:ascii="맑은 고딕" w:hAnsi="맑은 고딕" w:eastAsia="맑은 고딕" w:cs="맑은 고딕"/>
              </w:rPr>
            </w:r>
          </w:p>
        </w:tc>
        <w:tc>
          <w:tcPr>
            <w:tcW w:type="dxa" w:w="2628"/>
          </w:tcPr>
          <w:p>
            <w:r>
              <w:rPr>
                <w:b/>
                <w:sz w:val="17"/>
                <w:rFonts w:ascii="맑은 고딕" w:hAnsi="맑은 고딕" w:eastAsia="맑은 고딕" w:cs="맑은 고딕"/>
              </w:rPr>
              <w:t>median</w:t>
            </w:r>
          </w:p>
        </w:tc>
        <w:tc>
          <w:tcPr>
            <w:tcW w:type="dxa" w:w="2628"/>
          </w:tcPr>
          <w:p>
            <w:r>
              <w:rPr>
                <w:b/>
                <w:sz w:val="17"/>
                <w:rFonts w:ascii="맑은 고딕" w:hAnsi="맑은 고딕" w:eastAsia="맑은 고딕" w:cs="맑은 고딕"/>
              </w:rPr>
              <w:t>mean</w:t>
            </w:r>
          </w:p>
        </w:tc>
        <w:tc>
          <w:tcPr>
            <w:tcW w:type="dxa" w:w="2628"/>
          </w:tcPr>
          <w:p>
            <w:r>
              <w:rPr>
                <w:b/>
                <w:sz w:val="17"/>
                <w:rFonts w:ascii="맑은 고딕" w:hAnsi="맑은 고딕" w:eastAsia="맑은 고딕" w:cs="맑은 고딕"/>
              </w:rPr>
              <w:t>size</w:t>
            </w:r>
          </w:p>
        </w:tc>
      </w:tr>
      <w:tr>
        <w:tc>
          <w:tcPr>
            <w:tcW w:type="dxa" w:w="2628"/>
          </w:tcPr>
          <w:p>
            <w:r>
              <w:rPr>
                <w:sz w:val="17"/>
                <w:rFonts w:ascii="맑은 고딕" w:hAnsi="맑은 고딕" w:eastAsia="맑은 고딕" w:cs="맑은 고딕"/>
              </w:rPr>
              <w:t>상권유형</w:t>
            </w:r>
          </w:p>
        </w:tc>
        <w:tc>
          <w:tcPr>
            <w:tcW w:type="dxa" w:w="2628"/>
          </w:tcPr>
          <w:p>
            <w:r>
              <w:rPr>
                <w:sz w:val="17"/>
                <w:rFonts w:ascii="맑은 고딕" w:hAnsi="맑은 고딕" w:eastAsia="맑은 고딕" w:cs="맑은 고딕"/>
              </w:rPr>
            </w:r>
          </w:p>
        </w:tc>
        <w:tc>
          <w:tcPr>
            <w:tcW w:type="dxa" w:w="2628"/>
          </w:tcPr>
          <w:p>
            <w:r>
              <w:rPr>
                <w:sz w:val="17"/>
                <w:rFonts w:ascii="맑은 고딕" w:hAnsi="맑은 고딕" w:eastAsia="맑은 고딕" w:cs="맑은 고딕"/>
              </w:rPr>
            </w:r>
          </w:p>
        </w:tc>
        <w:tc>
          <w:tcPr>
            <w:tcW w:type="dxa" w:w="2628"/>
          </w:tcPr>
          <w:p>
            <w:r>
              <w:rPr>
                <w:sz w:val="17"/>
                <w:rFonts w:ascii="맑은 고딕" w:hAnsi="맑은 고딕" w:eastAsia="맑은 고딕" w:cs="맑은 고딕"/>
              </w:rPr>
            </w:r>
          </w:p>
        </w:tc>
      </w:tr>
      <w:tr>
        <w:tc>
          <w:tcPr>
            <w:tcW w:type="dxa" w:w="2628"/>
          </w:tcPr>
          <w:p>
            <w:r>
              <w:rPr>
                <w:sz w:val="17"/>
                <w:rFonts w:ascii="맑은 고딕" w:hAnsi="맑은 고딕" w:eastAsia="맑은 고딕" w:cs="맑은 고딕"/>
              </w:rPr>
              <w:t>전통시장</w:t>
            </w:r>
          </w:p>
        </w:tc>
        <w:tc>
          <w:tcPr>
            <w:tcW w:type="dxa" w:w="2628"/>
          </w:tcPr>
          <w:p>
            <w:r>
              <w:rPr>
                <w:sz w:val="17"/>
                <w:rFonts w:ascii="맑은 고딕" w:hAnsi="맑은 고딕" w:eastAsia="맑은 고딕" w:cs="맑은 고딕"/>
              </w:rPr>
              <w:t>0.1667</w:t>
            </w:r>
          </w:p>
        </w:tc>
        <w:tc>
          <w:tcPr>
            <w:tcW w:type="dxa" w:w="2628"/>
          </w:tcPr>
          <w:p>
            <w:r>
              <w:rPr>
                <w:sz w:val="17"/>
                <w:rFonts w:ascii="맑은 고딕" w:hAnsi="맑은 고딕" w:eastAsia="맑은 고딕" w:cs="맑은 고딕"/>
              </w:rPr>
              <w:t>0.2176</w:t>
            </w:r>
          </w:p>
        </w:tc>
        <w:tc>
          <w:tcPr>
            <w:tcW w:type="dxa" w:w="2628"/>
          </w:tcPr>
          <w:p>
            <w:r>
              <w:rPr>
                <w:sz w:val="17"/>
                <w:rFonts w:ascii="맑은 고딕" w:hAnsi="맑은 고딕" w:eastAsia="맑은 고딕" w:cs="맑은 고딕"/>
              </w:rPr>
              <w:t>775</w:t>
            </w:r>
          </w:p>
        </w:tc>
      </w:tr>
      <w:tr>
        <w:tc>
          <w:tcPr>
            <w:tcW w:type="dxa" w:w="2628"/>
          </w:tcPr>
          <w:p>
            <w:r>
              <w:rPr>
                <w:sz w:val="17"/>
                <w:rFonts w:ascii="맑은 고딕" w:hAnsi="맑은 고딕" w:eastAsia="맑은 고딕" w:cs="맑은 고딕"/>
              </w:rPr>
              <w:t>골목상권</w:t>
            </w:r>
          </w:p>
        </w:tc>
        <w:tc>
          <w:tcPr>
            <w:tcW w:type="dxa" w:w="2628"/>
          </w:tcPr>
          <w:p>
            <w:r>
              <w:rPr>
                <w:sz w:val="17"/>
                <w:rFonts w:ascii="맑은 고딕" w:hAnsi="맑은 고딕" w:eastAsia="맑은 고딕" w:cs="맑은 고딕"/>
              </w:rPr>
              <w:t>0.25</w:t>
            </w:r>
          </w:p>
        </w:tc>
        <w:tc>
          <w:tcPr>
            <w:tcW w:type="dxa" w:w="2628"/>
          </w:tcPr>
          <w:p>
            <w:r>
              <w:rPr>
                <w:sz w:val="17"/>
                <w:rFonts w:ascii="맑은 고딕" w:hAnsi="맑은 고딕" w:eastAsia="맑은 고딕" w:cs="맑은 고딕"/>
              </w:rPr>
              <w:t>0.2282</w:t>
            </w:r>
          </w:p>
        </w:tc>
        <w:tc>
          <w:tcPr>
            <w:tcW w:type="dxa" w:w="2628"/>
          </w:tcPr>
          <w:p>
            <w:r>
              <w:rPr>
                <w:sz w:val="17"/>
                <w:rFonts w:ascii="맑은 고딕" w:hAnsi="맑은 고딕" w:eastAsia="맑은 고딕" w:cs="맑은 고딕"/>
              </w:rPr>
              <w:t>2922</w:t>
            </w:r>
          </w:p>
        </w:tc>
      </w:tr>
      <w:tr>
        <w:tc>
          <w:tcPr>
            <w:tcW w:type="dxa" w:w="2628"/>
          </w:tcPr>
          <w:p>
            <w:r>
              <w:rPr>
                <w:sz w:val="17"/>
                <w:rFonts w:ascii="맑은 고딕" w:hAnsi="맑은 고딕" w:eastAsia="맑은 고딕" w:cs="맑은 고딕"/>
              </w:rPr>
              <w:t>발달상권</w:t>
            </w:r>
          </w:p>
        </w:tc>
        <w:tc>
          <w:tcPr>
            <w:tcW w:type="dxa" w:w="2628"/>
          </w:tcPr>
          <w:p>
            <w:r>
              <w:rPr>
                <w:sz w:val="17"/>
                <w:rFonts w:ascii="맑은 고딕" w:hAnsi="맑은 고딕" w:eastAsia="맑은 고딕" w:cs="맑은 고딕"/>
              </w:rPr>
              <w:t>0.25</w:t>
            </w:r>
          </w:p>
        </w:tc>
        <w:tc>
          <w:tcPr>
            <w:tcW w:type="dxa" w:w="2628"/>
          </w:tcPr>
          <w:p>
            <w:r>
              <w:rPr>
                <w:sz w:val="17"/>
                <w:rFonts w:ascii="맑은 고딕" w:hAnsi="맑은 고딕" w:eastAsia="맑은 고딕" w:cs="맑은 고딕"/>
              </w:rPr>
              <w:t>0.2894</w:t>
            </w:r>
          </w:p>
        </w:tc>
        <w:tc>
          <w:tcPr>
            <w:tcW w:type="dxa" w:w="2628"/>
          </w:tcPr>
          <w:p>
            <w:r>
              <w:rPr>
                <w:sz w:val="17"/>
                <w:rFonts w:ascii="맑은 고딕" w:hAnsi="맑은 고딕" w:eastAsia="맑은 고딕" w:cs="맑은 고딕"/>
              </w:rPr>
              <w:t>1932</w:t>
            </w:r>
          </w:p>
        </w:tc>
      </w:tr>
      <w:tr>
        <w:tc>
          <w:tcPr>
            <w:tcW w:type="dxa" w:w="2628"/>
          </w:tcPr>
          <w:p>
            <w:r>
              <w:rPr>
                <w:sz w:val="17"/>
                <w:rFonts w:ascii="맑은 고딕" w:hAnsi="맑은 고딕" w:eastAsia="맑은 고딕" w:cs="맑은 고딕"/>
              </w:rPr>
              <w:t>관광특구</w:t>
            </w:r>
          </w:p>
        </w:tc>
        <w:tc>
          <w:tcPr>
            <w:tcW w:type="dxa" w:w="2628"/>
          </w:tcPr>
          <w:p>
            <w:r>
              <w:rPr>
                <w:sz w:val="17"/>
                <w:rFonts w:ascii="맑은 고딕" w:hAnsi="맑은 고딕" w:eastAsia="맑은 고딕" w:cs="맑은 고딕"/>
              </w:rPr>
              <w:t>0.3333</w:t>
            </w:r>
          </w:p>
        </w:tc>
        <w:tc>
          <w:tcPr>
            <w:tcW w:type="dxa" w:w="2628"/>
          </w:tcPr>
          <w:p>
            <w:r>
              <w:rPr>
                <w:sz w:val="17"/>
                <w:rFonts w:ascii="맑은 고딕" w:hAnsi="맑은 고딕" w:eastAsia="맑은 고딕" w:cs="맑은 고딕"/>
              </w:rPr>
              <w:t>0.3779</w:t>
            </w:r>
          </w:p>
        </w:tc>
        <w:tc>
          <w:tcPr>
            <w:tcW w:type="dxa" w:w="2628"/>
          </w:tcPr>
          <w:p>
            <w:r>
              <w:rPr>
                <w:sz w:val="17"/>
                <w:rFonts w:ascii="맑은 고딕" w:hAnsi="맑은 고딕" w:eastAsia="맑은 고딕" w:cs="맑은 고딕"/>
              </w:rPr>
              <w:t>58</w:t>
            </w:r>
          </w:p>
        </w:tc>
      </w:tr>
    </w:tbl>
    <w:p>
      <w:r>
        <w:rPr>
          <w:b w:val="0"/>
          <w:i/>
          <w:sz w:val="18"/>
          <w:rFonts w:ascii="맑은 고딕" w:hAnsi="맑은 고딕" w:eastAsia="맑은 고딕" w:cs="맑은 고딕"/>
        </w:rPr>
        <w:t>표 20</w:t>
      </w:r>
    </w:p>
    <w:p>
      <w:r>
        <w:rPr>
          <w:b w:val="0"/>
          <w:i w:val="0"/>
          <w:sz w:val="19"/>
          <w:rFonts w:ascii="맑은 고딕" w:hAnsi="맑은 고딕" w:eastAsia="맑은 고딕" w:cs="맑은 고딕"/>
        </w:rPr>
        <w:t>읽는 법 — 유형별 중앙값·평균·칸수임. 정렬은 중앙값이 낮은 쪽부터임.</w:t>
      </w:r>
    </w:p>
    <w:tbl>
      <w:tblPr>
        <w:tblStyle w:val="LightGrid-Accent1"/>
        <w:tblW w:type="auto" w:w="0"/>
        <w:tblLook w:firstColumn="1" w:firstRow="1" w:lastColumn="0" w:lastRow="0" w:noHBand="0" w:noVBand="1" w:val="04A0"/>
      </w:tblPr>
      <w:tblGrid>
        <w:gridCol w:w="2102"/>
        <w:gridCol w:w="2102"/>
        <w:gridCol w:w="2102"/>
        <w:gridCol w:w="2102"/>
        <w:gridCol w:w="2102"/>
      </w:tblGrid>
      <w:tr>
        <w:tc>
          <w:tcPr>
            <w:tcW w:type="dxa" w:w="2102"/>
          </w:tcPr>
          <w:p>
            <w:r>
              <w:rPr>
                <w:b/>
                <w:sz w:val="17"/>
                <w:rFonts w:ascii="맑은 고딕" w:hAnsi="맑은 고딕" w:eastAsia="맑은 고딕" w:cs="맑은 고딕"/>
              </w:rPr>
            </w:r>
          </w:p>
        </w:tc>
        <w:tc>
          <w:tcPr>
            <w:tcW w:type="dxa" w:w="2102"/>
          </w:tcPr>
          <w:p>
            <w:r>
              <w:rPr>
                <w:b/>
                <w:sz w:val="17"/>
                <w:rFonts w:ascii="맑은 고딕" w:hAnsi="맑은 고딕" w:eastAsia="맑은 고딕" w:cs="맑은 고딕"/>
              </w:rPr>
              <w:t>z</w:t>
            </w:r>
          </w:p>
        </w:tc>
        <w:tc>
          <w:tcPr>
            <w:tcW w:type="dxa" w:w="2102"/>
          </w:tcPr>
          <w:p>
            <w:r>
              <w:rPr>
                <w:b/>
                <w:sz w:val="17"/>
                <w:rFonts w:ascii="맑은 고딕" w:hAnsi="맑은 고딕" w:eastAsia="맑은 고딕" w:cs="맑은 고딕"/>
              </w:rPr>
              <w:t>p(보정)</w:t>
            </w:r>
          </w:p>
        </w:tc>
        <w:tc>
          <w:tcPr>
            <w:tcW w:type="dxa" w:w="2102"/>
          </w:tcPr>
          <w:p>
            <w:r>
              <w:rPr>
                <w:b/>
                <w:sz w:val="17"/>
                <w:rFonts w:ascii="맑은 고딕" w:hAnsi="맑은 고딕" w:eastAsia="맑은 고딕" w:cs="맑은 고딕"/>
              </w:rPr>
              <w:t>유의</w:t>
            </w:r>
          </w:p>
        </w:tc>
        <w:tc>
          <w:tcPr>
            <w:tcW w:type="dxa" w:w="2102"/>
          </w:tcPr>
          <w:p>
            <w:r>
              <w:rPr>
                <w:b/>
                <w:sz w:val="17"/>
                <w:rFonts w:ascii="맑은 고딕" w:hAnsi="맑은 고딕" w:eastAsia="맑은 고딕" w:cs="맑은 고딕"/>
              </w:rPr>
              <w:t>더 높은 쪽</w:t>
            </w:r>
          </w:p>
        </w:tc>
      </w:tr>
      <w:tr>
        <w:tc>
          <w:tcPr>
            <w:tcW w:type="dxa" w:w="2102"/>
          </w:tcPr>
          <w:p>
            <w:r>
              <w:rPr>
                <w:sz w:val="17"/>
                <w:rFonts w:ascii="맑은 고딕" w:hAnsi="맑은 고딕" w:eastAsia="맑은 고딕" w:cs="맑은 고딕"/>
              </w:rPr>
              <w:t>쌍</w:t>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r>
      <w:tr>
        <w:tc>
          <w:tcPr>
            <w:tcW w:type="dxa" w:w="2102"/>
          </w:tcPr>
          <w:p>
            <w:r>
              <w:rPr>
                <w:sz w:val="17"/>
                <w:rFonts w:ascii="맑은 고딕" w:hAnsi="맑은 고딕" w:eastAsia="맑은 고딕" w:cs="맑은 고딕"/>
              </w:rPr>
              <w:t>전통시장 ↔ 발달상권</w:t>
            </w:r>
          </w:p>
        </w:tc>
        <w:tc>
          <w:tcPr>
            <w:tcW w:type="dxa" w:w="2102"/>
          </w:tcPr>
          <w:p>
            <w:r>
              <w:rPr>
                <w:sz w:val="17"/>
                <w:rFonts w:ascii="맑은 고딕" w:hAnsi="맑은 고딕" w:eastAsia="맑은 고딕" w:cs="맑은 고딕"/>
              </w:rPr>
              <w:t>10.41</w:t>
            </w:r>
          </w:p>
        </w:tc>
        <w:tc>
          <w:tcPr>
            <w:tcW w:type="dxa" w:w="2102"/>
          </w:tcPr>
          <w:p>
            <w:r>
              <w:rPr>
                <w:sz w:val="17"/>
                <w:rFonts w:ascii="맑은 고딕" w:hAnsi="맑은 고딕" w:eastAsia="맑은 고딕" w:cs="맑은 고딕"/>
              </w:rPr>
              <w:t>0</w:t>
            </w:r>
          </w:p>
        </w:tc>
        <w:tc>
          <w:tcPr>
            <w:tcW w:type="dxa" w:w="2102"/>
          </w:tcPr>
          <w:p>
            <w:r>
              <w:rPr>
                <w:sz w:val="17"/>
                <w:rFonts w:ascii="맑은 고딕" w:hAnsi="맑은 고딕" w:eastAsia="맑은 고딕" w:cs="맑은 고딕"/>
              </w:rPr>
              <w:t>True</w:t>
            </w:r>
          </w:p>
        </w:tc>
        <w:tc>
          <w:tcPr>
            <w:tcW w:type="dxa" w:w="2102"/>
          </w:tcPr>
          <w:p>
            <w:r>
              <w:rPr>
                <w:sz w:val="17"/>
                <w:rFonts w:ascii="맑은 고딕" w:hAnsi="맑은 고딕" w:eastAsia="맑은 고딕" w:cs="맑은 고딕"/>
              </w:rPr>
              <w:t>발달상권</w:t>
            </w:r>
          </w:p>
        </w:tc>
      </w:tr>
      <w:tr>
        <w:tc>
          <w:tcPr>
            <w:tcW w:type="dxa" w:w="2102"/>
          </w:tcPr>
          <w:p>
            <w:r>
              <w:rPr>
                <w:sz w:val="17"/>
                <w:rFonts w:ascii="맑은 고딕" w:hAnsi="맑은 고딕" w:eastAsia="맑은 고딕" w:cs="맑은 고딕"/>
              </w:rPr>
              <w:t>전통시장 ↔ 관광특구</w:t>
            </w:r>
          </w:p>
        </w:tc>
        <w:tc>
          <w:tcPr>
            <w:tcW w:type="dxa" w:w="2102"/>
          </w:tcPr>
          <w:p>
            <w:r>
              <w:rPr>
                <w:sz w:val="17"/>
                <w:rFonts w:ascii="맑은 고딕" w:hAnsi="맑은 고딕" w:eastAsia="맑은 고딕" w:cs="맑은 고딕"/>
              </w:rPr>
              <w:t>7.23</w:t>
            </w:r>
          </w:p>
        </w:tc>
        <w:tc>
          <w:tcPr>
            <w:tcW w:type="dxa" w:w="2102"/>
          </w:tcPr>
          <w:p>
            <w:r>
              <w:rPr>
                <w:sz w:val="17"/>
                <w:rFonts w:ascii="맑은 고딕" w:hAnsi="맑은 고딕" w:eastAsia="맑은 고딕" w:cs="맑은 고딕"/>
              </w:rPr>
              <w:t>0</w:t>
            </w:r>
          </w:p>
        </w:tc>
        <w:tc>
          <w:tcPr>
            <w:tcW w:type="dxa" w:w="2102"/>
          </w:tcPr>
          <w:p>
            <w:r>
              <w:rPr>
                <w:sz w:val="17"/>
                <w:rFonts w:ascii="맑은 고딕" w:hAnsi="맑은 고딕" w:eastAsia="맑은 고딕" w:cs="맑은 고딕"/>
              </w:rPr>
              <w:t>True</w:t>
            </w:r>
          </w:p>
        </w:tc>
        <w:tc>
          <w:tcPr>
            <w:tcW w:type="dxa" w:w="2102"/>
          </w:tcPr>
          <w:p>
            <w:r>
              <w:rPr>
                <w:sz w:val="17"/>
                <w:rFonts w:ascii="맑은 고딕" w:hAnsi="맑은 고딕" w:eastAsia="맑은 고딕" w:cs="맑은 고딕"/>
              </w:rPr>
              <w:t>관광특구</w:t>
            </w:r>
          </w:p>
        </w:tc>
      </w:tr>
      <w:tr>
        <w:tc>
          <w:tcPr>
            <w:tcW w:type="dxa" w:w="2102"/>
          </w:tcPr>
          <w:p>
            <w:r>
              <w:rPr>
                <w:sz w:val="17"/>
                <w:rFonts w:ascii="맑은 고딕" w:hAnsi="맑은 고딕" w:eastAsia="맑은 고딕" w:cs="맑은 고딕"/>
              </w:rPr>
              <w:t>골목상권 ↔ 발달상권</w:t>
            </w:r>
          </w:p>
        </w:tc>
        <w:tc>
          <w:tcPr>
            <w:tcW w:type="dxa" w:w="2102"/>
          </w:tcPr>
          <w:p>
            <w:r>
              <w:rPr>
                <w:sz w:val="17"/>
                <w:rFonts w:ascii="맑은 고딕" w:hAnsi="맑은 고딕" w:eastAsia="맑은 고딕" w:cs="맑은 고딕"/>
              </w:rPr>
              <w:t>12.44</w:t>
            </w:r>
          </w:p>
        </w:tc>
        <w:tc>
          <w:tcPr>
            <w:tcW w:type="dxa" w:w="2102"/>
          </w:tcPr>
          <w:p>
            <w:r>
              <w:rPr>
                <w:sz w:val="17"/>
                <w:rFonts w:ascii="맑은 고딕" w:hAnsi="맑은 고딕" w:eastAsia="맑은 고딕" w:cs="맑은 고딕"/>
              </w:rPr>
              <w:t>0</w:t>
            </w:r>
          </w:p>
        </w:tc>
        <w:tc>
          <w:tcPr>
            <w:tcW w:type="dxa" w:w="2102"/>
          </w:tcPr>
          <w:p>
            <w:r>
              <w:rPr>
                <w:sz w:val="17"/>
                <w:rFonts w:ascii="맑은 고딕" w:hAnsi="맑은 고딕" w:eastAsia="맑은 고딕" w:cs="맑은 고딕"/>
              </w:rPr>
              <w:t>True</w:t>
            </w:r>
          </w:p>
        </w:tc>
        <w:tc>
          <w:tcPr>
            <w:tcW w:type="dxa" w:w="2102"/>
          </w:tcPr>
          <w:p>
            <w:r>
              <w:rPr>
                <w:sz w:val="17"/>
                <w:rFonts w:ascii="맑은 고딕" w:hAnsi="맑은 고딕" w:eastAsia="맑은 고딕" w:cs="맑은 고딕"/>
              </w:rPr>
              <w:t>발달상권</w:t>
            </w:r>
          </w:p>
        </w:tc>
      </w:tr>
      <w:tr>
        <w:tc>
          <w:tcPr>
            <w:tcW w:type="dxa" w:w="2102"/>
          </w:tcPr>
          <w:p>
            <w:r>
              <w:rPr>
                <w:sz w:val="17"/>
                <w:rFonts w:ascii="맑은 고딕" w:hAnsi="맑은 고딕" w:eastAsia="맑은 고딕" w:cs="맑은 고딕"/>
              </w:rPr>
              <w:t>골목상권 ↔ 관광특구</w:t>
            </w:r>
          </w:p>
        </w:tc>
        <w:tc>
          <w:tcPr>
            <w:tcW w:type="dxa" w:w="2102"/>
          </w:tcPr>
          <w:p>
            <w:r>
              <w:rPr>
                <w:sz w:val="17"/>
                <w:rFonts w:ascii="맑은 고딕" w:hAnsi="맑은 고딕" w:eastAsia="맑은 고딕" w:cs="맑은 고딕"/>
              </w:rPr>
              <w:t>6.84</w:t>
            </w:r>
          </w:p>
        </w:tc>
        <w:tc>
          <w:tcPr>
            <w:tcW w:type="dxa" w:w="2102"/>
          </w:tcPr>
          <w:p>
            <w:r>
              <w:rPr>
                <w:sz w:val="17"/>
                <w:rFonts w:ascii="맑은 고딕" w:hAnsi="맑은 고딕" w:eastAsia="맑은 고딕" w:cs="맑은 고딕"/>
              </w:rPr>
              <w:t>0</w:t>
            </w:r>
          </w:p>
        </w:tc>
        <w:tc>
          <w:tcPr>
            <w:tcW w:type="dxa" w:w="2102"/>
          </w:tcPr>
          <w:p>
            <w:r>
              <w:rPr>
                <w:sz w:val="17"/>
                <w:rFonts w:ascii="맑은 고딕" w:hAnsi="맑은 고딕" w:eastAsia="맑은 고딕" w:cs="맑은 고딕"/>
              </w:rPr>
              <w:t>True</w:t>
            </w:r>
          </w:p>
        </w:tc>
        <w:tc>
          <w:tcPr>
            <w:tcW w:type="dxa" w:w="2102"/>
          </w:tcPr>
          <w:p>
            <w:r>
              <w:rPr>
                <w:sz w:val="17"/>
                <w:rFonts w:ascii="맑은 고딕" w:hAnsi="맑은 고딕" w:eastAsia="맑은 고딕" w:cs="맑은 고딕"/>
              </w:rPr>
              <w:t>관광특구</w:t>
            </w:r>
          </w:p>
        </w:tc>
      </w:tr>
      <w:tr>
        <w:tc>
          <w:tcPr>
            <w:tcW w:type="dxa" w:w="2102"/>
          </w:tcPr>
          <w:p>
            <w:r>
              <w:rPr>
                <w:sz w:val="17"/>
                <w:rFonts w:ascii="맑은 고딕" w:hAnsi="맑은 고딕" w:eastAsia="맑은 고딕" w:cs="맑은 고딕"/>
              </w:rPr>
              <w:t>발달상권 ↔ 관광특구</w:t>
            </w:r>
          </w:p>
        </w:tc>
        <w:tc>
          <w:tcPr>
            <w:tcW w:type="dxa" w:w="2102"/>
          </w:tcPr>
          <w:p>
            <w:r>
              <w:rPr>
                <w:sz w:val="17"/>
                <w:rFonts w:ascii="맑은 고딕" w:hAnsi="맑은 고딕" w:eastAsia="맑은 고딕" w:cs="맑은 고딕"/>
              </w:rPr>
              <w:t>4.07</w:t>
            </w:r>
          </w:p>
        </w:tc>
        <w:tc>
          <w:tcPr>
            <w:tcW w:type="dxa" w:w="2102"/>
          </w:tcPr>
          <w:p>
            <w:r>
              <w:rPr>
                <w:sz w:val="17"/>
                <w:rFonts w:ascii="맑은 고딕" w:hAnsi="맑은 고딕" w:eastAsia="맑은 고딕" w:cs="맑은 고딕"/>
              </w:rPr>
              <w:t>0.0003</w:t>
            </w:r>
          </w:p>
        </w:tc>
        <w:tc>
          <w:tcPr>
            <w:tcW w:type="dxa" w:w="2102"/>
          </w:tcPr>
          <w:p>
            <w:r>
              <w:rPr>
                <w:sz w:val="17"/>
                <w:rFonts w:ascii="맑은 고딕" w:hAnsi="맑은 고딕" w:eastAsia="맑은 고딕" w:cs="맑은 고딕"/>
              </w:rPr>
              <w:t>True</w:t>
            </w:r>
          </w:p>
        </w:tc>
        <w:tc>
          <w:tcPr>
            <w:tcW w:type="dxa" w:w="2102"/>
          </w:tcPr>
          <w:p>
            <w:r>
              <w:rPr>
                <w:sz w:val="17"/>
                <w:rFonts w:ascii="맑은 고딕" w:hAnsi="맑은 고딕" w:eastAsia="맑은 고딕" w:cs="맑은 고딕"/>
              </w:rPr>
              <w:t>관광특구</w:t>
            </w:r>
          </w:p>
        </w:tc>
      </w:tr>
      <w:tr>
        <w:tc>
          <w:tcPr>
            <w:tcW w:type="dxa" w:w="2102"/>
          </w:tcPr>
          <w:p>
            <w:r>
              <w:rPr>
                <w:sz w:val="17"/>
                <w:rFonts w:ascii="맑은 고딕" w:hAnsi="맑은 고딕" w:eastAsia="맑은 고딕" w:cs="맑은 고딕"/>
              </w:rPr>
              <w:t>전통시장 ↔ 골목상권</w:t>
            </w:r>
          </w:p>
        </w:tc>
        <w:tc>
          <w:tcPr>
            <w:tcW w:type="dxa" w:w="2102"/>
          </w:tcPr>
          <w:p>
            <w:r>
              <w:rPr>
                <w:sz w:val="17"/>
                <w:rFonts w:ascii="맑은 고딕" w:hAnsi="맑은 고딕" w:eastAsia="맑은 고딕" w:cs="맑은 고딕"/>
              </w:rPr>
              <w:t>1.93</w:t>
            </w:r>
          </w:p>
        </w:tc>
        <w:tc>
          <w:tcPr>
            <w:tcW w:type="dxa" w:w="2102"/>
          </w:tcPr>
          <w:p>
            <w:r>
              <w:rPr>
                <w:sz w:val="17"/>
                <w:rFonts w:ascii="맑은 고딕" w:hAnsi="맑은 고딕" w:eastAsia="맑은 고딕" w:cs="맑은 고딕"/>
              </w:rPr>
              <w:t>0.321</w:t>
            </w:r>
          </w:p>
        </w:tc>
        <w:tc>
          <w:tcPr>
            <w:tcW w:type="dxa" w:w="2102"/>
          </w:tcPr>
          <w:p>
            <w:r>
              <w:rPr>
                <w:sz w:val="17"/>
                <w:rFonts w:ascii="맑은 고딕" w:hAnsi="맑은 고딕" w:eastAsia="맑은 고딕" w:cs="맑은 고딕"/>
              </w:rPr>
              <w:t>False</w:t>
            </w:r>
          </w:p>
        </w:tc>
        <w:tc>
          <w:tcPr>
            <w:tcW w:type="dxa" w:w="2102"/>
          </w:tcPr>
          <w:p>
            <w:r>
              <w:rPr>
                <w:sz w:val="17"/>
                <w:rFonts w:ascii="맑은 고딕" w:hAnsi="맑은 고딕" w:eastAsia="맑은 고딕" w:cs="맑은 고딕"/>
              </w:rPr>
              <w:t>골목상권</w:t>
            </w:r>
          </w:p>
        </w:tc>
      </w:tr>
    </w:tbl>
    <w:p>
      <w:r>
        <w:rPr>
          <w:b w:val="0"/>
          <w:i/>
          <w:sz w:val="18"/>
          <w:rFonts w:ascii="맑은 고딕" w:hAnsi="맑은 고딕" w:eastAsia="맑은 고딕" w:cs="맑은 고딕"/>
        </w:rPr>
        <w:t>표 21</w:t>
      </w:r>
    </w:p>
    <w:p>
      <w:r>
        <w:rPr>
          <w:b w:val="0"/>
          <w:i w:val="0"/>
          <w:sz w:val="19"/>
          <w:rFonts w:ascii="맑은 고딕" w:hAnsi="맑은 고딕" w:eastAsia="맑은 고딕" w:cs="맑은 고딕"/>
        </w:rPr>
        <w:t>읽는 법 — 쌍마다의 z 와 보정 p, 그리고 어느 쪽이 더 높은지임. p 만 보면 방향을 알 수 없어 마지막 열을 함께 둠.</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위험을 관리할 때 자치구 전체를 한 덩어리로 보는 것보다 개별 상권을 직접 보는 편이 타당하다. 원문 결론의 순위 표기는 사후검정 표와 어긋나는 부분이 있어, 여기서는 쌍별 검정 결과에 맞춰 정리했다.</w:t>
      </w:r>
    </w:p>
    <w:p>
      <w:r>
        <w:br w:type="page"/>
      </w:r>
    </w:p>
    <w:p>
      <w:pPr>
        <w:pStyle w:val="Heading1"/>
      </w:pPr>
      <w:r>
        <w:rPr>
          <w:rFonts w:ascii="맑은 고딕" w:hAnsi="맑은 고딕" w:eastAsia="맑은 고딕" w:cs="맑은 고딕"/>
        </w:rPr>
        <w:t>11  모델 선정</w:t>
      </w:r>
    </w:p>
    <w:p>
      <w:r>
        <w:rPr>
          <w:b/>
          <w:i w:val="0"/>
          <w:sz w:val="22"/>
          <w:rFonts w:ascii="맑은 고딕" w:hAnsi="맑은 고딕" w:eastAsia="맑은 고딕" w:cs="맑은 고딕"/>
        </w:rPr>
        <w:t>핵심 한 줄 — 다섯 모델의 AP가 0.398~0.408에 몰려 있어 “어떤 알고리즘을 쓰느냐”보다 해석과 운영 설계가 더 중요했다.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복잡한 모델이 단순 모델보다 확실히 우수한지 확인하고, 불균형 데이터에서 정확도 대신 적절한 평가 지표를 사용하기 위해 비교했다.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의사결정나무, 랜덤포레스트, 로지스틱 회귀, 선형 SVM, XGBoost를 같은 검증 분기에서 비교했다.</w:t>
      </w:r>
    </w:p>
    <w:p>
      <w:pPr>
        <w:ind w:left="173"/>
      </w:pPr>
      <w:r>
        <w:rPr>
          <w:b w:val="0"/>
          <w:i w:val="0"/>
          <w:sz w:val="21"/>
          <w:rFonts w:ascii="맑은 고딕" w:hAnsi="맑은 고딕" w:eastAsia="맑은 고딕" w:cs="맑은 고딕"/>
        </w:rPr>
        <w:t>• 양성 비율이 약 25%이므로 정확도는 주 지표로 쓰지 않았다. 모두 0으로 예측해도 정확도는 약 74.7%가 나오기 때문이다.</w:t>
      </w:r>
    </w:p>
    <w:p>
      <w:pPr>
        <w:ind w:left="173"/>
      </w:pPr>
      <w:r>
        <w:rPr>
          <w:b w:val="0"/>
          <w:i w:val="0"/>
          <w:sz w:val="21"/>
          <w:rFonts w:ascii="맑은 고딕" w:hAnsi="맑은 고딕" w:eastAsia="맑은 고딕" w:cs="맑은 고딕"/>
        </w:rPr>
        <w:t>• 주 지표는 Precision-Recall 성능을 요약한 AP를 사용했다. 최고는 랜덤포레스트 0.408, XGBoost는 0.398이었다.</w:t>
      </w:r>
    </w:p>
    <w:p>
      <w:pPr>
        <w:ind w:left="173"/>
      </w:pPr>
      <w:r>
        <w:rPr>
          <w:b w:val="0"/>
          <w:i w:val="0"/>
          <w:sz w:val="21"/>
          <w:rFonts w:ascii="맑은 고딕" w:hAnsi="맑은 고딕" w:eastAsia="맑은 고딕" w:cs="맑은 고딕"/>
        </w:rPr>
        <w:t>• 모델 간 차이가 0.01 수준으로 작아, 이후 변수 기여도 분석을 일관되게 연결하기 위해 XGBoost를 대표 모델로 사용했다.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랜덤포레스트</w:t>
            </w:r>
          </w:p>
        </w:tc>
        <w:tc>
          <w:tcPr>
            <w:tcW w:type="dxa" w:w="5256"/>
          </w:tcPr>
          <w:p>
            <w:r>
              <w:rPr>
                <w:sz w:val="17"/>
                <w:rFonts w:ascii="맑은 고딕" w:hAnsi="맑은 고딕" w:eastAsia="맑은 고딕" w:cs="맑은 고딕"/>
              </w:rPr>
              <w:t>AP 0.408</w:t>
            </w:r>
          </w:p>
        </w:tc>
      </w:tr>
      <w:tr>
        <w:tc>
          <w:tcPr>
            <w:tcW w:type="dxa" w:w="5256"/>
          </w:tcPr>
          <w:p>
            <w:r>
              <w:rPr>
                <w:sz w:val="17"/>
                <w:rFonts w:ascii="맑은 고딕" w:hAnsi="맑은 고딕" w:eastAsia="맑은 고딕" w:cs="맑은 고딕"/>
              </w:rPr>
              <w:t>선형 SVM</w:t>
            </w:r>
          </w:p>
        </w:tc>
        <w:tc>
          <w:tcPr>
            <w:tcW w:type="dxa" w:w="5256"/>
          </w:tcPr>
          <w:p>
            <w:r>
              <w:rPr>
                <w:sz w:val="17"/>
                <w:rFonts w:ascii="맑은 고딕" w:hAnsi="맑은 고딕" w:eastAsia="맑은 고딕" w:cs="맑은 고딕"/>
              </w:rPr>
              <w:t>0.406</w:t>
            </w:r>
          </w:p>
        </w:tc>
      </w:tr>
      <w:tr>
        <w:tc>
          <w:tcPr>
            <w:tcW w:type="dxa" w:w="5256"/>
          </w:tcPr>
          <w:p>
            <w:r>
              <w:rPr>
                <w:sz w:val="17"/>
                <w:rFonts w:ascii="맑은 고딕" w:hAnsi="맑은 고딕" w:eastAsia="맑은 고딕" w:cs="맑은 고딕"/>
              </w:rPr>
              <w:t>로지스틱 회귀</w:t>
            </w:r>
          </w:p>
        </w:tc>
        <w:tc>
          <w:tcPr>
            <w:tcW w:type="dxa" w:w="5256"/>
          </w:tcPr>
          <w:p>
            <w:r>
              <w:rPr>
                <w:sz w:val="17"/>
                <w:rFonts w:ascii="맑은 고딕" w:hAnsi="맑은 고딕" w:eastAsia="맑은 고딕" w:cs="맑은 고딕"/>
              </w:rPr>
              <w:t>0.406</w:t>
            </w:r>
          </w:p>
        </w:tc>
      </w:tr>
      <w:tr>
        <w:tc>
          <w:tcPr>
            <w:tcW w:type="dxa" w:w="5256"/>
          </w:tcPr>
          <w:p>
            <w:r>
              <w:rPr>
                <w:sz w:val="17"/>
                <w:rFonts w:ascii="맑은 고딕" w:hAnsi="맑은 고딕" w:eastAsia="맑은 고딕" w:cs="맑은 고딕"/>
              </w:rPr>
              <w:t>의사결정나무</w:t>
            </w:r>
          </w:p>
        </w:tc>
        <w:tc>
          <w:tcPr>
            <w:tcW w:type="dxa" w:w="5256"/>
          </w:tcPr>
          <w:p>
            <w:r>
              <w:rPr>
                <w:sz w:val="17"/>
                <w:rFonts w:ascii="맑은 고딕" w:hAnsi="맑은 고딕" w:eastAsia="맑은 고딕" w:cs="맑은 고딕"/>
              </w:rPr>
              <w:t>0.398</w:t>
            </w:r>
          </w:p>
        </w:tc>
      </w:tr>
      <w:tr>
        <w:tc>
          <w:tcPr>
            <w:tcW w:type="dxa" w:w="5256"/>
          </w:tcPr>
          <w:p>
            <w:r>
              <w:rPr>
                <w:sz w:val="17"/>
                <w:rFonts w:ascii="맑은 고딕" w:hAnsi="맑은 고딕" w:eastAsia="맑은 고딕" w:cs="맑은 고딕"/>
              </w:rPr>
              <w:t>XGBoost</w:t>
            </w:r>
          </w:p>
        </w:tc>
        <w:tc>
          <w:tcPr>
            <w:tcW w:type="dxa" w:w="5256"/>
          </w:tcPr>
          <w:p>
            <w:r>
              <w:rPr>
                <w:sz w:val="17"/>
                <w:rFonts w:ascii="맑은 고딕" w:hAnsi="맑은 고딕" w:eastAsia="맑은 고딕" w:cs="맑은 고딕"/>
              </w:rPr>
              <w:t>0.398</w:t>
            </w:r>
          </w:p>
        </w:tc>
      </w:tr>
    </w:tbl>
    <w:p>
      <w:r>
        <w:rPr>
          <w:b w:val="0"/>
          <w:i/>
          <w:sz w:val="18"/>
          <w:rFonts w:ascii="맑은 고딕" w:hAnsi="맑은 고딕" w:eastAsia="맑은 고딕" w:cs="맑은 고딕"/>
        </w:rPr>
        <w:t>표 22</w:t>
      </w:r>
    </w:p>
    <w:tbl>
      <w:tblPr>
        <w:tblStyle w:val="LightGrid-Accent1"/>
        <w:tblW w:type="auto" w:w="0"/>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sz w:val="17"/>
                <w:rFonts w:ascii="맑은 고딕" w:hAnsi="맑은 고딕" w:eastAsia="맑은 고딕" w:cs="맑은 고딕"/>
              </w:rPr>
            </w:r>
          </w:p>
        </w:tc>
        <w:tc>
          <w:tcPr>
            <w:tcW w:type="dxa" w:w="1314"/>
          </w:tcPr>
          <w:p>
            <w:r>
              <w:rPr>
                <w:b/>
                <w:sz w:val="17"/>
                <w:rFonts w:ascii="맑은 고딕" w:hAnsi="맑은 고딕" w:eastAsia="맑은 고딕" w:cs="맑은 고딕"/>
              </w:rPr>
              <w:t>AP</w:t>
            </w:r>
          </w:p>
        </w:tc>
        <w:tc>
          <w:tcPr>
            <w:tcW w:type="dxa" w:w="1314"/>
          </w:tcPr>
          <w:p>
            <w:r>
              <w:rPr>
                <w:b/>
                <w:sz w:val="17"/>
                <w:rFonts w:ascii="맑은 고딕" w:hAnsi="맑은 고딕" w:eastAsia="맑은 고딕" w:cs="맑은 고딕"/>
              </w:rPr>
              <w:t>ROC-AUC</w:t>
            </w:r>
          </w:p>
        </w:tc>
        <w:tc>
          <w:tcPr>
            <w:tcW w:type="dxa" w:w="1314"/>
          </w:tcPr>
          <w:p>
            <w:r>
              <w:rPr>
                <w:b/>
                <w:sz w:val="17"/>
                <w:rFonts w:ascii="맑은 고딕" w:hAnsi="맑은 고딕" w:eastAsia="맑은 고딕" w:cs="맑은 고딕"/>
              </w:rPr>
              <w:t>F1</w:t>
            </w:r>
          </w:p>
        </w:tc>
        <w:tc>
          <w:tcPr>
            <w:tcW w:type="dxa" w:w="1314"/>
          </w:tcPr>
          <w:p>
            <w:r>
              <w:rPr>
                <w:b/>
                <w:sz w:val="17"/>
                <w:rFonts w:ascii="맑은 고딕" w:hAnsi="맑은 고딕" w:eastAsia="맑은 고딕" w:cs="맑은 고딕"/>
              </w:rPr>
              <w:t>정밀도</w:t>
            </w:r>
          </w:p>
        </w:tc>
        <w:tc>
          <w:tcPr>
            <w:tcW w:type="dxa" w:w="1314"/>
          </w:tcPr>
          <w:p>
            <w:r>
              <w:rPr>
                <w:b/>
                <w:sz w:val="17"/>
                <w:rFonts w:ascii="맑은 고딕" w:hAnsi="맑은 고딕" w:eastAsia="맑은 고딕" w:cs="맑은 고딕"/>
              </w:rPr>
              <w:t>재현율</w:t>
            </w:r>
          </w:p>
        </w:tc>
        <w:tc>
          <w:tcPr>
            <w:tcW w:type="dxa" w:w="1314"/>
          </w:tcPr>
          <w:p>
            <w:r>
              <w:rPr>
                <w:b/>
                <w:sz w:val="17"/>
                <w:rFonts w:ascii="맑은 고딕" w:hAnsi="맑은 고딕" w:eastAsia="맑은 고딕" w:cs="맑은 고딕"/>
              </w:rPr>
              <w:t>정확도</w:t>
            </w:r>
          </w:p>
        </w:tc>
        <w:tc>
          <w:tcPr>
            <w:tcW w:type="dxa" w:w="1314"/>
          </w:tcPr>
          <w:p>
            <w:r>
              <w:rPr>
                <w:b/>
                <w:sz w:val="17"/>
                <w:rFonts w:ascii="맑은 고딕" w:hAnsi="맑은 고딕" w:eastAsia="맑은 고딕" w:cs="맑은 고딕"/>
              </w:rPr>
              <w:t>Lift</w:t>
            </w:r>
          </w:p>
        </w:tc>
      </w:tr>
      <w:tr>
        <w:tc>
          <w:tcPr>
            <w:tcW w:type="dxa" w:w="1314"/>
          </w:tcPr>
          <w:p>
            <w:r>
              <w:rPr>
                <w:sz w:val="17"/>
                <w:rFonts w:ascii="맑은 고딕" w:hAnsi="맑은 고딕" w:eastAsia="맑은 고딕" w:cs="맑은 고딕"/>
              </w:rPr>
              <w:t>모델</w:t>
            </w:r>
          </w:p>
        </w:tc>
        <w:tc>
          <w:tcPr>
            <w:tcW w:type="dxa" w:w="1314"/>
          </w:tcPr>
          <w:p>
            <w:r>
              <w:rPr>
                <w:sz w:val="17"/>
                <w:rFonts w:ascii="맑은 고딕" w:hAnsi="맑은 고딕" w:eastAsia="맑은 고딕" w:cs="맑은 고딕"/>
              </w:rPr>
            </w:r>
          </w:p>
        </w:tc>
        <w:tc>
          <w:tcPr>
            <w:tcW w:type="dxa" w:w="1314"/>
          </w:tcPr>
          <w:p>
            <w:r>
              <w:rPr>
                <w:sz w:val="17"/>
                <w:rFonts w:ascii="맑은 고딕" w:hAnsi="맑은 고딕" w:eastAsia="맑은 고딕" w:cs="맑은 고딕"/>
              </w:rPr>
            </w:r>
          </w:p>
        </w:tc>
        <w:tc>
          <w:tcPr>
            <w:tcW w:type="dxa" w:w="1314"/>
          </w:tcPr>
          <w:p>
            <w:r>
              <w:rPr>
                <w:sz w:val="17"/>
                <w:rFonts w:ascii="맑은 고딕" w:hAnsi="맑은 고딕" w:eastAsia="맑은 고딕" w:cs="맑은 고딕"/>
              </w:rPr>
            </w:r>
          </w:p>
        </w:tc>
        <w:tc>
          <w:tcPr>
            <w:tcW w:type="dxa" w:w="1314"/>
          </w:tcPr>
          <w:p>
            <w:r>
              <w:rPr>
                <w:sz w:val="17"/>
                <w:rFonts w:ascii="맑은 고딕" w:hAnsi="맑은 고딕" w:eastAsia="맑은 고딕" w:cs="맑은 고딕"/>
              </w:rPr>
            </w:r>
          </w:p>
        </w:tc>
        <w:tc>
          <w:tcPr>
            <w:tcW w:type="dxa" w:w="1314"/>
          </w:tcPr>
          <w:p>
            <w:r>
              <w:rPr>
                <w:sz w:val="17"/>
                <w:rFonts w:ascii="맑은 고딕" w:hAnsi="맑은 고딕" w:eastAsia="맑은 고딕" w:cs="맑은 고딕"/>
              </w:rPr>
            </w:r>
          </w:p>
        </w:tc>
        <w:tc>
          <w:tcPr>
            <w:tcW w:type="dxa" w:w="1314"/>
          </w:tcPr>
          <w:p>
            <w:r>
              <w:rPr>
                <w:sz w:val="17"/>
                <w:rFonts w:ascii="맑은 고딕" w:hAnsi="맑은 고딕" w:eastAsia="맑은 고딕" w:cs="맑은 고딕"/>
              </w:rPr>
            </w:r>
          </w:p>
        </w:tc>
        <w:tc>
          <w:tcPr>
            <w:tcW w:type="dxa" w:w="1314"/>
          </w:tcPr>
          <w:p>
            <w:r>
              <w:rPr>
                <w:sz w:val="17"/>
                <w:rFonts w:ascii="맑은 고딕" w:hAnsi="맑은 고딕" w:eastAsia="맑은 고딕" w:cs="맑은 고딕"/>
              </w:rPr>
            </w:r>
          </w:p>
        </w:tc>
      </w:tr>
      <w:tr>
        <w:tc>
          <w:tcPr>
            <w:tcW w:type="dxa" w:w="1314"/>
          </w:tcPr>
          <w:p>
            <w:r>
              <w:rPr>
                <w:sz w:val="17"/>
                <w:rFonts w:ascii="맑은 고딕" w:hAnsi="맑은 고딕" w:eastAsia="맑은 고딕" w:cs="맑은 고딕"/>
              </w:rPr>
              <w:t>랜덤포레스트</w:t>
            </w:r>
          </w:p>
        </w:tc>
        <w:tc>
          <w:tcPr>
            <w:tcW w:type="dxa" w:w="1314"/>
          </w:tcPr>
          <w:p>
            <w:r>
              <w:rPr>
                <w:sz w:val="17"/>
                <w:rFonts w:ascii="맑은 고딕" w:hAnsi="맑은 고딕" w:eastAsia="맑은 고딕" w:cs="맑은 고딕"/>
              </w:rPr>
              <w:t>0.408</w:t>
            </w:r>
          </w:p>
        </w:tc>
        <w:tc>
          <w:tcPr>
            <w:tcW w:type="dxa" w:w="1314"/>
          </w:tcPr>
          <w:p>
            <w:r>
              <w:rPr>
                <w:sz w:val="17"/>
                <w:rFonts w:ascii="맑은 고딕" w:hAnsi="맑은 고딕" w:eastAsia="맑은 고딕" w:cs="맑은 고딕"/>
              </w:rPr>
              <w:t>0.676</w:t>
            </w:r>
          </w:p>
        </w:tc>
        <w:tc>
          <w:tcPr>
            <w:tcW w:type="dxa" w:w="1314"/>
          </w:tcPr>
          <w:p>
            <w:r>
              <w:rPr>
                <w:sz w:val="17"/>
                <w:rFonts w:ascii="맑은 고딕" w:hAnsi="맑은 고딕" w:eastAsia="맑은 고딕" w:cs="맑은 고딕"/>
              </w:rPr>
              <w:t>0.401</w:t>
            </w:r>
          </w:p>
        </w:tc>
        <w:tc>
          <w:tcPr>
            <w:tcW w:type="dxa" w:w="1314"/>
          </w:tcPr>
          <w:p>
            <w:r>
              <w:rPr>
                <w:sz w:val="17"/>
                <w:rFonts w:ascii="맑은 고딕" w:hAnsi="맑은 고딕" w:eastAsia="맑은 고딕" w:cs="맑은 고딕"/>
              </w:rPr>
              <w:t>0.401</w:t>
            </w:r>
          </w:p>
        </w:tc>
        <w:tc>
          <w:tcPr>
            <w:tcW w:type="dxa" w:w="1314"/>
          </w:tcPr>
          <w:p>
            <w:r>
              <w:rPr>
                <w:sz w:val="17"/>
                <w:rFonts w:ascii="맑은 고딕" w:hAnsi="맑은 고딕" w:eastAsia="맑은 고딕" w:cs="맑은 고딕"/>
              </w:rPr>
              <w:t>0.401</w:t>
            </w:r>
          </w:p>
        </w:tc>
        <w:tc>
          <w:tcPr>
            <w:tcW w:type="dxa" w:w="1314"/>
          </w:tcPr>
          <w:p>
            <w:r>
              <w:rPr>
                <w:sz w:val="17"/>
                <w:rFonts w:ascii="맑은 고딕" w:hAnsi="맑은 고딕" w:eastAsia="맑은 고딕" w:cs="맑은 고딕"/>
              </w:rPr>
              <w:t>0.697</w:t>
            </w:r>
          </w:p>
        </w:tc>
        <w:tc>
          <w:tcPr>
            <w:tcW w:type="dxa" w:w="1314"/>
          </w:tcPr>
          <w:p>
            <w:r>
              <w:rPr>
                <w:sz w:val="17"/>
                <w:rFonts w:ascii="맑은 고딕" w:hAnsi="맑은 고딕" w:eastAsia="맑은 고딕" w:cs="맑은 고딕"/>
              </w:rPr>
              <w:t>1.584</w:t>
            </w:r>
          </w:p>
        </w:tc>
      </w:tr>
      <w:tr>
        <w:tc>
          <w:tcPr>
            <w:tcW w:type="dxa" w:w="1314"/>
          </w:tcPr>
          <w:p>
            <w:r>
              <w:rPr>
                <w:sz w:val="17"/>
                <w:rFonts w:ascii="맑은 고딕" w:hAnsi="맑은 고딕" w:eastAsia="맑은 고딕" w:cs="맑은 고딕"/>
              </w:rPr>
              <w:t>선형 SVM</w:t>
            </w:r>
          </w:p>
        </w:tc>
        <w:tc>
          <w:tcPr>
            <w:tcW w:type="dxa" w:w="1314"/>
          </w:tcPr>
          <w:p>
            <w:r>
              <w:rPr>
                <w:sz w:val="17"/>
                <w:rFonts w:ascii="맑은 고딕" w:hAnsi="맑은 고딕" w:eastAsia="맑은 고딕" w:cs="맑은 고딕"/>
              </w:rPr>
              <w:t>0.406</w:t>
            </w:r>
          </w:p>
        </w:tc>
        <w:tc>
          <w:tcPr>
            <w:tcW w:type="dxa" w:w="1314"/>
          </w:tcPr>
          <w:p>
            <w:r>
              <w:rPr>
                <w:sz w:val="17"/>
                <w:rFonts w:ascii="맑은 고딕" w:hAnsi="맑은 고딕" w:eastAsia="맑은 고딕" w:cs="맑은 고딕"/>
              </w:rPr>
              <w:t>0.675</w:t>
            </w:r>
          </w:p>
        </w:tc>
        <w:tc>
          <w:tcPr>
            <w:tcW w:type="dxa" w:w="1314"/>
          </w:tcPr>
          <w:p>
            <w:r>
              <w:rPr>
                <w:sz w:val="17"/>
                <w:rFonts w:ascii="맑은 고딕" w:hAnsi="맑은 고딕" w:eastAsia="맑은 고딕" w:cs="맑은 고딕"/>
              </w:rPr>
              <w:t>0.418</w:t>
            </w:r>
          </w:p>
        </w:tc>
        <w:tc>
          <w:tcPr>
            <w:tcW w:type="dxa" w:w="1314"/>
          </w:tcPr>
          <w:p>
            <w:r>
              <w:rPr>
                <w:sz w:val="17"/>
                <w:rFonts w:ascii="맑은 고딕" w:hAnsi="맑은 고딕" w:eastAsia="맑은 고딕" w:cs="맑은 고딕"/>
              </w:rPr>
              <w:t>0.418</w:t>
            </w:r>
          </w:p>
        </w:tc>
        <w:tc>
          <w:tcPr>
            <w:tcW w:type="dxa" w:w="1314"/>
          </w:tcPr>
          <w:p>
            <w:r>
              <w:rPr>
                <w:sz w:val="17"/>
                <w:rFonts w:ascii="맑은 고딕" w:hAnsi="맑은 고딕" w:eastAsia="맑은 고딕" w:cs="맑은 고딕"/>
              </w:rPr>
              <w:t>0.418</w:t>
            </w:r>
          </w:p>
        </w:tc>
        <w:tc>
          <w:tcPr>
            <w:tcW w:type="dxa" w:w="1314"/>
          </w:tcPr>
          <w:p>
            <w:r>
              <w:rPr>
                <w:sz w:val="17"/>
                <w:rFonts w:ascii="맑은 고딕" w:hAnsi="맑은 고딕" w:eastAsia="맑은 고딕" w:cs="맑은 고딕"/>
              </w:rPr>
              <w:t>0.705</w:t>
            </w:r>
          </w:p>
        </w:tc>
        <w:tc>
          <w:tcPr>
            <w:tcW w:type="dxa" w:w="1314"/>
          </w:tcPr>
          <w:p>
            <w:r>
              <w:rPr>
                <w:sz w:val="17"/>
                <w:rFonts w:ascii="맑은 고딕" w:hAnsi="맑은 고딕" w:eastAsia="맑은 고딕" w:cs="맑은 고딕"/>
              </w:rPr>
              <w:t>1.652</w:t>
            </w:r>
          </w:p>
        </w:tc>
      </w:tr>
      <w:tr>
        <w:tc>
          <w:tcPr>
            <w:tcW w:type="dxa" w:w="1314"/>
          </w:tcPr>
          <w:p>
            <w:r>
              <w:rPr>
                <w:sz w:val="17"/>
                <w:rFonts w:ascii="맑은 고딕" w:hAnsi="맑은 고딕" w:eastAsia="맑은 고딕" w:cs="맑은 고딕"/>
              </w:rPr>
              <w:t>로지스틱 회귀</w:t>
            </w:r>
          </w:p>
        </w:tc>
        <w:tc>
          <w:tcPr>
            <w:tcW w:type="dxa" w:w="1314"/>
          </w:tcPr>
          <w:p>
            <w:r>
              <w:rPr>
                <w:sz w:val="17"/>
                <w:rFonts w:ascii="맑은 고딕" w:hAnsi="맑은 고딕" w:eastAsia="맑은 고딕" w:cs="맑은 고딕"/>
              </w:rPr>
              <w:t>0.406</w:t>
            </w:r>
          </w:p>
        </w:tc>
        <w:tc>
          <w:tcPr>
            <w:tcW w:type="dxa" w:w="1314"/>
          </w:tcPr>
          <w:p>
            <w:r>
              <w:rPr>
                <w:sz w:val="17"/>
                <w:rFonts w:ascii="맑은 고딕" w:hAnsi="맑은 고딕" w:eastAsia="맑은 고딕" w:cs="맑은 고딕"/>
              </w:rPr>
              <w:t>0.675</w:t>
            </w:r>
          </w:p>
        </w:tc>
        <w:tc>
          <w:tcPr>
            <w:tcW w:type="dxa" w:w="1314"/>
          </w:tcPr>
          <w:p>
            <w:r>
              <w:rPr>
                <w:sz w:val="17"/>
                <w:rFonts w:ascii="맑은 고딕" w:hAnsi="맑은 고딕" w:eastAsia="맑은 고딕" w:cs="맑은 고딕"/>
              </w:rPr>
              <w:t>0.417</w:t>
            </w:r>
          </w:p>
        </w:tc>
        <w:tc>
          <w:tcPr>
            <w:tcW w:type="dxa" w:w="1314"/>
          </w:tcPr>
          <w:p>
            <w:r>
              <w:rPr>
                <w:sz w:val="17"/>
                <w:rFonts w:ascii="맑은 고딕" w:hAnsi="맑은 고딕" w:eastAsia="맑은 고딕" w:cs="맑은 고딕"/>
              </w:rPr>
              <w:t>0.417</w:t>
            </w:r>
          </w:p>
        </w:tc>
        <w:tc>
          <w:tcPr>
            <w:tcW w:type="dxa" w:w="1314"/>
          </w:tcPr>
          <w:p>
            <w:r>
              <w:rPr>
                <w:sz w:val="17"/>
                <w:rFonts w:ascii="맑은 고딕" w:hAnsi="맑은 고딕" w:eastAsia="맑은 고딕" w:cs="맑은 고딕"/>
              </w:rPr>
              <w:t>0.417</w:t>
            </w:r>
          </w:p>
        </w:tc>
        <w:tc>
          <w:tcPr>
            <w:tcW w:type="dxa" w:w="1314"/>
          </w:tcPr>
          <w:p>
            <w:r>
              <w:rPr>
                <w:sz w:val="17"/>
                <w:rFonts w:ascii="맑은 고딕" w:hAnsi="맑은 고딕" w:eastAsia="맑은 고딕" w:cs="맑은 고딕"/>
              </w:rPr>
              <w:t>0.705</w:t>
            </w:r>
          </w:p>
        </w:tc>
        <w:tc>
          <w:tcPr>
            <w:tcW w:type="dxa" w:w="1314"/>
          </w:tcPr>
          <w:p>
            <w:r>
              <w:rPr>
                <w:sz w:val="17"/>
                <w:rFonts w:ascii="맑은 고딕" w:hAnsi="맑은 고딕" w:eastAsia="맑은 고딕" w:cs="맑은 고딕"/>
              </w:rPr>
              <w:t>1.646</w:t>
            </w:r>
          </w:p>
        </w:tc>
      </w:tr>
      <w:tr>
        <w:tc>
          <w:tcPr>
            <w:tcW w:type="dxa" w:w="1314"/>
          </w:tcPr>
          <w:p>
            <w:r>
              <w:rPr>
                <w:sz w:val="17"/>
                <w:rFonts w:ascii="맑은 고딕" w:hAnsi="맑은 고딕" w:eastAsia="맑은 고딕" w:cs="맑은 고딕"/>
              </w:rPr>
              <w:t>의사결정나무</w:t>
            </w:r>
          </w:p>
        </w:tc>
        <w:tc>
          <w:tcPr>
            <w:tcW w:type="dxa" w:w="1314"/>
          </w:tcPr>
          <w:p>
            <w:r>
              <w:rPr>
                <w:sz w:val="17"/>
                <w:rFonts w:ascii="맑은 고딕" w:hAnsi="맑은 고딕" w:eastAsia="맑은 고딕" w:cs="맑은 고딕"/>
              </w:rPr>
              <w:t>0.398</w:t>
            </w:r>
          </w:p>
        </w:tc>
        <w:tc>
          <w:tcPr>
            <w:tcW w:type="dxa" w:w="1314"/>
          </w:tcPr>
          <w:p>
            <w:r>
              <w:rPr>
                <w:sz w:val="17"/>
                <w:rFonts w:ascii="맑은 고딕" w:hAnsi="맑은 고딕" w:eastAsia="맑은 고딕" w:cs="맑은 고딕"/>
              </w:rPr>
              <w:t>0.667</w:t>
            </w:r>
          </w:p>
        </w:tc>
        <w:tc>
          <w:tcPr>
            <w:tcW w:type="dxa" w:w="1314"/>
          </w:tcPr>
          <w:p>
            <w:r>
              <w:rPr>
                <w:sz w:val="17"/>
                <w:rFonts w:ascii="맑은 고딕" w:hAnsi="맑은 고딕" w:eastAsia="맑은 고딕" w:cs="맑은 고딕"/>
              </w:rPr>
              <w:t>0.420</w:t>
            </w:r>
          </w:p>
        </w:tc>
        <w:tc>
          <w:tcPr>
            <w:tcW w:type="dxa" w:w="1314"/>
          </w:tcPr>
          <w:p>
            <w:r>
              <w:rPr>
                <w:sz w:val="17"/>
                <w:rFonts w:ascii="맑은 고딕" w:hAnsi="맑은 고딕" w:eastAsia="맑은 고딕" w:cs="맑은 고딕"/>
              </w:rPr>
              <w:t>0.401</w:t>
            </w:r>
          </w:p>
        </w:tc>
        <w:tc>
          <w:tcPr>
            <w:tcW w:type="dxa" w:w="1314"/>
          </w:tcPr>
          <w:p>
            <w:r>
              <w:rPr>
                <w:sz w:val="17"/>
                <w:rFonts w:ascii="맑은 고딕" w:hAnsi="맑은 고딕" w:eastAsia="맑은 고딕" w:cs="맑은 고딕"/>
              </w:rPr>
              <w:t>0.441</w:t>
            </w:r>
          </w:p>
        </w:tc>
        <w:tc>
          <w:tcPr>
            <w:tcW w:type="dxa" w:w="1314"/>
          </w:tcPr>
          <w:p>
            <w:r>
              <w:rPr>
                <w:sz w:val="17"/>
                <w:rFonts w:ascii="맑은 고딕" w:hAnsi="맑은 고딕" w:eastAsia="맑은 고딕" w:cs="맑은 고딕"/>
              </w:rPr>
              <w:t>0.692</w:t>
            </w:r>
          </w:p>
        </w:tc>
        <w:tc>
          <w:tcPr>
            <w:tcW w:type="dxa" w:w="1314"/>
          </w:tcPr>
          <w:p>
            <w:r>
              <w:rPr>
                <w:sz w:val="17"/>
                <w:rFonts w:ascii="맑은 고딕" w:hAnsi="맑은 고딕" w:eastAsia="맑은 고딕" w:cs="맑은 고딕"/>
              </w:rPr>
              <w:t>1.585</w:t>
            </w:r>
          </w:p>
        </w:tc>
      </w:tr>
      <w:tr>
        <w:tc>
          <w:tcPr>
            <w:tcW w:type="dxa" w:w="1314"/>
          </w:tcPr>
          <w:p>
            <w:r>
              <w:rPr>
                <w:sz w:val="17"/>
                <w:rFonts w:ascii="맑은 고딕" w:hAnsi="맑은 고딕" w:eastAsia="맑은 고딕" w:cs="맑은 고딕"/>
              </w:rPr>
              <w:t>XGBoost</w:t>
            </w:r>
          </w:p>
        </w:tc>
        <w:tc>
          <w:tcPr>
            <w:tcW w:type="dxa" w:w="1314"/>
          </w:tcPr>
          <w:p>
            <w:r>
              <w:rPr>
                <w:sz w:val="17"/>
                <w:rFonts w:ascii="맑은 고딕" w:hAnsi="맑은 고딕" w:eastAsia="맑은 고딕" w:cs="맑은 고딕"/>
              </w:rPr>
              <w:t>0.398</w:t>
            </w:r>
          </w:p>
        </w:tc>
        <w:tc>
          <w:tcPr>
            <w:tcW w:type="dxa" w:w="1314"/>
          </w:tcPr>
          <w:p>
            <w:r>
              <w:rPr>
                <w:sz w:val="17"/>
                <w:rFonts w:ascii="맑은 고딕" w:hAnsi="맑은 고딕" w:eastAsia="맑은 고딕" w:cs="맑은 고딕"/>
              </w:rPr>
              <w:t>0.665</w:t>
            </w:r>
          </w:p>
        </w:tc>
        <w:tc>
          <w:tcPr>
            <w:tcW w:type="dxa" w:w="1314"/>
          </w:tcPr>
          <w:p>
            <w:r>
              <w:rPr>
                <w:sz w:val="17"/>
                <w:rFonts w:ascii="맑은 고딕" w:hAnsi="맑은 고딕" w:eastAsia="맑은 고딕" w:cs="맑은 고딕"/>
              </w:rPr>
              <w:t>0.405</w:t>
            </w:r>
          </w:p>
        </w:tc>
        <w:tc>
          <w:tcPr>
            <w:tcW w:type="dxa" w:w="1314"/>
          </w:tcPr>
          <w:p>
            <w:r>
              <w:rPr>
                <w:sz w:val="17"/>
                <w:rFonts w:ascii="맑은 고딕" w:hAnsi="맑은 고딕" w:eastAsia="맑은 고딕" w:cs="맑은 고딕"/>
              </w:rPr>
              <w:t>0.405</w:t>
            </w:r>
          </w:p>
        </w:tc>
        <w:tc>
          <w:tcPr>
            <w:tcW w:type="dxa" w:w="1314"/>
          </w:tcPr>
          <w:p>
            <w:r>
              <w:rPr>
                <w:sz w:val="17"/>
                <w:rFonts w:ascii="맑은 고딕" w:hAnsi="맑은 고딕" w:eastAsia="맑은 고딕" w:cs="맑은 고딕"/>
              </w:rPr>
              <w:t>0.405</w:t>
            </w:r>
          </w:p>
        </w:tc>
        <w:tc>
          <w:tcPr>
            <w:tcW w:type="dxa" w:w="1314"/>
          </w:tcPr>
          <w:p>
            <w:r>
              <w:rPr>
                <w:sz w:val="17"/>
                <w:rFonts w:ascii="맑은 고딕" w:hAnsi="맑은 고딕" w:eastAsia="맑은 고딕" w:cs="맑은 고딕"/>
              </w:rPr>
              <w:t>0.699</w:t>
            </w:r>
          </w:p>
        </w:tc>
        <w:tc>
          <w:tcPr>
            <w:tcW w:type="dxa" w:w="1314"/>
          </w:tcPr>
          <w:p>
            <w:r>
              <w:rPr>
                <w:sz w:val="17"/>
                <w:rFonts w:ascii="맑은 고딕" w:hAnsi="맑은 고딕" w:eastAsia="맑은 고딕" w:cs="맑은 고딕"/>
              </w:rPr>
              <w:t>1.601</w:t>
            </w:r>
          </w:p>
        </w:tc>
      </w:tr>
    </w:tbl>
    <w:p>
      <w:r>
        <w:rPr>
          <w:b w:val="0"/>
          <w:i/>
          <w:sz w:val="18"/>
          <w:rFonts w:ascii="맑은 고딕" w:hAnsi="맑은 고딕" w:eastAsia="맑은 고딕" w:cs="맑은 고딕"/>
        </w:rPr>
        <w:t>표 23</w:t>
      </w:r>
    </w:p>
    <w:p>
      <w:r>
        <w:rPr>
          <w:b w:val="0"/>
          <w:i w:val="0"/>
          <w:sz w:val="19"/>
          <w:rFonts w:ascii="맑은 고딕" w:hAnsi="맑은 고딕" w:eastAsia="맑은 고딕" w:cs="맑은 고딕"/>
        </w:rPr>
        <w:t>읽는 법 — 다섯 모델을 같은 검증 분기에서 비교한 것이고 주지표는 AP 임. 정확도 열은 참고용임.</w:t>
      </w:r>
    </w:p>
    <w:p>
      <w:pPr>
        <w:jc w:val="center"/>
      </w:pPr>
      <w:r>
        <w:drawing>
          <wp:inline xmlns:a="http://schemas.openxmlformats.org/drawingml/2006/main" xmlns:pic="http://schemas.openxmlformats.org/drawingml/2006/picture">
            <wp:extent cx="6035040" cy="3108960"/>
            <wp:docPr id="6" name="Picture 6"/>
            <wp:cNvGraphicFramePr>
              <a:graphicFrameLocks noChangeAspect="1"/>
            </wp:cNvGraphicFramePr>
            <a:graphic>
              <a:graphicData uri="http://schemas.openxmlformats.org/drawingml/2006/picture">
                <pic:pic>
                  <pic:nvPicPr>
                    <pic:cNvPr id="0" name="g6.png"/>
                    <pic:cNvPicPr/>
                  </pic:nvPicPr>
                  <pic:blipFill>
                    <a:blip r:embed="rId14"/>
                    <a:stretch>
                      <a:fillRect/>
                    </a:stretch>
                  </pic:blipFill>
                  <pic:spPr>
                    <a:xfrm>
                      <a:off x="0" y="0"/>
                      <a:ext cx="6035040" cy="3108960"/>
                    </a:xfrm>
                    <a:prstGeom prst="rect"/>
                  </pic:spPr>
                </pic:pic>
              </a:graphicData>
            </a:graphic>
          </wp:inline>
        </w:drawing>
      </w:r>
    </w:p>
    <w:p>
      <w:pPr>
        <w:jc w:val="center"/>
      </w:pPr>
      <w:r>
        <w:rPr>
          <w:b w:val="0"/>
          <w:i/>
          <w:sz w:val="18"/>
          <w:rFonts w:ascii="맑은 고딕" w:hAnsi="맑은 고딕" w:eastAsia="맑은 고딕" w:cs="맑은 고딕"/>
        </w:rPr>
        <w:t>그림 6</w:t>
      </w:r>
    </w:p>
    <w:p>
      <w:r>
        <w:rPr>
          <w:b w:val="0"/>
          <w:i w:val="0"/>
          <w:sz w:val="19"/>
          <w:rFonts w:ascii="맑은 고딕" w:hAnsi="맑은 고딕" w:eastAsia="맑은 고딕" w:cs="맑은 고딕"/>
        </w:rPr>
        <w:t>읽는 법 — 곡선이 위로 붙을수록 좋고 점선이 기저율임. 다섯 곡선이 겹쳐 보이는 것이 «모델 선택이 결론을 바꾸지 않는다»는 근거임.</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오버샘플링은 분할 전에 적용하지 않았고, 모델별 클래스 가중치로 불균형을 다뤘다. 중요한 결론은 “XGBoost가 최고”가 아니라, 서로 다른 모델의 성능이 거의 같아 현재 성능 한계가 알고리즘보다 데이터 변수에 더 가까워 보인다는 점이다.</w:t>
      </w:r>
    </w:p>
    <w:p>
      <w:r>
        <w:br w:type="page"/>
      </w:r>
    </w:p>
    <w:p>
      <w:pPr>
        <w:pStyle w:val="Heading1"/>
      </w:pPr>
      <w:r>
        <w:rPr>
          <w:rFonts w:ascii="맑은 고딕" w:hAnsi="맑은 고딕" w:eastAsia="맑은 고딕" w:cs="맑은 고딕"/>
        </w:rPr>
        <w:t>12  선정 규모 — 몇 곳을 위험 대상으로 볼 것인가</w:t>
      </w:r>
    </w:p>
    <w:p>
      <w:r>
        <w:rPr>
          <w:b/>
          <w:i w:val="0"/>
          <w:sz w:val="22"/>
          <w:rFonts w:ascii="맑은 고딕" w:hAnsi="맑은 고딕" w:eastAsia="맑은 고딕" w:cs="맑은 고딕"/>
        </w:rPr>
        <w:t>핵심 한 줄 — 모델은 많은 곳을 넓게 잡을 때보다, 실제 담당자가 볼 수 있는 상위 수십~수백 곳을 우선 선별할 때 가장 유용했다.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경보 대상을 몇 곳으로 자르느냐에 따라 정밀도와 재현율이 달라진다. 테스트 결과를 본 뒤 기준을 고르면 과적합이므로, 선정 규모는 검증 분기에서 먼저 정했다.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검증에서 정밀도가 가장 높았던 기준은 상위 100개였다. 이 기준을 테스트 분기에 그대로 적용했다.</w:t>
      </w:r>
    </w:p>
    <w:p>
      <w:pPr>
        <w:ind w:left="173"/>
      </w:pPr>
      <w:r>
        <w:rPr>
          <w:b w:val="0"/>
          <w:i w:val="0"/>
          <w:sz w:val="21"/>
          <w:rFonts w:ascii="맑은 고딕" w:hAnsi="맑은 고딕" w:eastAsia="맑은 고딕" w:cs="맑은 고딕"/>
        </w:rPr>
        <w:t>• 테스트에서 상위 50개는 모델 정밀도 72.0%로 점포 수 기준 38.0%보다 높았다.</w:t>
      </w:r>
    </w:p>
    <w:p>
      <w:pPr>
        <w:ind w:left="173"/>
      </w:pPr>
      <w:r>
        <w:rPr>
          <w:b w:val="0"/>
          <w:i w:val="0"/>
          <w:sz w:val="21"/>
          <w:rFonts w:ascii="맑은 고딕" w:hAnsi="맑은 고딕" w:eastAsia="맑은 고딕" w:cs="맑은 고딕"/>
        </w:rPr>
        <w:t>• 상위 100개는 60.0% vs 46.0%, 상위 300개는 53.3% vs 49.3%였다.</w:t>
      </w:r>
    </w:p>
    <w:p>
      <w:pPr>
        <w:ind w:left="173"/>
      </w:pPr>
      <w:r>
        <w:rPr>
          <w:b w:val="0"/>
          <w:i w:val="0"/>
          <w:sz w:val="21"/>
          <w:rFonts w:ascii="맑은 고딕" w:hAnsi="맑은 고딕" w:eastAsia="맑은 고딕" w:cs="맑은 고딕"/>
        </w:rPr>
        <w:t>• 선정 규모가 커질수록 모델과 점포 수 기준의 차이가 줄었고, 상위 800개 이후에는 점포 수 기준이 더 높아졌다.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상위 50개</w:t>
            </w:r>
          </w:p>
        </w:tc>
        <w:tc>
          <w:tcPr>
            <w:tcW w:type="dxa" w:w="5256"/>
          </w:tcPr>
          <w:p>
            <w:r>
              <w:rPr>
                <w:sz w:val="17"/>
                <w:rFonts w:ascii="맑은 고딕" w:hAnsi="맑은 고딕" w:eastAsia="맑은 고딕" w:cs="맑은 고딕"/>
              </w:rPr>
              <w:t>모델 72.0% · 점포 수 38.0%</w:t>
            </w:r>
          </w:p>
        </w:tc>
      </w:tr>
      <w:tr>
        <w:tc>
          <w:tcPr>
            <w:tcW w:type="dxa" w:w="5256"/>
          </w:tcPr>
          <w:p>
            <w:r>
              <w:rPr>
                <w:sz w:val="17"/>
                <w:rFonts w:ascii="맑은 고딕" w:hAnsi="맑은 고딕" w:eastAsia="맑은 고딕" w:cs="맑은 고딕"/>
              </w:rPr>
              <w:t>상위 100개</w:t>
            </w:r>
          </w:p>
        </w:tc>
        <w:tc>
          <w:tcPr>
            <w:tcW w:type="dxa" w:w="5256"/>
          </w:tcPr>
          <w:p>
            <w:r>
              <w:rPr>
                <w:sz w:val="17"/>
                <w:rFonts w:ascii="맑은 고딕" w:hAnsi="맑은 고딕" w:eastAsia="맑은 고딕" w:cs="맑은 고딕"/>
              </w:rPr>
              <w:t>60.0% · 46.0%</w:t>
            </w:r>
          </w:p>
        </w:tc>
      </w:tr>
      <w:tr>
        <w:tc>
          <w:tcPr>
            <w:tcW w:type="dxa" w:w="5256"/>
          </w:tcPr>
          <w:p>
            <w:r>
              <w:rPr>
                <w:sz w:val="17"/>
                <w:rFonts w:ascii="맑은 고딕" w:hAnsi="맑은 고딕" w:eastAsia="맑은 고딕" w:cs="맑은 고딕"/>
              </w:rPr>
              <w:t>상위 300개</w:t>
            </w:r>
          </w:p>
        </w:tc>
        <w:tc>
          <w:tcPr>
            <w:tcW w:type="dxa" w:w="5256"/>
          </w:tcPr>
          <w:p>
            <w:r>
              <w:rPr>
                <w:sz w:val="17"/>
                <w:rFonts w:ascii="맑은 고딕" w:hAnsi="맑은 고딕" w:eastAsia="맑은 고딕" w:cs="맑은 고딕"/>
              </w:rPr>
              <w:t>53.3% · 49.3%</w:t>
            </w:r>
          </w:p>
        </w:tc>
      </w:tr>
      <w:tr>
        <w:tc>
          <w:tcPr>
            <w:tcW w:type="dxa" w:w="5256"/>
          </w:tcPr>
          <w:p>
            <w:r>
              <w:rPr>
                <w:sz w:val="17"/>
                <w:rFonts w:ascii="맑은 고딕" w:hAnsi="맑은 고딕" w:eastAsia="맑은 고딕" w:cs="맑은 고딕"/>
              </w:rPr>
              <w:t>상위 100개 재현율</w:t>
            </w:r>
          </w:p>
        </w:tc>
        <w:tc>
          <w:tcPr>
            <w:tcW w:type="dxa" w:w="5256"/>
          </w:tcPr>
          <w:p>
            <w:r>
              <w:rPr>
                <w:sz w:val="17"/>
                <w:rFonts w:ascii="맑은 고딕" w:hAnsi="맑은 고딕" w:eastAsia="맑은 고딕" w:cs="맑은 고딕"/>
              </w:rPr>
              <w:t>전체 실제 순감소의 4.2%만 포착</w:t>
            </w:r>
          </w:p>
        </w:tc>
      </w:tr>
    </w:tbl>
    <w:p>
      <w:r>
        <w:rPr>
          <w:b w:val="0"/>
          <w:i/>
          <w:sz w:val="18"/>
          <w:rFonts w:ascii="맑은 고딕" w:hAnsi="맑은 고딕" w:eastAsia="맑은 고딕" w:cs="맑은 고딕"/>
        </w:rPr>
        <w:t>표 24</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Pr>
                <w:b/>
                <w:sz w:val="17"/>
                <w:rFonts w:ascii="맑은 고딕" w:hAnsi="맑은 고딕" w:eastAsia="맑은 고딕" w:cs="맑은 고딕"/>
              </w:rPr>
            </w:r>
          </w:p>
        </w:tc>
        <w:tc>
          <w:tcPr>
            <w:tcW w:type="dxa" w:w="2628"/>
          </w:tcPr>
          <w:p>
            <w:r>
              <w:rPr>
                <w:b/>
                <w:sz w:val="17"/>
                <w:rFonts w:ascii="맑은 고딕" w:hAnsi="맑은 고딕" w:eastAsia="맑은 고딕" w:cs="맑은 고딕"/>
              </w:rPr>
              <w:t>검증 정밀도</w:t>
            </w:r>
          </w:p>
        </w:tc>
        <w:tc>
          <w:tcPr>
            <w:tcW w:type="dxa" w:w="2628"/>
          </w:tcPr>
          <w:p>
            <w:r>
              <w:rPr>
                <w:b/>
                <w:sz w:val="17"/>
                <w:rFonts w:ascii="맑은 고딕" w:hAnsi="맑은 고딕" w:eastAsia="맑은 고딕" w:cs="맑은 고딕"/>
              </w:rPr>
              <w:t>검증 재현율</w:t>
            </w:r>
          </w:p>
        </w:tc>
        <w:tc>
          <w:tcPr>
            <w:tcW w:type="dxa" w:w="2628"/>
          </w:tcPr>
          <w:p>
            <w:r>
              <w:rPr>
                <w:b/>
                <w:sz w:val="17"/>
                <w:rFonts w:ascii="맑은 고딕" w:hAnsi="맑은 고딕" w:eastAsia="맑은 고딕" w:cs="맑은 고딕"/>
              </w:rPr>
              <w:t>검증 ÷ 기저율</w:t>
            </w:r>
          </w:p>
        </w:tc>
      </w:tr>
      <w:tr>
        <w:tc>
          <w:tcPr>
            <w:tcW w:type="dxa" w:w="2628"/>
          </w:tcPr>
          <w:p>
            <w:r>
              <w:rPr>
                <w:sz w:val="17"/>
                <w:rFonts w:ascii="맑은 고딕" w:hAnsi="맑은 고딕" w:eastAsia="맑은 고딕" w:cs="맑은 고딕"/>
              </w:rPr>
              <w:t>위험으로 찍은 수</w:t>
            </w:r>
          </w:p>
        </w:tc>
        <w:tc>
          <w:tcPr>
            <w:tcW w:type="dxa" w:w="2628"/>
          </w:tcPr>
          <w:p>
            <w:r>
              <w:rPr>
                <w:sz w:val="17"/>
                <w:rFonts w:ascii="맑은 고딕" w:hAnsi="맑은 고딕" w:eastAsia="맑은 고딕" w:cs="맑은 고딕"/>
              </w:rPr>
            </w:r>
          </w:p>
        </w:tc>
        <w:tc>
          <w:tcPr>
            <w:tcW w:type="dxa" w:w="2628"/>
          </w:tcPr>
          <w:p>
            <w:r>
              <w:rPr>
                <w:sz w:val="17"/>
                <w:rFonts w:ascii="맑은 고딕" w:hAnsi="맑은 고딕" w:eastAsia="맑은 고딕" w:cs="맑은 고딕"/>
              </w:rPr>
            </w:r>
          </w:p>
        </w:tc>
        <w:tc>
          <w:tcPr>
            <w:tcW w:type="dxa" w:w="2628"/>
          </w:tcPr>
          <w:p>
            <w:r>
              <w:rPr>
                <w:sz w:val="17"/>
                <w:rFonts w:ascii="맑은 고딕" w:hAnsi="맑은 고딕" w:eastAsia="맑은 고딕" w:cs="맑은 고딕"/>
              </w:rPr>
            </w:r>
          </w:p>
        </w:tc>
      </w:tr>
      <w:tr>
        <w:tc>
          <w:tcPr>
            <w:tcW w:type="dxa" w:w="2628"/>
          </w:tcPr>
          <w:p>
            <w:r>
              <w:rPr>
                <w:sz w:val="17"/>
                <w:rFonts w:ascii="맑은 고딕" w:hAnsi="맑은 고딕" w:eastAsia="맑은 고딕" w:cs="맑은 고딕"/>
              </w:rPr>
              <w:t>50</w:t>
            </w:r>
          </w:p>
        </w:tc>
        <w:tc>
          <w:tcPr>
            <w:tcW w:type="dxa" w:w="2628"/>
          </w:tcPr>
          <w:p>
            <w:r>
              <w:rPr>
                <w:sz w:val="17"/>
                <w:rFonts w:ascii="맑은 고딕" w:hAnsi="맑은 고딕" w:eastAsia="맑은 고딕" w:cs="맑은 고딕"/>
              </w:rPr>
              <w:t>0.580</w:t>
            </w:r>
          </w:p>
        </w:tc>
        <w:tc>
          <w:tcPr>
            <w:tcW w:type="dxa" w:w="2628"/>
          </w:tcPr>
          <w:p>
            <w:r>
              <w:rPr>
                <w:sz w:val="17"/>
                <w:rFonts w:ascii="맑은 고딕" w:hAnsi="맑은 고딕" w:eastAsia="맑은 고딕" w:cs="맑은 고딕"/>
              </w:rPr>
              <w:t>0.021</w:t>
            </w:r>
          </w:p>
        </w:tc>
        <w:tc>
          <w:tcPr>
            <w:tcW w:type="dxa" w:w="2628"/>
          </w:tcPr>
          <w:p>
            <w:r>
              <w:rPr>
                <w:sz w:val="17"/>
                <w:rFonts w:ascii="맑은 고딕" w:hAnsi="맑은 고딕" w:eastAsia="맑은 고딕" w:cs="맑은 고딕"/>
              </w:rPr>
              <w:t>2.292</w:t>
            </w:r>
          </w:p>
        </w:tc>
      </w:tr>
      <w:tr>
        <w:tc>
          <w:tcPr>
            <w:tcW w:type="dxa" w:w="2628"/>
          </w:tcPr>
          <w:p>
            <w:r>
              <w:rPr>
                <w:sz w:val="17"/>
                <w:rFonts w:ascii="맑은 고딕" w:hAnsi="맑은 고딕" w:eastAsia="맑은 고딕" w:cs="맑은 고딕"/>
              </w:rPr>
              <w:t>100</w:t>
            </w:r>
          </w:p>
        </w:tc>
        <w:tc>
          <w:tcPr>
            <w:tcW w:type="dxa" w:w="2628"/>
          </w:tcPr>
          <w:p>
            <w:r>
              <w:rPr>
                <w:sz w:val="17"/>
                <w:rFonts w:ascii="맑은 고딕" w:hAnsi="맑은 고딕" w:eastAsia="맑은 고딕" w:cs="맑은 고딕"/>
              </w:rPr>
              <w:t>0.600</w:t>
            </w:r>
          </w:p>
        </w:tc>
        <w:tc>
          <w:tcPr>
            <w:tcW w:type="dxa" w:w="2628"/>
          </w:tcPr>
          <w:p>
            <w:r>
              <w:rPr>
                <w:sz w:val="17"/>
                <w:rFonts w:ascii="맑은 고딕" w:hAnsi="맑은 고딕" w:eastAsia="맑은 고딕" w:cs="맑은 고딕"/>
              </w:rPr>
              <w:t>0.043</w:t>
            </w:r>
          </w:p>
        </w:tc>
        <w:tc>
          <w:tcPr>
            <w:tcW w:type="dxa" w:w="2628"/>
          </w:tcPr>
          <w:p>
            <w:r>
              <w:rPr>
                <w:sz w:val="17"/>
                <w:rFonts w:ascii="맑은 고딕" w:hAnsi="맑은 고딕" w:eastAsia="맑은 고딕" w:cs="맑은 고딕"/>
              </w:rPr>
              <w:t>2.371</w:t>
            </w:r>
          </w:p>
        </w:tc>
      </w:tr>
      <w:tr>
        <w:tc>
          <w:tcPr>
            <w:tcW w:type="dxa" w:w="2628"/>
          </w:tcPr>
          <w:p>
            <w:r>
              <w:rPr>
                <w:sz w:val="17"/>
                <w:rFonts w:ascii="맑은 고딕" w:hAnsi="맑은 고딕" w:eastAsia="맑은 고딕" w:cs="맑은 고딕"/>
              </w:rPr>
              <w:t>200</w:t>
            </w:r>
          </w:p>
        </w:tc>
        <w:tc>
          <w:tcPr>
            <w:tcW w:type="dxa" w:w="2628"/>
          </w:tcPr>
          <w:p>
            <w:r>
              <w:rPr>
                <w:sz w:val="17"/>
                <w:rFonts w:ascii="맑은 고딕" w:hAnsi="맑은 고딕" w:eastAsia="맑은 고딕" w:cs="맑은 고딕"/>
              </w:rPr>
              <w:t>0.555</w:t>
            </w:r>
          </w:p>
        </w:tc>
        <w:tc>
          <w:tcPr>
            <w:tcW w:type="dxa" w:w="2628"/>
          </w:tcPr>
          <w:p>
            <w:r>
              <w:rPr>
                <w:sz w:val="17"/>
                <w:rFonts w:ascii="맑은 고딕" w:hAnsi="맑은 고딕" w:eastAsia="맑은 고딕" w:cs="맑은 고딕"/>
              </w:rPr>
              <w:t>0.080</w:t>
            </w:r>
          </w:p>
        </w:tc>
        <w:tc>
          <w:tcPr>
            <w:tcW w:type="dxa" w:w="2628"/>
          </w:tcPr>
          <w:p>
            <w:r>
              <w:rPr>
                <w:sz w:val="17"/>
                <w:rFonts w:ascii="맑은 고딕" w:hAnsi="맑은 고딕" w:eastAsia="맑은 고딕" w:cs="맑은 고딕"/>
              </w:rPr>
              <w:t>2.193</w:t>
            </w:r>
          </w:p>
        </w:tc>
      </w:tr>
      <w:tr>
        <w:tc>
          <w:tcPr>
            <w:tcW w:type="dxa" w:w="2628"/>
          </w:tcPr>
          <w:p>
            <w:r>
              <w:rPr>
                <w:sz w:val="17"/>
                <w:rFonts w:ascii="맑은 고딕" w:hAnsi="맑은 고딕" w:eastAsia="맑은 고딕" w:cs="맑은 고딕"/>
              </w:rPr>
              <w:t>300</w:t>
            </w:r>
          </w:p>
        </w:tc>
        <w:tc>
          <w:tcPr>
            <w:tcW w:type="dxa" w:w="2628"/>
          </w:tcPr>
          <w:p>
            <w:r>
              <w:rPr>
                <w:sz w:val="17"/>
                <w:rFonts w:ascii="맑은 고딕" w:hAnsi="맑은 고딕" w:eastAsia="맑은 고딕" w:cs="맑은 고딕"/>
              </w:rPr>
              <w:t>0.513</w:t>
            </w:r>
          </w:p>
        </w:tc>
        <w:tc>
          <w:tcPr>
            <w:tcW w:type="dxa" w:w="2628"/>
          </w:tcPr>
          <w:p>
            <w:r>
              <w:rPr>
                <w:sz w:val="17"/>
                <w:rFonts w:ascii="맑은 고딕" w:hAnsi="맑은 고딕" w:eastAsia="맑은 고딕" w:cs="맑은 고딕"/>
              </w:rPr>
              <w:t>0.111</w:t>
            </w:r>
          </w:p>
        </w:tc>
        <w:tc>
          <w:tcPr>
            <w:tcW w:type="dxa" w:w="2628"/>
          </w:tcPr>
          <w:p>
            <w:r>
              <w:rPr>
                <w:sz w:val="17"/>
                <w:rFonts w:ascii="맑은 고딕" w:hAnsi="맑은 고딕" w:eastAsia="맑은 고딕" w:cs="맑은 고딕"/>
              </w:rPr>
              <w:t>2.028</w:t>
            </w:r>
          </w:p>
        </w:tc>
      </w:tr>
      <w:tr>
        <w:tc>
          <w:tcPr>
            <w:tcW w:type="dxa" w:w="2628"/>
          </w:tcPr>
          <w:p>
            <w:r>
              <w:rPr>
                <w:sz w:val="17"/>
                <w:rFonts w:ascii="맑은 고딕" w:hAnsi="맑은 고딕" w:eastAsia="맑은 고딕" w:cs="맑은 고딕"/>
              </w:rPr>
              <w:t>500</w:t>
            </w:r>
          </w:p>
        </w:tc>
        <w:tc>
          <w:tcPr>
            <w:tcW w:type="dxa" w:w="2628"/>
          </w:tcPr>
          <w:p>
            <w:r>
              <w:rPr>
                <w:sz w:val="17"/>
                <w:rFonts w:ascii="맑은 고딕" w:hAnsi="맑은 고딕" w:eastAsia="맑은 고딕" w:cs="맑은 고딕"/>
              </w:rPr>
              <w:t>0.488</w:t>
            </w:r>
          </w:p>
        </w:tc>
        <w:tc>
          <w:tcPr>
            <w:tcW w:type="dxa" w:w="2628"/>
          </w:tcPr>
          <w:p>
            <w:r>
              <w:rPr>
                <w:sz w:val="17"/>
                <w:rFonts w:ascii="맑은 고딕" w:hAnsi="맑은 고딕" w:eastAsia="맑은 고딕" w:cs="맑은 고딕"/>
              </w:rPr>
              <w:t>0.175</w:t>
            </w:r>
          </w:p>
        </w:tc>
        <w:tc>
          <w:tcPr>
            <w:tcW w:type="dxa" w:w="2628"/>
          </w:tcPr>
          <w:p>
            <w:r>
              <w:rPr>
                <w:sz w:val="17"/>
                <w:rFonts w:ascii="맑은 고딕" w:hAnsi="맑은 고딕" w:eastAsia="맑은 고딕" w:cs="맑은 고딕"/>
              </w:rPr>
              <w:t>1.928</w:t>
            </w:r>
          </w:p>
        </w:tc>
      </w:tr>
      <w:tr>
        <w:tc>
          <w:tcPr>
            <w:tcW w:type="dxa" w:w="2628"/>
          </w:tcPr>
          <w:p>
            <w:r>
              <w:rPr>
                <w:sz w:val="17"/>
                <w:rFonts w:ascii="맑은 고딕" w:hAnsi="맑은 고딕" w:eastAsia="맑은 고딕" w:cs="맑은 고딕"/>
              </w:rPr>
              <w:t>800</w:t>
            </w:r>
          </w:p>
        </w:tc>
        <w:tc>
          <w:tcPr>
            <w:tcW w:type="dxa" w:w="2628"/>
          </w:tcPr>
          <w:p>
            <w:r>
              <w:rPr>
                <w:sz w:val="17"/>
                <w:rFonts w:ascii="맑은 고딕" w:hAnsi="맑은 고딕" w:eastAsia="맑은 고딕" w:cs="맑은 고딕"/>
              </w:rPr>
              <w:t>0.448</w:t>
            </w:r>
          </w:p>
        </w:tc>
        <w:tc>
          <w:tcPr>
            <w:tcW w:type="dxa" w:w="2628"/>
          </w:tcPr>
          <w:p>
            <w:r>
              <w:rPr>
                <w:sz w:val="17"/>
                <w:rFonts w:ascii="맑은 고딕" w:hAnsi="맑은 고딕" w:eastAsia="맑은 고딕" w:cs="맑은 고딕"/>
              </w:rPr>
              <w:t>0.257</w:t>
            </w:r>
          </w:p>
        </w:tc>
        <w:tc>
          <w:tcPr>
            <w:tcW w:type="dxa" w:w="2628"/>
          </w:tcPr>
          <w:p>
            <w:r>
              <w:rPr>
                <w:sz w:val="17"/>
                <w:rFonts w:ascii="맑은 고딕" w:hAnsi="맑은 고딕" w:eastAsia="맑은 고딕" w:cs="맑은 고딕"/>
              </w:rPr>
              <w:t>1.768</w:t>
            </w:r>
          </w:p>
        </w:tc>
      </w:tr>
      <w:tr>
        <w:tc>
          <w:tcPr>
            <w:tcW w:type="dxa" w:w="2628"/>
          </w:tcPr>
          <w:p>
            <w:r>
              <w:rPr>
                <w:sz w:val="17"/>
                <w:rFonts w:ascii="맑은 고딕" w:hAnsi="맑은 고딕" w:eastAsia="맑은 고딕" w:cs="맑은 고딕"/>
              </w:rPr>
              <w:t>1285</w:t>
            </w:r>
          </w:p>
        </w:tc>
        <w:tc>
          <w:tcPr>
            <w:tcW w:type="dxa" w:w="2628"/>
          </w:tcPr>
          <w:p>
            <w:r>
              <w:rPr>
                <w:sz w:val="17"/>
                <w:rFonts w:ascii="맑은 고딕" w:hAnsi="맑은 고딕" w:eastAsia="맑은 고딕" w:cs="맑은 고딕"/>
              </w:rPr>
              <w:t>0.412</w:t>
            </w:r>
          </w:p>
        </w:tc>
        <w:tc>
          <w:tcPr>
            <w:tcW w:type="dxa" w:w="2628"/>
          </w:tcPr>
          <w:p>
            <w:r>
              <w:rPr>
                <w:sz w:val="17"/>
                <w:rFonts w:ascii="맑은 고딕" w:hAnsi="맑은 고딕" w:eastAsia="맑은 고딕" w:cs="맑은 고딕"/>
              </w:rPr>
              <w:t>0.380</w:t>
            </w:r>
          </w:p>
        </w:tc>
        <w:tc>
          <w:tcPr>
            <w:tcW w:type="dxa" w:w="2628"/>
          </w:tcPr>
          <w:p>
            <w:r>
              <w:rPr>
                <w:sz w:val="17"/>
                <w:rFonts w:ascii="맑은 고딕" w:hAnsi="맑은 고딕" w:eastAsia="맑은 고딕" w:cs="맑은 고딕"/>
              </w:rPr>
              <w:t>1.627</w:t>
            </w:r>
          </w:p>
        </w:tc>
      </w:tr>
      <w:tr>
        <w:tc>
          <w:tcPr>
            <w:tcW w:type="dxa" w:w="2628"/>
          </w:tcPr>
          <w:p>
            <w:r>
              <w:rPr>
                <w:sz w:val="17"/>
                <w:rFonts w:ascii="맑은 고딕" w:hAnsi="맑은 고딕" w:eastAsia="맑은 고딕" w:cs="맑은 고딕"/>
              </w:rPr>
              <w:t>2000</w:t>
            </w:r>
          </w:p>
        </w:tc>
        <w:tc>
          <w:tcPr>
            <w:tcW w:type="dxa" w:w="2628"/>
          </w:tcPr>
          <w:p>
            <w:r>
              <w:rPr>
                <w:sz w:val="17"/>
                <w:rFonts w:ascii="맑은 고딕" w:hAnsi="맑은 고딕" w:eastAsia="맑은 고딕" w:cs="맑은 고딕"/>
              </w:rPr>
              <w:t>0.378</w:t>
            </w:r>
          </w:p>
        </w:tc>
        <w:tc>
          <w:tcPr>
            <w:tcW w:type="dxa" w:w="2628"/>
          </w:tcPr>
          <w:p>
            <w:r>
              <w:rPr>
                <w:sz w:val="17"/>
                <w:rFonts w:ascii="맑은 고딕" w:hAnsi="맑은 고딕" w:eastAsia="맑은 고딕" w:cs="맑은 고딕"/>
              </w:rPr>
              <w:t>0.543</w:t>
            </w:r>
          </w:p>
        </w:tc>
        <w:tc>
          <w:tcPr>
            <w:tcW w:type="dxa" w:w="2628"/>
          </w:tcPr>
          <w:p>
            <w:r>
              <w:rPr>
                <w:sz w:val="17"/>
                <w:rFonts w:ascii="맑은 고딕" w:hAnsi="맑은 고딕" w:eastAsia="맑은 고딕" w:cs="맑은 고딕"/>
              </w:rPr>
              <w:t>1.494</w:t>
            </w:r>
          </w:p>
        </w:tc>
      </w:tr>
    </w:tbl>
    <w:p>
      <w:r>
        <w:rPr>
          <w:b w:val="0"/>
          <w:i/>
          <w:sz w:val="18"/>
          <w:rFonts w:ascii="맑은 고딕" w:hAnsi="맑은 고딕" w:eastAsia="맑은 고딕" w:cs="맑은 고딕"/>
        </w:rPr>
        <w:t>표 25</w:t>
      </w:r>
    </w:p>
    <w:p>
      <w:r>
        <w:rPr>
          <w:b w:val="0"/>
          <w:i w:val="0"/>
          <w:sz w:val="19"/>
          <w:rFonts w:ascii="맑은 고딕" w:hAnsi="맑은 고딕" w:eastAsia="맑은 고딕" w:cs="맑은 고딕"/>
        </w:rPr>
        <w:t>읽는 법 — 검증 분기에서 찍는 칸 수를 바꿔 가며 정밀도를 본 것임. 가장 높은 지점(상위 100칸)을 테스트로 옮겨 씀.</w:t>
      </w:r>
    </w:p>
    <w:tbl>
      <w:tblPr>
        <w:tblStyle w:val="LightGrid-Accent1"/>
        <w:tblW w:type="auto" w:w="0"/>
        <w:tblLook w:firstColumn="1" w:firstRow="1" w:lastColumn="0" w:lastRow="0" w:noHBand="0" w:noVBand="1" w:val="04A0"/>
      </w:tblPr>
      <w:tblGrid>
        <w:gridCol w:w="1168"/>
        <w:gridCol w:w="1168"/>
        <w:gridCol w:w="1168"/>
        <w:gridCol w:w="1168"/>
        <w:gridCol w:w="1168"/>
        <w:gridCol w:w="1168"/>
        <w:gridCol w:w="1168"/>
        <w:gridCol w:w="1168"/>
        <w:gridCol w:w="1168"/>
      </w:tblGrid>
      <w:tr>
        <w:tc>
          <w:tcPr>
            <w:tcW w:type="dxa" w:w="1168"/>
          </w:tcPr>
          <w:p>
            <w:r>
              <w:rPr>
                <w:b/>
                <w:sz w:val="17"/>
                <w:rFonts w:ascii="맑은 고딕" w:hAnsi="맑은 고딕" w:eastAsia="맑은 고딕" w:cs="맑은 고딕"/>
              </w:rPr>
            </w:r>
          </w:p>
        </w:tc>
        <w:tc>
          <w:tcPr>
            <w:tcW w:type="dxa" w:w="1168"/>
          </w:tcPr>
          <w:p>
            <w:r>
              <w:rPr>
                <w:b/>
                <w:sz w:val="17"/>
                <w:rFonts w:ascii="맑은 고딕" w:hAnsi="맑은 고딕" w:eastAsia="맑은 고딕" w:cs="맑은 고딕"/>
              </w:rPr>
              <w:t>XGBoost 정밀도</w:t>
            </w:r>
          </w:p>
        </w:tc>
        <w:tc>
          <w:tcPr>
            <w:tcW w:type="dxa" w:w="1168"/>
          </w:tcPr>
          <w:p>
            <w:r>
              <w:rPr>
                <w:b/>
                <w:sz w:val="17"/>
                <w:rFonts w:ascii="맑은 고딕" w:hAnsi="맑은 고딕" w:eastAsia="맑은 고딕" w:cs="맑은 고딕"/>
              </w:rPr>
              <w:t>점포 수 정밀도</w:t>
            </w:r>
          </w:p>
        </w:tc>
        <w:tc>
          <w:tcPr>
            <w:tcW w:type="dxa" w:w="1168"/>
          </w:tcPr>
          <w:p>
            <w:r>
              <w:rPr>
                <w:b/>
                <w:sz w:val="17"/>
                <w:rFonts w:ascii="맑은 고딕" w:hAnsi="맑은 고딕" w:eastAsia="맑은 고딕" w:cs="맑은 고딕"/>
              </w:rPr>
              <w:t>XGBoost 재현율</w:t>
            </w:r>
          </w:p>
        </w:tc>
        <w:tc>
          <w:tcPr>
            <w:tcW w:type="dxa" w:w="1168"/>
          </w:tcPr>
          <w:p>
            <w:r>
              <w:rPr>
                <w:b/>
                <w:sz w:val="17"/>
                <w:rFonts w:ascii="맑은 고딕" w:hAnsi="맑은 고딕" w:eastAsia="맑은 고딕" w:cs="맑은 고딕"/>
              </w:rPr>
              <w:t>점포 수 재현율</w:t>
            </w:r>
          </w:p>
        </w:tc>
        <w:tc>
          <w:tcPr>
            <w:tcW w:type="dxa" w:w="1168"/>
          </w:tcPr>
          <w:p>
            <w:r>
              <w:rPr>
                <w:b/>
                <w:sz w:val="17"/>
                <w:rFonts w:ascii="맑은 고딕" w:hAnsi="맑은 고딕" w:eastAsia="맑은 고딕" w:cs="맑은 고딕"/>
              </w:rPr>
              <w:t>XGBoost ÷ 기저율</w:t>
            </w:r>
          </w:p>
        </w:tc>
        <w:tc>
          <w:tcPr>
            <w:tcW w:type="dxa" w:w="1168"/>
          </w:tcPr>
          <w:p>
            <w:r>
              <w:rPr>
                <w:b/>
                <w:sz w:val="17"/>
                <w:rFonts w:ascii="맑은 고딕" w:hAnsi="맑은 고딕" w:eastAsia="맑은 고딕" w:cs="맑은 고딕"/>
              </w:rPr>
              <w:t>점포 수 ÷ 기저율</w:t>
            </w:r>
          </w:p>
        </w:tc>
        <w:tc>
          <w:tcPr>
            <w:tcW w:type="dxa" w:w="1168"/>
          </w:tcPr>
          <w:p>
            <w:r>
              <w:rPr>
                <w:b/>
                <w:sz w:val="17"/>
                <w:rFonts w:ascii="맑은 고딕" w:hAnsi="맑은 고딕" w:eastAsia="맑은 고딕" w:cs="맑은 고딕"/>
              </w:rPr>
              <w:t>두 목록 겹침</w:t>
            </w:r>
          </w:p>
        </w:tc>
        <w:tc>
          <w:tcPr>
            <w:tcW w:type="dxa" w:w="1168"/>
          </w:tcPr>
          <w:p>
            <w:r>
              <w:rPr>
                <w:b/>
                <w:sz w:val="17"/>
                <w:rFonts w:ascii="맑은 고딕" w:hAnsi="맑은 고딕" w:eastAsia="맑은 고딕" w:cs="맑은 고딕"/>
              </w:rPr>
              <w:t>XGBoost 평균점포</w:t>
            </w:r>
          </w:p>
        </w:tc>
      </w:tr>
      <w:tr>
        <w:tc>
          <w:tcPr>
            <w:tcW w:type="dxa" w:w="1168"/>
          </w:tcPr>
          <w:p>
            <w:r>
              <w:rPr>
                <w:sz w:val="17"/>
                <w:rFonts w:ascii="맑은 고딕" w:hAnsi="맑은 고딕" w:eastAsia="맑은 고딕" w:cs="맑은 고딕"/>
              </w:rPr>
              <w:t>위험으로 찍은 수</w:t>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c>
          <w:tcPr>
            <w:tcW w:type="dxa" w:w="1168"/>
          </w:tcPr>
          <w:p>
            <w:r>
              <w:rPr>
                <w:sz w:val="17"/>
                <w:rFonts w:ascii="맑은 고딕" w:hAnsi="맑은 고딕" w:eastAsia="맑은 고딕" w:cs="맑은 고딕"/>
              </w:rPr>
            </w:r>
          </w:p>
        </w:tc>
      </w:tr>
      <w:tr>
        <w:tc>
          <w:tcPr>
            <w:tcW w:type="dxa" w:w="1168"/>
          </w:tcPr>
          <w:p>
            <w:r>
              <w:rPr>
                <w:sz w:val="17"/>
                <w:rFonts w:ascii="맑은 고딕" w:hAnsi="맑은 고딕" w:eastAsia="맑은 고딕" w:cs="맑은 고딕"/>
              </w:rPr>
              <w:t>50</w:t>
            </w:r>
          </w:p>
        </w:tc>
        <w:tc>
          <w:tcPr>
            <w:tcW w:type="dxa" w:w="1168"/>
          </w:tcPr>
          <w:p>
            <w:r>
              <w:rPr>
                <w:sz w:val="17"/>
                <w:rFonts w:ascii="맑은 고딕" w:hAnsi="맑은 고딕" w:eastAsia="맑은 고딕" w:cs="맑은 고딕"/>
              </w:rPr>
              <w:t>0.720</w:t>
            </w:r>
          </w:p>
        </w:tc>
        <w:tc>
          <w:tcPr>
            <w:tcW w:type="dxa" w:w="1168"/>
          </w:tcPr>
          <w:p>
            <w:r>
              <w:rPr>
                <w:sz w:val="17"/>
                <w:rFonts w:ascii="맑은 고딕" w:hAnsi="맑은 고딕" w:eastAsia="맑은 고딕" w:cs="맑은 고딕"/>
              </w:rPr>
              <w:t>0.380</w:t>
            </w:r>
          </w:p>
        </w:tc>
        <w:tc>
          <w:tcPr>
            <w:tcW w:type="dxa" w:w="1168"/>
          </w:tcPr>
          <w:p>
            <w:r>
              <w:rPr>
                <w:sz w:val="17"/>
                <w:rFonts w:ascii="맑은 고딕" w:hAnsi="맑은 고딕" w:eastAsia="맑은 고딕" w:cs="맑은 고딕"/>
              </w:rPr>
              <w:t>0.025</w:t>
            </w:r>
          </w:p>
        </w:tc>
        <w:tc>
          <w:tcPr>
            <w:tcW w:type="dxa" w:w="1168"/>
          </w:tcPr>
          <w:p>
            <w:r>
              <w:rPr>
                <w:sz w:val="17"/>
                <w:rFonts w:ascii="맑은 고딕" w:hAnsi="맑은 고딕" w:eastAsia="맑은 고딕" w:cs="맑은 고딕"/>
              </w:rPr>
              <w:t>0.013</w:t>
            </w:r>
          </w:p>
        </w:tc>
        <w:tc>
          <w:tcPr>
            <w:tcW w:type="dxa" w:w="1168"/>
          </w:tcPr>
          <w:p>
            <w:r>
              <w:rPr>
                <w:sz w:val="17"/>
                <w:rFonts w:ascii="맑은 고딕" w:hAnsi="맑은 고딕" w:eastAsia="맑은 고딕" w:cs="맑은 고딕"/>
              </w:rPr>
              <w:t>2.772</w:t>
            </w:r>
          </w:p>
        </w:tc>
        <w:tc>
          <w:tcPr>
            <w:tcW w:type="dxa" w:w="1168"/>
          </w:tcPr>
          <w:p>
            <w:r>
              <w:rPr>
                <w:sz w:val="17"/>
                <w:rFonts w:ascii="맑은 고딕" w:hAnsi="맑은 고딕" w:eastAsia="맑은 고딕" w:cs="맑은 고딕"/>
              </w:rPr>
              <w:t>1.463</w:t>
            </w:r>
          </w:p>
        </w:tc>
        <w:tc>
          <w:tcPr>
            <w:tcW w:type="dxa" w:w="1168"/>
          </w:tcPr>
          <w:p>
            <w:r>
              <w:rPr>
                <w:sz w:val="17"/>
                <w:rFonts w:ascii="맑은 고딕" w:hAnsi="맑은 고딕" w:eastAsia="맑은 고딕" w:cs="맑은 고딕"/>
              </w:rPr>
              <w:t>0.100</w:t>
            </w:r>
          </w:p>
        </w:tc>
        <w:tc>
          <w:tcPr>
            <w:tcW w:type="dxa" w:w="1168"/>
          </w:tcPr>
          <w:p>
            <w:r>
              <w:rPr>
                <w:sz w:val="17"/>
                <w:rFonts w:ascii="맑은 고딕" w:hAnsi="맑은 고딕" w:eastAsia="맑은 고딕" w:cs="맑은 고딕"/>
              </w:rPr>
              <w:t>108.620</w:t>
            </w:r>
          </w:p>
        </w:tc>
      </w:tr>
      <w:tr>
        <w:tc>
          <w:tcPr>
            <w:tcW w:type="dxa" w:w="1168"/>
          </w:tcPr>
          <w:p>
            <w:r>
              <w:rPr>
                <w:sz w:val="17"/>
                <w:rFonts w:ascii="맑은 고딕" w:hAnsi="맑은 고딕" w:eastAsia="맑은 고딕" w:cs="맑은 고딕"/>
              </w:rPr>
              <w:t>100</w:t>
            </w:r>
          </w:p>
        </w:tc>
        <w:tc>
          <w:tcPr>
            <w:tcW w:type="dxa" w:w="1168"/>
          </w:tcPr>
          <w:p>
            <w:r>
              <w:rPr>
                <w:sz w:val="17"/>
                <w:rFonts w:ascii="맑은 고딕" w:hAnsi="맑은 고딕" w:eastAsia="맑은 고딕" w:cs="맑은 고딕"/>
              </w:rPr>
              <w:t>0.600</w:t>
            </w:r>
          </w:p>
        </w:tc>
        <w:tc>
          <w:tcPr>
            <w:tcW w:type="dxa" w:w="1168"/>
          </w:tcPr>
          <w:p>
            <w:r>
              <w:rPr>
                <w:sz w:val="17"/>
                <w:rFonts w:ascii="맑은 고딕" w:hAnsi="맑은 고딕" w:eastAsia="맑은 고딕" w:cs="맑은 고딕"/>
              </w:rPr>
              <w:t>0.460</w:t>
            </w:r>
          </w:p>
        </w:tc>
        <w:tc>
          <w:tcPr>
            <w:tcW w:type="dxa" w:w="1168"/>
          </w:tcPr>
          <w:p>
            <w:r>
              <w:rPr>
                <w:sz w:val="17"/>
                <w:rFonts w:ascii="맑은 고딕" w:hAnsi="맑은 고딕" w:eastAsia="맑은 고딕" w:cs="맑은 고딕"/>
              </w:rPr>
              <w:t>0.042</w:t>
            </w:r>
          </w:p>
        </w:tc>
        <w:tc>
          <w:tcPr>
            <w:tcW w:type="dxa" w:w="1168"/>
          </w:tcPr>
          <w:p>
            <w:r>
              <w:rPr>
                <w:sz w:val="17"/>
                <w:rFonts w:ascii="맑은 고딕" w:hAnsi="맑은 고딕" w:eastAsia="맑은 고딕" w:cs="맑은 고딕"/>
              </w:rPr>
              <w:t>0.032</w:t>
            </w:r>
          </w:p>
        </w:tc>
        <w:tc>
          <w:tcPr>
            <w:tcW w:type="dxa" w:w="1168"/>
          </w:tcPr>
          <w:p>
            <w:r>
              <w:rPr>
                <w:sz w:val="17"/>
                <w:rFonts w:ascii="맑은 고딕" w:hAnsi="맑은 고딕" w:eastAsia="맑은 고딕" w:cs="맑은 고딕"/>
              </w:rPr>
              <w:t>2.310</w:t>
            </w:r>
          </w:p>
        </w:tc>
        <w:tc>
          <w:tcPr>
            <w:tcW w:type="dxa" w:w="1168"/>
          </w:tcPr>
          <w:p>
            <w:r>
              <w:rPr>
                <w:sz w:val="17"/>
                <w:rFonts w:ascii="맑은 고딕" w:hAnsi="맑은 고딕" w:eastAsia="맑은 고딕" w:cs="맑은 고딕"/>
              </w:rPr>
              <w:t>1.771</w:t>
            </w:r>
          </w:p>
        </w:tc>
        <w:tc>
          <w:tcPr>
            <w:tcW w:type="dxa" w:w="1168"/>
          </w:tcPr>
          <w:p>
            <w:r>
              <w:rPr>
                <w:sz w:val="17"/>
                <w:rFonts w:ascii="맑은 고딕" w:hAnsi="맑은 고딕" w:eastAsia="맑은 고딕" w:cs="맑은 고딕"/>
              </w:rPr>
              <w:t>0.230</w:t>
            </w:r>
          </w:p>
        </w:tc>
        <w:tc>
          <w:tcPr>
            <w:tcW w:type="dxa" w:w="1168"/>
          </w:tcPr>
          <w:p>
            <w:r>
              <w:rPr>
                <w:sz w:val="17"/>
                <w:rFonts w:ascii="맑은 고딕" w:hAnsi="맑은 고딕" w:eastAsia="맑은 고딕" w:cs="맑은 고딕"/>
              </w:rPr>
              <w:t>100.980</w:t>
            </w:r>
          </w:p>
        </w:tc>
      </w:tr>
      <w:tr>
        <w:tc>
          <w:tcPr>
            <w:tcW w:type="dxa" w:w="1168"/>
          </w:tcPr>
          <w:p>
            <w:r>
              <w:rPr>
                <w:sz w:val="17"/>
                <w:rFonts w:ascii="맑은 고딕" w:hAnsi="맑은 고딕" w:eastAsia="맑은 고딕" w:cs="맑은 고딕"/>
              </w:rPr>
              <w:t>200</w:t>
            </w:r>
          </w:p>
        </w:tc>
        <w:tc>
          <w:tcPr>
            <w:tcW w:type="dxa" w:w="1168"/>
          </w:tcPr>
          <w:p>
            <w:r>
              <w:rPr>
                <w:sz w:val="17"/>
                <w:rFonts w:ascii="맑은 고딕" w:hAnsi="맑은 고딕" w:eastAsia="맑은 고딕" w:cs="맑은 고딕"/>
              </w:rPr>
              <w:t>0.575</w:t>
            </w:r>
          </w:p>
        </w:tc>
        <w:tc>
          <w:tcPr>
            <w:tcW w:type="dxa" w:w="1168"/>
          </w:tcPr>
          <w:p>
            <w:r>
              <w:rPr>
                <w:sz w:val="17"/>
                <w:rFonts w:ascii="맑은 고딕" w:hAnsi="맑은 고딕" w:eastAsia="맑은 고딕" w:cs="맑은 고딕"/>
              </w:rPr>
              <w:t>0.520</w:t>
            </w:r>
          </w:p>
        </w:tc>
        <w:tc>
          <w:tcPr>
            <w:tcW w:type="dxa" w:w="1168"/>
          </w:tcPr>
          <w:p>
            <w:r>
              <w:rPr>
                <w:sz w:val="17"/>
                <w:rFonts w:ascii="맑은 고딕" w:hAnsi="맑은 고딕" w:eastAsia="맑은 고딕" w:cs="맑은 고딕"/>
              </w:rPr>
              <w:t>0.081</w:t>
            </w:r>
          </w:p>
        </w:tc>
        <w:tc>
          <w:tcPr>
            <w:tcW w:type="dxa" w:w="1168"/>
          </w:tcPr>
          <w:p>
            <w:r>
              <w:rPr>
                <w:sz w:val="17"/>
                <w:rFonts w:ascii="맑은 고딕" w:hAnsi="맑은 고딕" w:eastAsia="맑은 고딕" w:cs="맑은 고딕"/>
              </w:rPr>
              <w:t>0.073</w:t>
            </w:r>
          </w:p>
        </w:tc>
        <w:tc>
          <w:tcPr>
            <w:tcW w:type="dxa" w:w="1168"/>
          </w:tcPr>
          <w:p>
            <w:r>
              <w:rPr>
                <w:sz w:val="17"/>
                <w:rFonts w:ascii="맑은 고딕" w:hAnsi="맑은 고딕" w:eastAsia="맑은 고딕" w:cs="맑은 고딕"/>
              </w:rPr>
              <w:t>2.214</w:t>
            </w:r>
          </w:p>
        </w:tc>
        <w:tc>
          <w:tcPr>
            <w:tcW w:type="dxa" w:w="1168"/>
          </w:tcPr>
          <w:p>
            <w:r>
              <w:rPr>
                <w:sz w:val="17"/>
                <w:rFonts w:ascii="맑은 고딕" w:hAnsi="맑은 고딕" w:eastAsia="맑은 고딕" w:cs="맑은 고딕"/>
              </w:rPr>
              <w:t>2.002</w:t>
            </w:r>
          </w:p>
        </w:tc>
        <w:tc>
          <w:tcPr>
            <w:tcW w:type="dxa" w:w="1168"/>
          </w:tcPr>
          <w:p>
            <w:r>
              <w:rPr>
                <w:sz w:val="17"/>
                <w:rFonts w:ascii="맑은 고딕" w:hAnsi="맑은 고딕" w:eastAsia="맑은 고딕" w:cs="맑은 고딕"/>
              </w:rPr>
              <w:t>0.360</w:t>
            </w:r>
          </w:p>
        </w:tc>
        <w:tc>
          <w:tcPr>
            <w:tcW w:type="dxa" w:w="1168"/>
          </w:tcPr>
          <w:p>
            <w:r>
              <w:rPr>
                <w:sz w:val="17"/>
                <w:rFonts w:ascii="맑은 고딕" w:hAnsi="맑은 고딕" w:eastAsia="맑은 고딕" w:cs="맑은 고딕"/>
              </w:rPr>
              <w:t>82.425</w:t>
            </w:r>
          </w:p>
        </w:tc>
      </w:tr>
      <w:tr>
        <w:tc>
          <w:tcPr>
            <w:tcW w:type="dxa" w:w="1168"/>
          </w:tcPr>
          <w:p>
            <w:r>
              <w:rPr>
                <w:sz w:val="17"/>
                <w:rFonts w:ascii="맑은 고딕" w:hAnsi="맑은 고딕" w:eastAsia="맑은 고딕" w:cs="맑은 고딕"/>
              </w:rPr>
              <w:t>300</w:t>
            </w:r>
          </w:p>
        </w:tc>
        <w:tc>
          <w:tcPr>
            <w:tcW w:type="dxa" w:w="1168"/>
          </w:tcPr>
          <w:p>
            <w:r>
              <w:rPr>
                <w:sz w:val="17"/>
                <w:rFonts w:ascii="맑은 고딕" w:hAnsi="맑은 고딕" w:eastAsia="맑은 고딕" w:cs="맑은 고딕"/>
              </w:rPr>
              <w:t>0.533</w:t>
            </w:r>
          </w:p>
        </w:tc>
        <w:tc>
          <w:tcPr>
            <w:tcW w:type="dxa" w:w="1168"/>
          </w:tcPr>
          <w:p>
            <w:r>
              <w:rPr>
                <w:sz w:val="17"/>
                <w:rFonts w:ascii="맑은 고딕" w:hAnsi="맑은 고딕" w:eastAsia="맑은 고딕" w:cs="맑은 고딕"/>
              </w:rPr>
              <w:t>0.493</w:t>
            </w:r>
          </w:p>
        </w:tc>
        <w:tc>
          <w:tcPr>
            <w:tcW w:type="dxa" w:w="1168"/>
          </w:tcPr>
          <w:p>
            <w:r>
              <w:rPr>
                <w:sz w:val="17"/>
                <w:rFonts w:ascii="맑은 고딕" w:hAnsi="맑은 고딕" w:eastAsia="맑은 고딕" w:cs="맑은 고딕"/>
              </w:rPr>
              <w:t>0.112</w:t>
            </w:r>
          </w:p>
        </w:tc>
        <w:tc>
          <w:tcPr>
            <w:tcW w:type="dxa" w:w="1168"/>
          </w:tcPr>
          <w:p>
            <w:r>
              <w:rPr>
                <w:sz w:val="17"/>
                <w:rFonts w:ascii="맑은 고딕" w:hAnsi="맑은 고딕" w:eastAsia="맑은 고딕" w:cs="맑은 고딕"/>
              </w:rPr>
              <w:t>0.104</w:t>
            </w:r>
          </w:p>
        </w:tc>
        <w:tc>
          <w:tcPr>
            <w:tcW w:type="dxa" w:w="1168"/>
          </w:tcPr>
          <w:p>
            <w:r>
              <w:rPr>
                <w:sz w:val="17"/>
                <w:rFonts w:ascii="맑은 고딕" w:hAnsi="맑은 고딕" w:eastAsia="맑은 고딕" w:cs="맑은 고딕"/>
              </w:rPr>
              <w:t>2.054</w:t>
            </w:r>
          </w:p>
        </w:tc>
        <w:tc>
          <w:tcPr>
            <w:tcW w:type="dxa" w:w="1168"/>
          </w:tcPr>
          <w:p>
            <w:r>
              <w:rPr>
                <w:sz w:val="17"/>
                <w:rFonts w:ascii="맑은 고딕" w:hAnsi="맑은 고딕" w:eastAsia="맑은 고딕" w:cs="맑은 고딕"/>
              </w:rPr>
              <w:t>1.899</w:t>
            </w:r>
          </w:p>
        </w:tc>
        <w:tc>
          <w:tcPr>
            <w:tcW w:type="dxa" w:w="1168"/>
          </w:tcPr>
          <w:p>
            <w:r>
              <w:rPr>
                <w:sz w:val="17"/>
                <w:rFonts w:ascii="맑은 고딕" w:hAnsi="맑은 고딕" w:eastAsia="맑은 고딕" w:cs="맑은 고딕"/>
              </w:rPr>
              <w:t>0.413</w:t>
            </w:r>
          </w:p>
        </w:tc>
        <w:tc>
          <w:tcPr>
            <w:tcW w:type="dxa" w:w="1168"/>
          </w:tcPr>
          <w:p>
            <w:r>
              <w:rPr>
                <w:sz w:val="17"/>
                <w:rFonts w:ascii="맑은 고딕" w:hAnsi="맑은 고딕" w:eastAsia="맑은 고딕" w:cs="맑은 고딕"/>
              </w:rPr>
              <w:t>74.143</w:t>
            </w:r>
          </w:p>
        </w:tc>
      </w:tr>
      <w:tr>
        <w:tc>
          <w:tcPr>
            <w:tcW w:type="dxa" w:w="1168"/>
          </w:tcPr>
          <w:p>
            <w:r>
              <w:rPr>
                <w:sz w:val="17"/>
                <w:rFonts w:ascii="맑은 고딕" w:hAnsi="맑은 고딕" w:eastAsia="맑은 고딕" w:cs="맑은 고딕"/>
              </w:rPr>
              <w:t>500</w:t>
            </w:r>
          </w:p>
        </w:tc>
        <w:tc>
          <w:tcPr>
            <w:tcW w:type="dxa" w:w="1168"/>
          </w:tcPr>
          <w:p>
            <w:r>
              <w:rPr>
                <w:sz w:val="17"/>
                <w:rFonts w:ascii="맑은 고딕" w:hAnsi="맑은 고딕" w:eastAsia="맑은 고딕" w:cs="맑은 고딕"/>
              </w:rPr>
              <w:t>0.494</w:t>
            </w:r>
          </w:p>
        </w:tc>
        <w:tc>
          <w:tcPr>
            <w:tcW w:type="dxa" w:w="1168"/>
          </w:tcPr>
          <w:p>
            <w:r>
              <w:rPr>
                <w:sz w:val="17"/>
                <w:rFonts w:ascii="맑은 고딕" w:hAnsi="맑은 고딕" w:eastAsia="맑은 고딕" w:cs="맑은 고딕"/>
              </w:rPr>
              <w:t>0.464</w:t>
            </w:r>
          </w:p>
        </w:tc>
        <w:tc>
          <w:tcPr>
            <w:tcW w:type="dxa" w:w="1168"/>
          </w:tcPr>
          <w:p>
            <w:r>
              <w:rPr>
                <w:sz w:val="17"/>
                <w:rFonts w:ascii="맑은 고딕" w:hAnsi="맑은 고딕" w:eastAsia="맑은 고딕" w:cs="맑은 고딕"/>
              </w:rPr>
              <w:t>0.174</w:t>
            </w:r>
          </w:p>
        </w:tc>
        <w:tc>
          <w:tcPr>
            <w:tcW w:type="dxa" w:w="1168"/>
          </w:tcPr>
          <w:p>
            <w:r>
              <w:rPr>
                <w:sz w:val="17"/>
                <w:rFonts w:ascii="맑은 고딕" w:hAnsi="맑은 고딕" w:eastAsia="맑은 고딕" w:cs="맑은 고딕"/>
              </w:rPr>
              <w:t>0.163</w:t>
            </w:r>
          </w:p>
        </w:tc>
        <w:tc>
          <w:tcPr>
            <w:tcW w:type="dxa" w:w="1168"/>
          </w:tcPr>
          <w:p>
            <w:r>
              <w:rPr>
                <w:sz w:val="17"/>
                <w:rFonts w:ascii="맑은 고딕" w:hAnsi="맑은 고딕" w:eastAsia="맑은 고딕" w:cs="맑은 고딕"/>
              </w:rPr>
              <w:t>1.902</w:t>
            </w:r>
          </w:p>
        </w:tc>
        <w:tc>
          <w:tcPr>
            <w:tcW w:type="dxa" w:w="1168"/>
          </w:tcPr>
          <w:p>
            <w:r>
              <w:rPr>
                <w:sz w:val="17"/>
                <w:rFonts w:ascii="맑은 고딕" w:hAnsi="맑은 고딕" w:eastAsia="맑은 고딕" w:cs="맑은 고딕"/>
              </w:rPr>
              <w:t>1.787</w:t>
            </w:r>
          </w:p>
        </w:tc>
        <w:tc>
          <w:tcPr>
            <w:tcW w:type="dxa" w:w="1168"/>
          </w:tcPr>
          <w:p>
            <w:r>
              <w:rPr>
                <w:sz w:val="17"/>
                <w:rFonts w:ascii="맑은 고딕" w:hAnsi="맑은 고딕" w:eastAsia="맑은 고딕" w:cs="맑은 고딕"/>
              </w:rPr>
              <w:t>0.516</w:t>
            </w:r>
          </w:p>
        </w:tc>
        <w:tc>
          <w:tcPr>
            <w:tcW w:type="dxa" w:w="1168"/>
          </w:tcPr>
          <w:p>
            <w:r>
              <w:rPr>
                <w:sz w:val="17"/>
                <w:rFonts w:ascii="맑은 고딕" w:hAnsi="맑은 고딕" w:eastAsia="맑은 고딕" w:cs="맑은 고딕"/>
              </w:rPr>
              <w:t>65.012</w:t>
            </w:r>
          </w:p>
        </w:tc>
      </w:tr>
      <w:tr>
        <w:tc>
          <w:tcPr>
            <w:tcW w:type="dxa" w:w="1168"/>
          </w:tcPr>
          <w:p>
            <w:r>
              <w:rPr>
                <w:sz w:val="17"/>
                <w:rFonts w:ascii="맑은 고딕" w:hAnsi="맑은 고딕" w:eastAsia="맑은 고딕" w:cs="맑은 고딕"/>
              </w:rPr>
              <w:t>800</w:t>
            </w:r>
          </w:p>
        </w:tc>
        <w:tc>
          <w:tcPr>
            <w:tcW w:type="dxa" w:w="1168"/>
          </w:tcPr>
          <w:p>
            <w:r>
              <w:rPr>
                <w:sz w:val="17"/>
                <w:rFonts w:ascii="맑은 고딕" w:hAnsi="맑은 고딕" w:eastAsia="맑은 고딕" w:cs="맑은 고딕"/>
              </w:rPr>
              <w:t>0.441</w:t>
            </w:r>
          </w:p>
        </w:tc>
        <w:tc>
          <w:tcPr>
            <w:tcW w:type="dxa" w:w="1168"/>
          </w:tcPr>
          <w:p>
            <w:r>
              <w:rPr>
                <w:sz w:val="17"/>
                <w:rFonts w:ascii="맑은 고딕" w:hAnsi="맑은 고딕" w:eastAsia="맑은 고딕" w:cs="맑은 고딕"/>
              </w:rPr>
              <w:t>0.459</w:t>
            </w:r>
          </w:p>
        </w:tc>
        <w:tc>
          <w:tcPr>
            <w:tcW w:type="dxa" w:w="1168"/>
          </w:tcPr>
          <w:p>
            <w:r>
              <w:rPr>
                <w:sz w:val="17"/>
                <w:rFonts w:ascii="맑은 고딕" w:hAnsi="맑은 고딕" w:eastAsia="맑은 고딕" w:cs="맑은 고딕"/>
              </w:rPr>
              <w:t>0.248</w:t>
            </w:r>
          </w:p>
        </w:tc>
        <w:tc>
          <w:tcPr>
            <w:tcW w:type="dxa" w:w="1168"/>
          </w:tcPr>
          <w:p>
            <w:r>
              <w:rPr>
                <w:sz w:val="17"/>
                <w:rFonts w:ascii="맑은 고딕" w:hAnsi="맑은 고딕" w:eastAsia="맑은 고딕" w:cs="맑은 고딕"/>
              </w:rPr>
              <w:t>0.258</w:t>
            </w:r>
          </w:p>
        </w:tc>
        <w:tc>
          <w:tcPr>
            <w:tcW w:type="dxa" w:w="1168"/>
          </w:tcPr>
          <w:p>
            <w:r>
              <w:rPr>
                <w:sz w:val="17"/>
                <w:rFonts w:ascii="맑은 고딕" w:hAnsi="맑은 고딕" w:eastAsia="맑은 고딕" w:cs="맑은 고딕"/>
              </w:rPr>
              <w:t>1.699</w:t>
            </w:r>
          </w:p>
        </w:tc>
        <w:tc>
          <w:tcPr>
            <w:tcW w:type="dxa" w:w="1168"/>
          </w:tcPr>
          <w:p>
            <w:r>
              <w:rPr>
                <w:sz w:val="17"/>
                <w:rFonts w:ascii="맑은 고딕" w:hAnsi="맑은 고딕" w:eastAsia="맑은 고딕" w:cs="맑은 고딕"/>
              </w:rPr>
              <w:t>1.766</w:t>
            </w:r>
          </w:p>
        </w:tc>
        <w:tc>
          <w:tcPr>
            <w:tcW w:type="dxa" w:w="1168"/>
          </w:tcPr>
          <w:p>
            <w:r>
              <w:rPr>
                <w:sz w:val="17"/>
                <w:rFonts w:ascii="맑은 고딕" w:hAnsi="맑은 고딕" w:eastAsia="맑은 고딕" w:cs="맑은 고딕"/>
              </w:rPr>
              <w:t>0.619</w:t>
            </w:r>
          </w:p>
        </w:tc>
        <w:tc>
          <w:tcPr>
            <w:tcW w:type="dxa" w:w="1168"/>
          </w:tcPr>
          <w:p>
            <w:r>
              <w:rPr>
                <w:sz w:val="17"/>
                <w:rFonts w:ascii="맑은 고딕" w:hAnsi="맑은 고딕" w:eastAsia="맑은 고딕" w:cs="맑은 고딕"/>
              </w:rPr>
              <w:t>57.014</w:t>
            </w:r>
          </w:p>
        </w:tc>
      </w:tr>
      <w:tr>
        <w:tc>
          <w:tcPr>
            <w:tcW w:type="dxa" w:w="1168"/>
          </w:tcPr>
          <w:p>
            <w:r>
              <w:rPr>
                <w:sz w:val="17"/>
                <w:rFonts w:ascii="맑은 고딕" w:hAnsi="맑은 고딕" w:eastAsia="맑은 고딕" w:cs="맑은 고딕"/>
              </w:rPr>
              <w:t>1285</w:t>
            </w:r>
          </w:p>
        </w:tc>
        <w:tc>
          <w:tcPr>
            <w:tcW w:type="dxa" w:w="1168"/>
          </w:tcPr>
          <w:p>
            <w:r>
              <w:rPr>
                <w:sz w:val="17"/>
                <w:rFonts w:ascii="맑은 고딕" w:hAnsi="맑은 고딕" w:eastAsia="맑은 고딕" w:cs="맑은 고딕"/>
              </w:rPr>
              <w:t>0.398</w:t>
            </w:r>
          </w:p>
        </w:tc>
        <w:tc>
          <w:tcPr>
            <w:tcW w:type="dxa" w:w="1168"/>
          </w:tcPr>
          <w:p>
            <w:r>
              <w:rPr>
                <w:sz w:val="17"/>
                <w:rFonts w:ascii="맑은 고딕" w:hAnsi="맑은 고딕" w:eastAsia="맑은 고딕" w:cs="맑은 고딕"/>
              </w:rPr>
              <w:t>0.427</w:t>
            </w:r>
          </w:p>
        </w:tc>
        <w:tc>
          <w:tcPr>
            <w:tcW w:type="dxa" w:w="1168"/>
          </w:tcPr>
          <w:p>
            <w:r>
              <w:rPr>
                <w:sz w:val="17"/>
                <w:rFonts w:ascii="맑은 고딕" w:hAnsi="맑은 고딕" w:eastAsia="맑은 고딕" w:cs="맑은 고딕"/>
              </w:rPr>
              <w:t>0.359</w:t>
            </w:r>
          </w:p>
        </w:tc>
        <w:tc>
          <w:tcPr>
            <w:tcW w:type="dxa" w:w="1168"/>
          </w:tcPr>
          <w:p>
            <w:r>
              <w:rPr>
                <w:sz w:val="17"/>
                <w:rFonts w:ascii="맑은 고딕" w:hAnsi="맑은 고딕" w:eastAsia="맑은 고딕" w:cs="맑은 고딕"/>
              </w:rPr>
              <w:t>0.386</w:t>
            </w:r>
          </w:p>
        </w:tc>
        <w:tc>
          <w:tcPr>
            <w:tcW w:type="dxa" w:w="1168"/>
          </w:tcPr>
          <w:p>
            <w:r>
              <w:rPr>
                <w:sz w:val="17"/>
                <w:rFonts w:ascii="맑은 고딕" w:hAnsi="맑은 고딕" w:eastAsia="맑은 고딕" w:cs="맑은 고딕"/>
              </w:rPr>
              <w:t>1.531</w:t>
            </w:r>
          </w:p>
        </w:tc>
        <w:tc>
          <w:tcPr>
            <w:tcW w:type="dxa" w:w="1168"/>
          </w:tcPr>
          <w:p>
            <w:r>
              <w:rPr>
                <w:sz w:val="17"/>
                <w:rFonts w:ascii="맑은 고딕" w:hAnsi="맑은 고딕" w:eastAsia="맑은 고딕" w:cs="맑은 고딕"/>
              </w:rPr>
              <w:t>1.645</w:t>
            </w:r>
          </w:p>
        </w:tc>
        <w:tc>
          <w:tcPr>
            <w:tcW w:type="dxa" w:w="1168"/>
          </w:tcPr>
          <w:p>
            <w:r>
              <w:rPr>
                <w:sz w:val="17"/>
                <w:rFonts w:ascii="맑은 고딕" w:hAnsi="맑은 고딕" w:eastAsia="맑은 고딕" w:cs="맑은 고딕"/>
              </w:rPr>
              <w:t>0.687</w:t>
            </w:r>
          </w:p>
        </w:tc>
        <w:tc>
          <w:tcPr>
            <w:tcW w:type="dxa" w:w="1168"/>
          </w:tcPr>
          <w:p>
            <w:r>
              <w:rPr>
                <w:sz w:val="17"/>
                <w:rFonts w:ascii="맑은 고딕" w:hAnsi="맑은 고딕" w:eastAsia="맑은 고딕" w:cs="맑은 고딕"/>
              </w:rPr>
              <w:t>47.151</w:t>
            </w:r>
          </w:p>
        </w:tc>
      </w:tr>
      <w:tr>
        <w:tc>
          <w:tcPr>
            <w:tcW w:type="dxa" w:w="1168"/>
          </w:tcPr>
          <w:p>
            <w:r>
              <w:rPr>
                <w:sz w:val="17"/>
                <w:rFonts w:ascii="맑은 고딕" w:hAnsi="맑은 고딕" w:eastAsia="맑은 고딕" w:cs="맑은 고딕"/>
              </w:rPr>
              <w:t>2000</w:t>
            </w:r>
          </w:p>
        </w:tc>
        <w:tc>
          <w:tcPr>
            <w:tcW w:type="dxa" w:w="1168"/>
          </w:tcPr>
          <w:p>
            <w:r>
              <w:rPr>
                <w:sz w:val="17"/>
                <w:rFonts w:ascii="맑은 고딕" w:hAnsi="맑은 고딕" w:eastAsia="맑은 고딕" w:cs="맑은 고딕"/>
              </w:rPr>
              <w:t>0.376</w:t>
            </w:r>
          </w:p>
        </w:tc>
        <w:tc>
          <w:tcPr>
            <w:tcW w:type="dxa" w:w="1168"/>
          </w:tcPr>
          <w:p>
            <w:r>
              <w:rPr>
                <w:sz w:val="17"/>
                <w:rFonts w:ascii="맑은 고딕" w:hAnsi="맑은 고딕" w:eastAsia="맑은 고딕" w:cs="맑은 고딕"/>
              </w:rPr>
              <w:t>0.383</w:t>
            </w:r>
          </w:p>
        </w:tc>
        <w:tc>
          <w:tcPr>
            <w:tcW w:type="dxa" w:w="1168"/>
          </w:tcPr>
          <w:p>
            <w:r>
              <w:rPr>
                <w:sz w:val="17"/>
                <w:rFonts w:ascii="맑은 고딕" w:hAnsi="맑은 고딕" w:eastAsia="맑은 고딕" w:cs="맑은 고딕"/>
              </w:rPr>
              <w:t>0.528</w:t>
            </w:r>
          </w:p>
        </w:tc>
        <w:tc>
          <w:tcPr>
            <w:tcW w:type="dxa" w:w="1168"/>
          </w:tcPr>
          <w:p>
            <w:r>
              <w:rPr>
                <w:sz w:val="17"/>
                <w:rFonts w:ascii="맑은 고딕" w:hAnsi="맑은 고딕" w:eastAsia="맑은 고딕" w:cs="맑은 고딕"/>
              </w:rPr>
              <w:t>0.538</w:t>
            </w:r>
          </w:p>
        </w:tc>
        <w:tc>
          <w:tcPr>
            <w:tcW w:type="dxa" w:w="1168"/>
          </w:tcPr>
          <w:p>
            <w:r>
              <w:rPr>
                <w:sz w:val="17"/>
                <w:rFonts w:ascii="맑은 고딕" w:hAnsi="맑은 고딕" w:eastAsia="맑은 고딕" w:cs="맑은 고딕"/>
              </w:rPr>
              <w:t>1.448</w:t>
            </w:r>
          </w:p>
        </w:tc>
        <w:tc>
          <w:tcPr>
            <w:tcW w:type="dxa" w:w="1168"/>
          </w:tcPr>
          <w:p>
            <w:r>
              <w:rPr>
                <w:sz w:val="17"/>
                <w:rFonts w:ascii="맑은 고딕" w:hAnsi="맑은 고딕" w:eastAsia="맑은 고딕" w:cs="맑은 고딕"/>
              </w:rPr>
              <w:t>1.475</w:t>
            </w:r>
          </w:p>
        </w:tc>
        <w:tc>
          <w:tcPr>
            <w:tcW w:type="dxa" w:w="1168"/>
          </w:tcPr>
          <w:p>
            <w:r>
              <w:rPr>
                <w:sz w:val="17"/>
                <w:rFonts w:ascii="맑은 고딕" w:hAnsi="맑은 고딕" w:eastAsia="맑은 고딕" w:cs="맑은 고딕"/>
              </w:rPr>
              <w:t>0.742</w:t>
            </w:r>
          </w:p>
        </w:tc>
        <w:tc>
          <w:tcPr>
            <w:tcW w:type="dxa" w:w="1168"/>
          </w:tcPr>
          <w:p>
            <w:r>
              <w:rPr>
                <w:sz w:val="17"/>
                <w:rFonts w:ascii="맑은 고딕" w:hAnsi="맑은 고딕" w:eastAsia="맑은 고딕" w:cs="맑은 고딕"/>
              </w:rPr>
              <w:t>38.217</w:t>
            </w:r>
          </w:p>
        </w:tc>
      </w:tr>
    </w:tbl>
    <w:p>
      <w:r>
        <w:rPr>
          <w:b w:val="0"/>
          <w:i/>
          <w:sz w:val="18"/>
          <w:rFonts w:ascii="맑은 고딕" w:hAnsi="맑은 고딕" w:eastAsia="맑은 고딕" w:cs="맑은 고딕"/>
        </w:rPr>
        <w:t>표 26</w:t>
      </w:r>
    </w:p>
    <w:p>
      <w:r>
        <w:rPr>
          <w:b w:val="0"/>
          <w:i w:val="0"/>
          <w:sz w:val="19"/>
          <w:rFonts w:ascii="맑은 고딕" w:hAnsi="맑은 고딕" w:eastAsia="맑은 고딕" w:cs="맑은 고딕"/>
        </w:rPr>
        <w:t>읽는 법 — 테스트 분기 결과임. «두 목록 겹침» 열이 모델과 점포 수 규칙이 같은 칸을 찍는 비율이고, 많이 찍을수록 1 에 가까워짐.</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상위 100~300개 목록은 “모든 위험상권을 찾는 명단”이 아니라 “먼저 연락하거나 점검할 우선순위 목록”으로 써야 한다. 정밀도를 높이면 놓치는 위험상권도 많아지는 trade-off를 함께 보고해야 한다.</w:t>
      </w:r>
    </w:p>
    <w:p>
      <w:r>
        <w:br w:type="page"/>
      </w:r>
    </w:p>
    <w:p>
      <w:pPr>
        <w:pStyle w:val="Heading1"/>
      </w:pPr>
      <w:r>
        <w:rPr>
          <w:rFonts w:ascii="맑은 고딕" w:hAnsi="맑은 고딕" w:eastAsia="맑은 고딕" w:cs="맑은 고딕"/>
        </w:rPr>
        <w:t>13  테스트 최종 평가 — 2026년 1분기 결과</w:t>
      </w:r>
    </w:p>
    <w:p>
      <w:r>
        <w:rPr>
          <w:b/>
          <w:i w:val="0"/>
          <w:sz w:val="22"/>
          <w:rFonts w:ascii="맑은 고딕" w:hAnsi="맑은 고딕" w:eastAsia="맑은 고딕" w:cs="맑은 고딕"/>
        </w:rPr>
        <w:t>핵심 한 줄 — 학습과 모델 선택에 쓰지 않은 홀드아웃 분기에서 AP 0.399, Lift 1.522를 기록했다. 전체 순위 성능은 점포 수 기준과 비슷했지만, 상위 소수 구간에서는 모델이 더 강했다.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학습 2023Q1~2025Q2, 검증 2025Q3, 테스트 2025Q4로 시간을 섞지 않고 나눴다. 2025Q4 행은 2026Q1의 실제 결과로 채점했다.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테스트 AP는 0.399, ROC-AUC는 0.648이었다.</w:t>
      </w:r>
    </w:p>
    <w:p>
      <w:pPr>
        <w:ind w:left="173"/>
      </w:pPr>
      <w:r>
        <w:rPr>
          <w:b w:val="0"/>
          <w:i w:val="0"/>
          <w:sz w:val="21"/>
          <w:rFonts w:ascii="맑은 고딕" w:hAnsi="맑은 고딕" w:eastAsia="맑은 고딕" w:cs="맑은 고딕"/>
        </w:rPr>
        <w:t>• 기본 임계값 기준 정밀도 39.5%, 재현율 37.2%, F1 0.384였다.</w:t>
      </w:r>
    </w:p>
    <w:p>
      <w:pPr>
        <w:ind w:left="173"/>
      </w:pPr>
      <w:r>
        <w:rPr>
          <w:b w:val="0"/>
          <w:i w:val="0"/>
          <w:sz w:val="21"/>
          <w:rFonts w:ascii="맑은 고딕" w:hAnsi="맑은 고딕" w:eastAsia="맑은 고딕" w:cs="맑은 고딕"/>
        </w:rPr>
        <w:t>• 전체적인 넓은 선정 기준에서는 점포 수 Lift 1.645가 XGBoost 1.522보다 높았다.</w:t>
      </w:r>
    </w:p>
    <w:p>
      <w:pPr>
        <w:ind w:left="173"/>
      </w:pPr>
      <w:r>
        <w:rPr>
          <w:b w:val="0"/>
          <w:i w:val="0"/>
          <w:sz w:val="21"/>
          <w:rFonts w:ascii="맑은 고딕" w:hAnsi="맑은 고딕" w:eastAsia="맑은 고딕" w:cs="맑은 고딕"/>
        </w:rPr>
        <w:t>• 하지만 앞 절의 상위 50~500개 같은 실무 구간에서는 모델 정밀도가 점포 수 기준보다 높았다.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AP</w:t>
            </w:r>
          </w:p>
        </w:tc>
        <w:tc>
          <w:tcPr>
            <w:tcW w:type="dxa" w:w="5256"/>
          </w:tcPr>
          <w:p>
            <w:r>
              <w:rPr>
                <w:sz w:val="17"/>
                <w:rFonts w:ascii="맑은 고딕" w:hAnsi="맑은 고딕" w:eastAsia="맑은 고딕" w:cs="맑은 고딕"/>
              </w:rPr>
              <w:t>0.399</w:t>
            </w:r>
          </w:p>
        </w:tc>
      </w:tr>
      <w:tr>
        <w:tc>
          <w:tcPr>
            <w:tcW w:type="dxa" w:w="5256"/>
          </w:tcPr>
          <w:p>
            <w:r>
              <w:rPr>
                <w:sz w:val="17"/>
                <w:rFonts w:ascii="맑은 고딕" w:hAnsi="맑은 고딕" w:eastAsia="맑은 고딕" w:cs="맑은 고딕"/>
              </w:rPr>
              <w:t>ROC-AUC</w:t>
            </w:r>
          </w:p>
        </w:tc>
        <w:tc>
          <w:tcPr>
            <w:tcW w:type="dxa" w:w="5256"/>
          </w:tcPr>
          <w:p>
            <w:r>
              <w:rPr>
                <w:sz w:val="17"/>
                <w:rFonts w:ascii="맑은 고딕" w:hAnsi="맑은 고딕" w:eastAsia="맑은 고딕" w:cs="맑은 고딕"/>
              </w:rPr>
              <w:t>0.648</w:t>
            </w:r>
          </w:p>
        </w:tc>
      </w:tr>
      <w:tr>
        <w:tc>
          <w:tcPr>
            <w:tcW w:type="dxa" w:w="5256"/>
          </w:tcPr>
          <w:p>
            <w:r>
              <w:rPr>
                <w:sz w:val="17"/>
                <w:rFonts w:ascii="맑은 고딕" w:hAnsi="맑은 고딕" w:eastAsia="맑은 고딕" w:cs="맑은 고딕"/>
              </w:rPr>
              <w:t>정밀도 / 재현율</w:t>
            </w:r>
          </w:p>
        </w:tc>
        <w:tc>
          <w:tcPr>
            <w:tcW w:type="dxa" w:w="5256"/>
          </w:tcPr>
          <w:p>
            <w:r>
              <w:rPr>
                <w:sz w:val="17"/>
                <w:rFonts w:ascii="맑은 고딕" w:hAnsi="맑은 고딕" w:eastAsia="맑은 고딕" w:cs="맑은 고딕"/>
              </w:rPr>
              <w:t>39.5% / 37.2%</w:t>
            </w:r>
          </w:p>
        </w:tc>
      </w:tr>
      <w:tr>
        <w:tc>
          <w:tcPr>
            <w:tcW w:type="dxa" w:w="5256"/>
          </w:tcPr>
          <w:p>
            <w:r>
              <w:rPr>
                <w:sz w:val="17"/>
                <w:rFonts w:ascii="맑은 고딕" w:hAnsi="맑은 고딕" w:eastAsia="맑은 고딕" w:cs="맑은 고딕"/>
              </w:rPr>
              <w:t>F1</w:t>
            </w:r>
          </w:p>
        </w:tc>
        <w:tc>
          <w:tcPr>
            <w:tcW w:type="dxa" w:w="5256"/>
          </w:tcPr>
          <w:p>
            <w:r>
              <w:rPr>
                <w:sz w:val="17"/>
                <w:rFonts w:ascii="맑은 고딕" w:hAnsi="맑은 고딕" w:eastAsia="맑은 고딕" w:cs="맑은 고딕"/>
              </w:rPr>
              <w:t>0.384</w:t>
            </w:r>
          </w:p>
        </w:tc>
      </w:tr>
      <w:tr>
        <w:tc>
          <w:tcPr>
            <w:tcW w:type="dxa" w:w="5256"/>
          </w:tcPr>
          <w:p>
            <w:r>
              <w:rPr>
                <w:sz w:val="17"/>
                <w:rFonts w:ascii="맑은 고딕" w:hAnsi="맑은 고딕" w:eastAsia="맑은 고딕" w:cs="맑은 고딕"/>
              </w:rPr>
              <w:t>Lift</w:t>
            </w:r>
          </w:p>
        </w:tc>
        <w:tc>
          <w:tcPr>
            <w:tcW w:type="dxa" w:w="5256"/>
          </w:tcPr>
          <w:p>
            <w:r>
              <w:rPr>
                <w:sz w:val="17"/>
                <w:rFonts w:ascii="맑은 고딕" w:hAnsi="맑은 고딕" w:eastAsia="맑은 고딕" w:cs="맑은 고딕"/>
              </w:rPr>
              <w:t>1.522</w:t>
            </w:r>
          </w:p>
        </w:tc>
      </w:tr>
      <w:tr>
        <w:tc>
          <w:tcPr>
            <w:tcW w:type="dxa" w:w="5256"/>
          </w:tcPr>
          <w:p>
            <w:r>
              <w:rPr>
                <w:sz w:val="17"/>
                <w:rFonts w:ascii="맑은 고딕" w:hAnsi="맑은 고딕" w:eastAsia="맑은 고딕" w:cs="맑은 고딕"/>
              </w:rPr>
              <w:t>혼동행렬</w:t>
            </w:r>
          </w:p>
        </w:tc>
        <w:tc>
          <w:tcPr>
            <w:tcW w:type="dxa" w:w="5256"/>
          </w:tcPr>
          <w:p>
            <w:r>
              <w:rPr>
                <w:sz w:val="17"/>
                <w:rFonts w:ascii="맑은 고딕" w:hAnsi="맑은 고딕" w:eastAsia="맑은 고딕" w:cs="맑은 고딕"/>
              </w:rPr>
              <w:t>TP 530 · FP 811 · FN 893 · TN 3,245</w:t>
            </w:r>
          </w:p>
        </w:tc>
      </w:tr>
    </w:tbl>
    <w:p>
      <w:r>
        <w:rPr>
          <w:b w:val="0"/>
          <w:i/>
          <w:sz w:val="18"/>
          <w:rFonts w:ascii="맑은 고딕" w:hAnsi="맑은 고딕" w:eastAsia="맑은 고딕" w:cs="맑은 고딕"/>
        </w:rPr>
        <w:t>표 27</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r>
          </w:p>
        </w:tc>
        <w:tc>
          <w:tcPr>
            <w:tcW w:type="dxa" w:w="5256"/>
          </w:tcPr>
          <w:p>
            <w:r>
              <w:rPr>
                <w:b/>
                <w:sz w:val="17"/>
                <w:rFonts w:ascii="맑은 고딕" w:hAnsi="맑은 고딕" w:eastAsia="맑은 고딕" w:cs="맑은 고딕"/>
              </w:rPr>
              <w:t>테스트(2026Q1 결과)</w:t>
            </w:r>
          </w:p>
        </w:tc>
      </w:tr>
      <w:tr>
        <w:tc>
          <w:tcPr>
            <w:tcW w:type="dxa" w:w="5256"/>
          </w:tcPr>
          <w:p>
            <w:r>
              <w:rPr>
                <w:sz w:val="17"/>
                <w:rFonts w:ascii="맑은 고딕" w:hAnsi="맑은 고딕" w:eastAsia="맑은 고딕" w:cs="맑은 고딕"/>
              </w:rPr>
              <w:t>AP</w:t>
            </w:r>
          </w:p>
        </w:tc>
        <w:tc>
          <w:tcPr>
            <w:tcW w:type="dxa" w:w="5256"/>
          </w:tcPr>
          <w:p>
            <w:r>
              <w:rPr>
                <w:sz w:val="17"/>
                <w:rFonts w:ascii="맑은 고딕" w:hAnsi="맑은 고딕" w:eastAsia="맑은 고딕" w:cs="맑은 고딕"/>
              </w:rPr>
              <w:t>0.399</w:t>
            </w:r>
          </w:p>
        </w:tc>
      </w:tr>
      <w:tr>
        <w:tc>
          <w:tcPr>
            <w:tcW w:type="dxa" w:w="5256"/>
          </w:tcPr>
          <w:p>
            <w:r>
              <w:rPr>
                <w:sz w:val="17"/>
                <w:rFonts w:ascii="맑은 고딕" w:hAnsi="맑은 고딕" w:eastAsia="맑은 고딕" w:cs="맑은 고딕"/>
              </w:rPr>
              <w:t>ROC-AUC</w:t>
            </w:r>
          </w:p>
        </w:tc>
        <w:tc>
          <w:tcPr>
            <w:tcW w:type="dxa" w:w="5256"/>
          </w:tcPr>
          <w:p>
            <w:r>
              <w:rPr>
                <w:sz w:val="17"/>
                <w:rFonts w:ascii="맑은 고딕" w:hAnsi="맑은 고딕" w:eastAsia="맑은 고딕" w:cs="맑은 고딕"/>
              </w:rPr>
              <w:t>0.648</w:t>
            </w:r>
          </w:p>
        </w:tc>
      </w:tr>
      <w:tr>
        <w:tc>
          <w:tcPr>
            <w:tcW w:type="dxa" w:w="5256"/>
          </w:tcPr>
          <w:p>
            <w:r>
              <w:rPr>
                <w:sz w:val="17"/>
                <w:rFonts w:ascii="맑은 고딕" w:hAnsi="맑은 고딕" w:eastAsia="맑은 고딕" w:cs="맑은 고딕"/>
              </w:rPr>
              <w:t>정밀도</w:t>
            </w:r>
          </w:p>
        </w:tc>
        <w:tc>
          <w:tcPr>
            <w:tcW w:type="dxa" w:w="5256"/>
          </w:tcPr>
          <w:p>
            <w:r>
              <w:rPr>
                <w:sz w:val="17"/>
                <w:rFonts w:ascii="맑은 고딕" w:hAnsi="맑은 고딕" w:eastAsia="맑은 고딕" w:cs="맑은 고딕"/>
              </w:rPr>
              <w:t>0.395</w:t>
            </w:r>
          </w:p>
        </w:tc>
      </w:tr>
      <w:tr>
        <w:tc>
          <w:tcPr>
            <w:tcW w:type="dxa" w:w="5256"/>
          </w:tcPr>
          <w:p>
            <w:r>
              <w:rPr>
                <w:sz w:val="17"/>
                <w:rFonts w:ascii="맑은 고딕" w:hAnsi="맑은 고딕" w:eastAsia="맑은 고딕" w:cs="맑은 고딕"/>
              </w:rPr>
              <w:t>재현율</w:t>
            </w:r>
          </w:p>
        </w:tc>
        <w:tc>
          <w:tcPr>
            <w:tcW w:type="dxa" w:w="5256"/>
          </w:tcPr>
          <w:p>
            <w:r>
              <w:rPr>
                <w:sz w:val="17"/>
                <w:rFonts w:ascii="맑은 고딕" w:hAnsi="맑은 고딕" w:eastAsia="맑은 고딕" w:cs="맑은 고딕"/>
              </w:rPr>
              <w:t>0.372</w:t>
            </w:r>
          </w:p>
        </w:tc>
      </w:tr>
      <w:tr>
        <w:tc>
          <w:tcPr>
            <w:tcW w:type="dxa" w:w="5256"/>
          </w:tcPr>
          <w:p>
            <w:r>
              <w:rPr>
                <w:sz w:val="17"/>
                <w:rFonts w:ascii="맑은 고딕" w:hAnsi="맑은 고딕" w:eastAsia="맑은 고딕" w:cs="맑은 고딕"/>
              </w:rPr>
              <w:t>F1</w:t>
            </w:r>
          </w:p>
        </w:tc>
        <w:tc>
          <w:tcPr>
            <w:tcW w:type="dxa" w:w="5256"/>
          </w:tcPr>
          <w:p>
            <w:r>
              <w:rPr>
                <w:sz w:val="17"/>
                <w:rFonts w:ascii="맑은 고딕" w:hAnsi="맑은 고딕" w:eastAsia="맑은 고딕" w:cs="맑은 고딕"/>
              </w:rPr>
              <w:t>0.384</w:t>
            </w:r>
          </w:p>
        </w:tc>
      </w:tr>
      <w:tr>
        <w:tc>
          <w:tcPr>
            <w:tcW w:type="dxa" w:w="5256"/>
          </w:tcPr>
          <w:p>
            <w:r>
              <w:rPr>
                <w:sz w:val="17"/>
                <w:rFonts w:ascii="맑은 고딕" w:hAnsi="맑은 고딕" w:eastAsia="맑은 고딕" w:cs="맑은 고딕"/>
              </w:rPr>
              <w:t>정확도</w:t>
            </w:r>
          </w:p>
        </w:tc>
        <w:tc>
          <w:tcPr>
            <w:tcW w:type="dxa" w:w="5256"/>
          </w:tcPr>
          <w:p>
            <w:r>
              <w:rPr>
                <w:sz w:val="17"/>
                <w:rFonts w:ascii="맑은 고딕" w:hAnsi="맑은 고딕" w:eastAsia="맑은 고딕" w:cs="맑은 고딕"/>
              </w:rPr>
              <w:t>0.689</w:t>
            </w:r>
          </w:p>
        </w:tc>
      </w:tr>
      <w:tr>
        <w:tc>
          <w:tcPr>
            <w:tcW w:type="dxa" w:w="5256"/>
          </w:tcPr>
          <w:p>
            <w:r>
              <w:rPr>
                <w:sz w:val="17"/>
                <w:rFonts w:ascii="맑은 고딕" w:hAnsi="맑은 고딕" w:eastAsia="맑은 고딕" w:cs="맑은 고딕"/>
              </w:rPr>
              <w:t>Lift</w:t>
            </w:r>
          </w:p>
        </w:tc>
        <w:tc>
          <w:tcPr>
            <w:tcW w:type="dxa" w:w="5256"/>
          </w:tcPr>
          <w:p>
            <w:r>
              <w:rPr>
                <w:sz w:val="17"/>
                <w:rFonts w:ascii="맑은 고딕" w:hAnsi="맑은 고딕" w:eastAsia="맑은 고딕" w:cs="맑은 고딕"/>
              </w:rPr>
              <w:t>1.522</w:t>
            </w:r>
          </w:p>
        </w:tc>
      </w:tr>
    </w:tbl>
    <w:p>
      <w:r>
        <w:rPr>
          <w:b w:val="0"/>
          <w:i/>
          <w:sz w:val="18"/>
          <w:rFonts w:ascii="맑은 고딕" w:hAnsi="맑은 고딕" w:eastAsia="맑은 고딕" w:cs="맑은 고딕"/>
        </w:rPr>
        <w:t>표 28</w:t>
      </w:r>
    </w:p>
    <w:p>
      <w:r>
        <w:rPr>
          <w:b w:val="0"/>
          <w:i w:val="0"/>
          <w:sz w:val="19"/>
          <w:rFonts w:ascii="맑은 고딕" w:hAnsi="맑은 고딕" w:eastAsia="맑은 고딕" w:cs="맑은 고딕"/>
        </w:rPr>
        <w:t>읽는 법 — 테스트 분기에서 채택 모델·검증 1위 모델·기준선 셋을 나란히 놓은 것임.</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모델이 “전체 상권을 완벽하게 줄 세운다”고 말할 수는 없다. 정확한 결론은 “상위 소수 위험군을 우선 선별하는 데 추가 가치가 있으며, 넓게 선정하면 규모 기준과 차이가 줄어든다”이다. 또한 테스트가 한 분기뿐이므로 추가 분기 검증이 필요하다.</w:t>
      </w:r>
    </w:p>
    <w:p>
      <w:r>
        <w:br w:type="page"/>
      </w:r>
    </w:p>
    <w:p>
      <w:pPr>
        <w:pStyle w:val="Heading1"/>
      </w:pPr>
      <w:r>
        <w:rPr>
          <w:rFonts w:ascii="맑은 고딕" w:hAnsi="맑은 고딕" w:eastAsia="맑은 고딕" w:cs="맑은 고딕"/>
        </w:rPr>
        <w:t>14  두 단계로 나눈 모형</w:t>
      </w:r>
    </w:p>
    <w:p>
      <w:r>
        <w:rPr>
          <w:b/>
          <w:i w:val="0"/>
          <w:sz w:val="22"/>
          <w:rFonts w:ascii="맑은 고딕" w:hAnsi="맑은 고딕" w:eastAsia="맑은 고딕" w:cs="맑은 고딕"/>
        </w:rPr>
        <w:t>핵심 한 줄 — 순감소를 “① 다음 분기에 개·폐업이 일어나는가”와 “② 일어났다면 감소 방향인가”로 나누자, 상권 규모 효과가 대부분 1단계에 모여 있음을 확인했다.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기존 라벨은 “사건 발생”과 “감소 방향”이 합쳐져 있어 큰 상권이 자동으로 위험해 보이는 문제가 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1단계는 P(개업 또는 폐업 사건), 2단계는 P(순감소 | 사건)를 예측한다. 최종 순감소 확률은 두 값을 곱한다.</w:t>
      </w:r>
    </w:p>
    <w:p>
      <w:pPr>
        <w:ind w:left="173"/>
      </w:pPr>
      <w:r>
        <w:rPr>
          <w:b w:val="0"/>
          <w:i w:val="0"/>
          <w:sz w:val="21"/>
          <w:rFonts w:ascii="맑은 고딕" w:hAnsi="맑은 고딕" w:eastAsia="맑은 고딕" w:cs="맑은 고딕"/>
        </w:rPr>
        <w:t>• 실제 데이터에서도 P(사건)=0.5608, P(순감소|사건)=0.4543이고 두 값을 곱한 0.2548이 전체 순감소율 0.2548과 정확히 일치했다.</w:t>
      </w:r>
    </w:p>
    <w:p>
      <w:pPr>
        <w:ind w:left="173"/>
      </w:pPr>
      <w:r>
        <w:rPr>
          <w:b w:val="0"/>
          <w:i w:val="0"/>
          <w:sz w:val="21"/>
          <w:rFonts w:ascii="맑은 고딕" w:hAnsi="맑은 고딕" w:eastAsia="맑은 고딕" w:cs="맑은 고딕"/>
        </w:rPr>
        <w:t>• 점포 수와의 상관은 사건 여부 +0.448이었지만, 사건이 발생한 뒤 감소 방향과는 −0.039로 거의 관계가 없었다.</w:t>
      </w:r>
    </w:p>
    <w:p>
      <w:pPr>
        <w:ind w:left="173"/>
      </w:pPr>
      <w:r>
        <w:rPr>
          <w:b w:val="0"/>
          <w:i w:val="0"/>
          <w:sz w:val="21"/>
          <w:rFonts w:ascii="맑은 고딕" w:hAnsi="맑은 고딕" w:eastAsia="맑은 고딕" w:cs="맑은 고딕"/>
        </w:rPr>
        <w:t>• 검증 AP는 단일 XGBoost 0.398, 2단계 0.405로 차이는 +0.007에 그쳤다. 1단계 사건모형 AP는 0.810이었다.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1단계</w:t>
            </w:r>
          </w:p>
        </w:tc>
        <w:tc>
          <w:tcPr>
            <w:tcW w:type="dxa" w:w="5256"/>
          </w:tcPr>
          <w:p>
            <w:r>
              <w:rPr>
                <w:sz w:val="17"/>
                <w:rFonts w:ascii="맑은 고딕" w:hAnsi="맑은 고딕" w:eastAsia="맑은 고딕" w:cs="맑은 고딕"/>
              </w:rPr>
              <w:t>P(사건) · 규모 영향 큼</w:t>
            </w:r>
          </w:p>
        </w:tc>
      </w:tr>
      <w:tr>
        <w:tc>
          <w:tcPr>
            <w:tcW w:type="dxa" w:w="5256"/>
          </w:tcPr>
          <w:p>
            <w:r>
              <w:rPr>
                <w:sz w:val="17"/>
                <w:rFonts w:ascii="맑은 고딕" w:hAnsi="맑은 고딕" w:eastAsia="맑은 고딕" w:cs="맑은 고딕"/>
              </w:rPr>
              <w:t>2단계</w:t>
            </w:r>
          </w:p>
        </w:tc>
        <w:tc>
          <w:tcPr>
            <w:tcW w:type="dxa" w:w="5256"/>
          </w:tcPr>
          <w:p>
            <w:r>
              <w:rPr>
                <w:sz w:val="17"/>
                <w:rFonts w:ascii="맑은 고딕" w:hAnsi="맑은 고딕" w:eastAsia="맑은 고딕" w:cs="맑은 고딕"/>
              </w:rPr>
              <w:t>P(순감소 | 사건) · 규모 영향 거의 없음</w:t>
            </w:r>
          </w:p>
        </w:tc>
      </w:tr>
      <w:tr>
        <w:tc>
          <w:tcPr>
            <w:tcW w:type="dxa" w:w="5256"/>
          </w:tcPr>
          <w:p>
            <w:r>
              <w:rPr>
                <w:sz w:val="17"/>
                <w:rFonts w:ascii="맑은 고딕" w:hAnsi="맑은 고딕" w:eastAsia="맑은 고딕" w:cs="맑은 고딕"/>
              </w:rPr>
              <w:t>최종 확률</w:t>
            </w:r>
          </w:p>
        </w:tc>
        <w:tc>
          <w:tcPr>
            <w:tcW w:type="dxa" w:w="5256"/>
          </w:tcPr>
          <w:p>
            <w:r>
              <w:rPr>
                <w:sz w:val="17"/>
                <w:rFonts w:ascii="맑은 고딕" w:hAnsi="맑은 고딕" w:eastAsia="맑은 고딕" w:cs="맑은 고딕"/>
              </w:rPr>
              <w:t>두 확률의 곱</w:t>
            </w:r>
          </w:p>
        </w:tc>
      </w:tr>
      <w:tr>
        <w:tc>
          <w:tcPr>
            <w:tcW w:type="dxa" w:w="5256"/>
          </w:tcPr>
          <w:p>
            <w:r>
              <w:rPr>
                <w:sz w:val="17"/>
                <w:rFonts w:ascii="맑은 고딕" w:hAnsi="맑은 고딕" w:eastAsia="맑은 고딕" w:cs="맑은 고딕"/>
              </w:rPr>
              <w:t>검증 AP</w:t>
            </w:r>
          </w:p>
        </w:tc>
        <w:tc>
          <w:tcPr>
            <w:tcW w:type="dxa" w:w="5256"/>
          </w:tcPr>
          <w:p>
            <w:r>
              <w:rPr>
                <w:sz w:val="17"/>
                <w:rFonts w:ascii="맑은 고딕" w:hAnsi="맑은 고딕" w:eastAsia="맑은 고딕" w:cs="맑은 고딕"/>
              </w:rPr>
              <w:t>단일 0.398 → 2단계 0.405</w:t>
            </w:r>
          </w:p>
        </w:tc>
      </w:tr>
    </w:tbl>
    <w:p>
      <w:r>
        <w:rPr>
          <w:b w:val="0"/>
          <w:i/>
          <w:sz w:val="18"/>
          <w:rFonts w:ascii="맑은 고딕" w:hAnsi="맑은 고딕" w:eastAsia="맑은 고딕" w:cs="맑은 고딕"/>
        </w:rPr>
        <w:t>표 29</w:t>
      </w:r>
    </w:p>
    <w:tbl>
      <w:tblPr>
        <w:tblStyle w:val="LightGrid-Accent1"/>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b/>
                <w:sz w:val="17"/>
                <w:rFonts w:ascii="맑은 고딕" w:hAnsi="맑은 고딕" w:eastAsia="맑은 고딕" w:cs="맑은 고딕"/>
              </w:rPr>
            </w:r>
          </w:p>
        </w:tc>
        <w:tc>
          <w:tcPr>
            <w:tcW w:type="dxa" w:w="1752"/>
          </w:tcPr>
          <w:p>
            <w:r>
              <w:rPr>
                <w:b/>
                <w:sz w:val="17"/>
                <w:rFonts w:ascii="맑은 고딕" w:hAnsi="맑은 고딕" w:eastAsia="맑은 고딕" w:cs="맑은 고딕"/>
              </w:rPr>
              <w:t>AP</w:t>
            </w:r>
          </w:p>
        </w:tc>
        <w:tc>
          <w:tcPr>
            <w:tcW w:type="dxa" w:w="1752"/>
          </w:tcPr>
          <w:p>
            <w:r>
              <w:rPr>
                <w:b/>
                <w:sz w:val="17"/>
                <w:rFonts w:ascii="맑은 고딕" w:hAnsi="맑은 고딕" w:eastAsia="맑은 고딕" w:cs="맑은 고딕"/>
              </w:rPr>
              <w:t>ROC-AUC</w:t>
            </w:r>
          </w:p>
        </w:tc>
        <w:tc>
          <w:tcPr>
            <w:tcW w:type="dxa" w:w="1752"/>
          </w:tcPr>
          <w:p>
            <w:r>
              <w:rPr>
                <w:b/>
                <w:sz w:val="17"/>
                <w:rFonts w:ascii="맑은 고딕" w:hAnsi="맑은 고딕" w:eastAsia="맑은 고딕" w:cs="맑은 고딕"/>
              </w:rPr>
              <w:t>정밀도</w:t>
            </w:r>
          </w:p>
        </w:tc>
        <w:tc>
          <w:tcPr>
            <w:tcW w:type="dxa" w:w="1752"/>
          </w:tcPr>
          <w:p>
            <w:r>
              <w:rPr>
                <w:b/>
                <w:sz w:val="17"/>
                <w:rFonts w:ascii="맑은 고딕" w:hAnsi="맑은 고딕" w:eastAsia="맑은 고딕" w:cs="맑은 고딕"/>
              </w:rPr>
              <w:t>재현율</w:t>
            </w:r>
          </w:p>
        </w:tc>
        <w:tc>
          <w:tcPr>
            <w:tcW w:type="dxa" w:w="1752"/>
          </w:tcPr>
          <w:p>
            <w:r>
              <w:rPr>
                <w:b/>
                <w:sz w:val="17"/>
                <w:rFonts w:ascii="맑은 고딕" w:hAnsi="맑은 고딕" w:eastAsia="맑은 고딕" w:cs="맑은 고딕"/>
              </w:rPr>
              <w:t>Lift</w:t>
            </w:r>
          </w:p>
        </w:tc>
      </w:tr>
      <w:tr>
        <w:tc>
          <w:tcPr>
            <w:tcW w:type="dxa" w:w="1752"/>
          </w:tcPr>
          <w:p>
            <w:r>
              <w:rPr>
                <w:sz w:val="17"/>
                <w:rFonts w:ascii="맑은 고딕" w:hAnsi="맑은 고딕" w:eastAsia="맑은 고딕" w:cs="맑은 고딕"/>
              </w:rPr>
              <w:t>방법</w:t>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r>
      <w:tr>
        <w:tc>
          <w:tcPr>
            <w:tcW w:type="dxa" w:w="1752"/>
          </w:tcPr>
          <w:p>
            <w:r>
              <w:rPr>
                <w:sz w:val="17"/>
                <w:rFonts w:ascii="맑은 고딕" w:hAnsi="맑은 고딕" w:eastAsia="맑은 고딕" w:cs="맑은 고딕"/>
              </w:rPr>
              <w:t>단일 모형 (XGBoost)</w:t>
            </w:r>
          </w:p>
        </w:tc>
        <w:tc>
          <w:tcPr>
            <w:tcW w:type="dxa" w:w="1752"/>
          </w:tcPr>
          <w:p>
            <w:r>
              <w:rPr>
                <w:sz w:val="17"/>
                <w:rFonts w:ascii="맑은 고딕" w:hAnsi="맑은 고딕" w:eastAsia="맑은 고딕" w:cs="맑은 고딕"/>
              </w:rPr>
              <w:t>0.398</w:t>
            </w:r>
          </w:p>
        </w:tc>
        <w:tc>
          <w:tcPr>
            <w:tcW w:type="dxa" w:w="1752"/>
          </w:tcPr>
          <w:p>
            <w:r>
              <w:rPr>
                <w:sz w:val="17"/>
                <w:rFonts w:ascii="맑은 고딕" w:hAnsi="맑은 고딕" w:eastAsia="맑은 고딕" w:cs="맑은 고딕"/>
              </w:rPr>
              <w:t>0.665</w:t>
            </w:r>
          </w:p>
        </w:tc>
        <w:tc>
          <w:tcPr>
            <w:tcW w:type="dxa" w:w="1752"/>
          </w:tcPr>
          <w:p>
            <w:r>
              <w:rPr>
                <w:sz w:val="17"/>
                <w:rFonts w:ascii="맑은 고딕" w:hAnsi="맑은 고딕" w:eastAsia="맑은 고딕" w:cs="맑은 고딕"/>
              </w:rPr>
              <w:t>0.405</w:t>
            </w:r>
          </w:p>
        </w:tc>
        <w:tc>
          <w:tcPr>
            <w:tcW w:type="dxa" w:w="1752"/>
          </w:tcPr>
          <w:p>
            <w:r>
              <w:rPr>
                <w:sz w:val="17"/>
                <w:rFonts w:ascii="맑은 고딕" w:hAnsi="맑은 고딕" w:eastAsia="맑은 고딕" w:cs="맑은 고딕"/>
              </w:rPr>
              <w:t>0.405</w:t>
            </w:r>
          </w:p>
        </w:tc>
        <w:tc>
          <w:tcPr>
            <w:tcW w:type="dxa" w:w="1752"/>
          </w:tcPr>
          <w:p>
            <w:r>
              <w:rPr>
                <w:sz w:val="17"/>
                <w:rFonts w:ascii="맑은 고딕" w:hAnsi="맑은 고딕" w:eastAsia="맑은 고딕" w:cs="맑은 고딕"/>
              </w:rPr>
              <w:t>1.601</w:t>
            </w:r>
          </w:p>
        </w:tc>
      </w:tr>
      <w:tr>
        <w:tc>
          <w:tcPr>
            <w:tcW w:type="dxa" w:w="1752"/>
          </w:tcPr>
          <w:p>
            <w:r>
              <w:rPr>
                <w:sz w:val="17"/>
                <w:rFonts w:ascii="맑은 고딕" w:hAnsi="맑은 고딕" w:eastAsia="맑은 고딕" w:cs="맑은 고딕"/>
              </w:rPr>
              <w:t>2단계 모형</w:t>
            </w:r>
          </w:p>
        </w:tc>
        <w:tc>
          <w:tcPr>
            <w:tcW w:type="dxa" w:w="1752"/>
          </w:tcPr>
          <w:p>
            <w:r>
              <w:rPr>
                <w:sz w:val="17"/>
                <w:rFonts w:ascii="맑은 고딕" w:hAnsi="맑은 고딕" w:eastAsia="맑은 고딕" w:cs="맑은 고딕"/>
              </w:rPr>
              <w:t>0.405</w:t>
            </w:r>
          </w:p>
        </w:tc>
        <w:tc>
          <w:tcPr>
            <w:tcW w:type="dxa" w:w="1752"/>
          </w:tcPr>
          <w:p>
            <w:r>
              <w:rPr>
                <w:sz w:val="17"/>
                <w:rFonts w:ascii="맑은 고딕" w:hAnsi="맑은 고딕" w:eastAsia="맑은 고딕" w:cs="맑은 고딕"/>
              </w:rPr>
              <w:t>0.673</w:t>
            </w:r>
          </w:p>
        </w:tc>
        <w:tc>
          <w:tcPr>
            <w:tcW w:type="dxa" w:w="1752"/>
          </w:tcPr>
          <w:p>
            <w:r>
              <w:rPr>
                <w:sz w:val="17"/>
                <w:rFonts w:ascii="맑은 고딕" w:hAnsi="맑은 고딕" w:eastAsia="맑은 고딕" w:cs="맑은 고딕"/>
              </w:rPr>
              <w:t>0.421</w:t>
            </w:r>
          </w:p>
        </w:tc>
        <w:tc>
          <w:tcPr>
            <w:tcW w:type="dxa" w:w="1752"/>
          </w:tcPr>
          <w:p>
            <w:r>
              <w:rPr>
                <w:sz w:val="17"/>
                <w:rFonts w:ascii="맑은 고딕" w:hAnsi="맑은 고딕" w:eastAsia="맑은 고딕" w:cs="맑은 고딕"/>
              </w:rPr>
              <w:t>0.421</w:t>
            </w:r>
          </w:p>
        </w:tc>
        <w:tc>
          <w:tcPr>
            <w:tcW w:type="dxa" w:w="1752"/>
          </w:tcPr>
          <w:p>
            <w:r>
              <w:rPr>
                <w:sz w:val="17"/>
                <w:rFonts w:ascii="맑은 고딕" w:hAnsi="맑은 고딕" w:eastAsia="맑은 고딕" w:cs="맑은 고딕"/>
              </w:rPr>
              <w:t>1.663</w:t>
            </w:r>
          </w:p>
        </w:tc>
      </w:tr>
    </w:tbl>
    <w:p>
      <w:r>
        <w:rPr>
          <w:b w:val="0"/>
          <w:i/>
          <w:sz w:val="18"/>
          <w:rFonts w:ascii="맑은 고딕" w:hAnsi="맑은 고딕" w:eastAsia="맑은 고딕" w:cs="맑은 고딕"/>
        </w:rPr>
        <w:t>표 30</w:t>
      </w:r>
    </w:p>
    <w:p>
      <w:r>
        <w:rPr>
          <w:b w:val="0"/>
          <w:i w:val="0"/>
          <w:sz w:val="19"/>
          <w:rFonts w:ascii="맑은 고딕" w:hAnsi="맑은 고딕" w:eastAsia="맑은 고딕" w:cs="맑은 고딕"/>
        </w:rPr>
        <w:t>읽는 법 — 단일 모형과 2단계 모형을 같은 검증 분기에서 비교한 것임. 차이가 작다는 점이 핵심이고, 나누는 이유는 성능이 아니라 규모 편향의 분리임.</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2단계 모형의 가장 큰 장점은 성능 향상보다 해석이다. “큰 상권이라 사건이 자주 생기는 효과”와 “사건이 생겼을 때 실제로 감소 쪽으로 기우는 위험”을 분리할 수 있다.</w:t>
      </w:r>
    </w:p>
    <w:p>
      <w:r>
        <w:br w:type="page"/>
      </w:r>
    </w:p>
    <w:p>
      <w:pPr>
        <w:pStyle w:val="Heading1"/>
      </w:pPr>
      <w:r>
        <w:rPr>
          <w:rFonts w:ascii="맑은 고딕" w:hAnsi="맑은 고딕" w:eastAsia="맑은 고딕" w:cs="맑은 고딕"/>
        </w:rPr>
        <w:t>15  두 확률로 나눈 상권 유형</w:t>
      </w:r>
    </w:p>
    <w:p>
      <w:r>
        <w:rPr>
          <w:b/>
          <w:i w:val="0"/>
          <w:sz w:val="22"/>
          <w:rFonts w:ascii="맑은 고딕" w:hAnsi="맑은 고딕" w:eastAsia="맑은 고딕" w:cs="맑은 고딕"/>
        </w:rPr>
        <w:t>핵심 한 줄 — 최종 위험점수 하나로만 줄 세우지 않고 “변화가 자주 생기는가”와 “변하면 감소하는가”를 두 축으로 남기면 성격이 다른 네 유형을 구분할 수 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두 확률을 곱하면 점포가 많은 상권이 앞에 오기 쉽다. 그러면 규모는 작지만 변화가 생겼을 때 취약한 상권이 뒤로 밀려난다.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검증 분기 중앙값을 기준으로 사건확률 0.4259, 순감소 조건부확률 0.5045에서 네 유형을 나눴다.</w:t>
      </w:r>
    </w:p>
    <w:p>
      <w:pPr>
        <w:ind w:left="173"/>
      </w:pPr>
      <w:r>
        <w:rPr>
          <w:b w:val="0"/>
          <w:i w:val="0"/>
          <w:sz w:val="21"/>
          <w:rFonts w:ascii="맑은 고딕" w:hAnsi="맑은 고딕" w:eastAsia="맑은 고딕" w:cs="맑은 고딕"/>
        </w:rPr>
        <w:t>• “안정적” 1,229개, “정체되어 있으나 변화 시 취약” 1,535개, “활발하게 변하나 성장·유지” 1,529개, “활발하게 변하면서 쇠퇴” 1,186개였다.</w:t>
      </w:r>
    </w:p>
    <w:p>
      <w:pPr>
        <w:ind w:left="173"/>
      </w:pPr>
      <w:r>
        <w:rPr>
          <w:b w:val="0"/>
          <w:i w:val="0"/>
          <w:sz w:val="21"/>
          <w:rFonts w:ascii="맑은 고딕" w:hAnsi="맑은 고딕" w:eastAsia="맑은 고딕" w:cs="맑은 고딕"/>
        </w:rPr>
        <w:t>• 실제 순감소율은 각각 16.6%, 19.2%, 31.9%, 36.8%였다.</w:t>
      </w:r>
    </w:p>
    <w:p>
      <w:pPr>
        <w:ind w:left="173"/>
      </w:pPr>
      <w:r>
        <w:rPr>
          <w:b w:val="0"/>
          <w:i w:val="0"/>
          <w:sz w:val="21"/>
          <w:rFonts w:ascii="맑은 고딕" w:hAnsi="맑은 고딕" w:eastAsia="맑은 고딕" w:cs="맑은 고딕"/>
        </w:rPr>
        <w:t>• 골목상권에서는 “정체·취약형”이 34.7%로 가장 큰 비중을 차지했고 평균 점포 수는 7.6개에 불과했다.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안정적</w:t>
            </w:r>
          </w:p>
        </w:tc>
        <w:tc>
          <w:tcPr>
            <w:tcW w:type="dxa" w:w="5256"/>
          </w:tcPr>
          <w:p>
            <w:r>
              <w:rPr>
                <w:sz w:val="17"/>
                <w:rFonts w:ascii="맑은 고딕" w:hAnsi="맑은 고딕" w:eastAsia="맑은 고딕" w:cs="맑은 고딕"/>
              </w:rPr>
              <w:t>사건↓ 방향↓ · 1,229개 · 실제 16.6%</w:t>
            </w:r>
          </w:p>
        </w:tc>
      </w:tr>
      <w:tr>
        <w:tc>
          <w:tcPr>
            <w:tcW w:type="dxa" w:w="5256"/>
          </w:tcPr>
          <w:p>
            <w:r>
              <w:rPr>
                <w:sz w:val="17"/>
                <w:rFonts w:ascii="맑은 고딕" w:hAnsi="맑은 고딕" w:eastAsia="맑은 고딕" w:cs="맑은 고딕"/>
              </w:rPr>
              <w:t>정체·취약</w:t>
            </w:r>
          </w:p>
        </w:tc>
        <w:tc>
          <w:tcPr>
            <w:tcW w:type="dxa" w:w="5256"/>
          </w:tcPr>
          <w:p>
            <w:r>
              <w:rPr>
                <w:sz w:val="17"/>
                <w:rFonts w:ascii="맑은 고딕" w:hAnsi="맑은 고딕" w:eastAsia="맑은 고딕" w:cs="맑은 고딕"/>
              </w:rPr>
              <w:t>사건↓ 방향↑ · 1,535개 · 19.2%</w:t>
            </w:r>
          </w:p>
        </w:tc>
      </w:tr>
      <w:tr>
        <w:tc>
          <w:tcPr>
            <w:tcW w:type="dxa" w:w="5256"/>
          </w:tcPr>
          <w:p>
            <w:r>
              <w:rPr>
                <w:sz w:val="17"/>
                <w:rFonts w:ascii="맑은 고딕" w:hAnsi="맑은 고딕" w:eastAsia="맑은 고딕" w:cs="맑은 고딕"/>
              </w:rPr>
              <w:t>활발·성장/유지</w:t>
            </w:r>
          </w:p>
        </w:tc>
        <w:tc>
          <w:tcPr>
            <w:tcW w:type="dxa" w:w="5256"/>
          </w:tcPr>
          <w:p>
            <w:r>
              <w:rPr>
                <w:sz w:val="17"/>
                <w:rFonts w:ascii="맑은 고딕" w:hAnsi="맑은 고딕" w:eastAsia="맑은 고딕" w:cs="맑은 고딕"/>
              </w:rPr>
              <w:t>사건↑ 방향↓ · 1,529개 · 31.9%</w:t>
            </w:r>
          </w:p>
        </w:tc>
      </w:tr>
      <w:tr>
        <w:tc>
          <w:tcPr>
            <w:tcW w:type="dxa" w:w="5256"/>
          </w:tcPr>
          <w:p>
            <w:r>
              <w:rPr>
                <w:sz w:val="17"/>
                <w:rFonts w:ascii="맑은 고딕" w:hAnsi="맑은 고딕" w:eastAsia="맑은 고딕" w:cs="맑은 고딕"/>
              </w:rPr>
              <w:t>활발·쇠퇴</w:t>
            </w:r>
          </w:p>
        </w:tc>
        <w:tc>
          <w:tcPr>
            <w:tcW w:type="dxa" w:w="5256"/>
          </w:tcPr>
          <w:p>
            <w:r>
              <w:rPr>
                <w:sz w:val="17"/>
                <w:rFonts w:ascii="맑은 고딕" w:hAnsi="맑은 고딕" w:eastAsia="맑은 고딕" w:cs="맑은 고딕"/>
              </w:rPr>
              <w:t>사건↑ 방향↑ · 1,186개 · 36.8%</w:t>
            </w:r>
          </w:p>
        </w:tc>
      </w:tr>
    </w:tbl>
    <w:p>
      <w:r>
        <w:rPr>
          <w:b w:val="0"/>
          <w:i/>
          <w:sz w:val="18"/>
          <w:rFonts w:ascii="맑은 고딕" w:hAnsi="맑은 고딕" w:eastAsia="맑은 고딕" w:cs="맑은 고딕"/>
        </w:rPr>
        <w:t>표 31</w:t>
      </w:r>
    </w:p>
    <w:tbl>
      <w:tblPr>
        <w:tblStyle w:val="LightGrid-Accent1"/>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b/>
                <w:sz w:val="17"/>
                <w:rFonts w:ascii="맑은 고딕" w:hAnsi="맑은 고딕" w:eastAsia="맑은 고딕" w:cs="맑은 고딕"/>
              </w:rPr>
            </w:r>
          </w:p>
        </w:tc>
        <w:tc>
          <w:tcPr>
            <w:tcW w:type="dxa" w:w="1752"/>
          </w:tcPr>
          <w:p>
            <w:r>
              <w:rPr>
                <w:b/>
                <w:sz w:val="17"/>
                <w:rFonts w:ascii="맑은 고딕" w:hAnsi="맑은 고딕" w:eastAsia="맑은 고딕" w:cs="맑은 고딕"/>
              </w:rPr>
            </w:r>
          </w:p>
        </w:tc>
        <w:tc>
          <w:tcPr>
            <w:tcW w:type="dxa" w:w="1752"/>
          </w:tcPr>
          <w:p>
            <w:r>
              <w:rPr>
                <w:b/>
                <w:sz w:val="17"/>
                <w:rFonts w:ascii="맑은 고딕" w:hAnsi="맑은 고딕" w:eastAsia="맑은 고딕" w:cs="맑은 고딕"/>
              </w:rPr>
              <w:t>칸수</w:t>
            </w:r>
          </w:p>
        </w:tc>
        <w:tc>
          <w:tcPr>
            <w:tcW w:type="dxa" w:w="1752"/>
          </w:tcPr>
          <w:p>
            <w:r>
              <w:rPr>
                <w:b/>
                <w:sz w:val="17"/>
                <w:rFonts w:ascii="맑은 고딕" w:hAnsi="맑은 고딕" w:eastAsia="맑은 고딕" w:cs="맑은 고딕"/>
              </w:rPr>
              <w:t>실제순감소율</w:t>
            </w:r>
          </w:p>
        </w:tc>
        <w:tc>
          <w:tcPr>
            <w:tcW w:type="dxa" w:w="1752"/>
          </w:tcPr>
          <w:p>
            <w:r>
              <w:rPr>
                <w:b/>
                <w:sz w:val="17"/>
                <w:rFonts w:ascii="맑은 고딕" w:hAnsi="맑은 고딕" w:eastAsia="맑은 고딕" w:cs="맑은 고딕"/>
              </w:rPr>
              <w:t>유형</w:t>
            </w:r>
          </w:p>
        </w:tc>
        <w:tc>
          <w:tcPr>
            <w:tcW w:type="dxa" w:w="1752"/>
          </w:tcPr>
          <w:p>
            <w:r>
              <w:rPr>
                <w:b/>
                <w:sz w:val="17"/>
                <w:rFonts w:ascii="맑은 고딕" w:hAnsi="맑은 고딕" w:eastAsia="맑은 고딕" w:cs="맑은 고딕"/>
              </w:rPr>
              <w:t>기저율대비</w:t>
            </w:r>
          </w:p>
        </w:tc>
      </w:tr>
      <w:tr>
        <w:tc>
          <w:tcPr>
            <w:tcW w:type="dxa" w:w="1752"/>
          </w:tcPr>
          <w:p>
            <w:r>
              <w:rPr>
                <w:sz w:val="17"/>
                <w:rFonts w:ascii="맑은 고딕" w:hAnsi="맑은 고딕" w:eastAsia="맑은 고딕" w:cs="맑은 고딕"/>
              </w:rPr>
              <w:t>사건_수준</w:t>
            </w:r>
          </w:p>
        </w:tc>
        <w:tc>
          <w:tcPr>
            <w:tcW w:type="dxa" w:w="1752"/>
          </w:tcPr>
          <w:p>
            <w:r>
              <w:rPr>
                <w:sz w:val="17"/>
                <w:rFonts w:ascii="맑은 고딕" w:hAnsi="맑은 고딕" w:eastAsia="맑은 고딕" w:cs="맑은 고딕"/>
              </w:rPr>
              <w:t>방향_수준</w:t>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r>
      <w:tr>
        <w:tc>
          <w:tcPr>
            <w:tcW w:type="dxa" w:w="1752"/>
          </w:tcPr>
          <w:p>
            <w:r>
              <w:rPr>
                <w:sz w:val="17"/>
                <w:rFonts w:ascii="맑은 고딕" w:hAnsi="맑은 고딕" w:eastAsia="맑은 고딕" w:cs="맑은 고딕"/>
              </w:rPr>
              <w:t>낮음</w:t>
            </w:r>
          </w:p>
        </w:tc>
        <w:tc>
          <w:tcPr>
            <w:tcW w:type="dxa" w:w="1752"/>
          </w:tcPr>
          <w:p>
            <w:r>
              <w:rPr>
                <w:sz w:val="17"/>
                <w:rFonts w:ascii="맑은 고딕" w:hAnsi="맑은 고딕" w:eastAsia="맑은 고딕" w:cs="맑은 고딕"/>
              </w:rPr>
              <w:t>낮음</w:t>
            </w:r>
          </w:p>
        </w:tc>
        <w:tc>
          <w:tcPr>
            <w:tcW w:type="dxa" w:w="1752"/>
          </w:tcPr>
          <w:p>
            <w:r>
              <w:rPr>
                <w:sz w:val="17"/>
                <w:rFonts w:ascii="맑은 고딕" w:hAnsi="맑은 고딕" w:eastAsia="맑은 고딕" w:cs="맑은 고딕"/>
              </w:rPr>
              <w:t>1229</w:t>
            </w:r>
          </w:p>
        </w:tc>
        <w:tc>
          <w:tcPr>
            <w:tcW w:type="dxa" w:w="1752"/>
          </w:tcPr>
          <w:p>
            <w:r>
              <w:rPr>
                <w:sz w:val="17"/>
                <w:rFonts w:ascii="맑은 고딕" w:hAnsi="맑은 고딕" w:eastAsia="맑은 고딕" w:cs="맑은 고딕"/>
              </w:rPr>
              <w:t>0.166</w:t>
            </w:r>
          </w:p>
        </w:tc>
        <w:tc>
          <w:tcPr>
            <w:tcW w:type="dxa" w:w="1752"/>
          </w:tcPr>
          <w:p>
            <w:r>
              <w:rPr>
                <w:sz w:val="17"/>
                <w:rFonts w:ascii="맑은 고딕" w:hAnsi="맑은 고딕" w:eastAsia="맑은 고딕" w:cs="맑은 고딕"/>
              </w:rPr>
              <w:t>안정적</w:t>
            </w:r>
          </w:p>
        </w:tc>
        <w:tc>
          <w:tcPr>
            <w:tcW w:type="dxa" w:w="1752"/>
          </w:tcPr>
          <w:p>
            <w:r>
              <w:rPr>
                <w:sz w:val="17"/>
                <w:rFonts w:ascii="맑은 고딕" w:hAnsi="맑은 고딕" w:eastAsia="맑은 고딕" w:cs="맑은 고딕"/>
              </w:rPr>
              <w:t>0.64</w:t>
            </w:r>
          </w:p>
        </w:tc>
      </w:tr>
      <w:tr>
        <w:tc>
          <w:tcPr>
            <w:tcW w:type="dxa" w:w="1752"/>
          </w:tcPr>
          <w:p>
            <w:r>
              <w:rPr>
                <w:sz w:val="17"/>
                <w:rFonts w:ascii="맑은 고딕" w:hAnsi="맑은 고딕" w:eastAsia="맑은 고딕" w:cs="맑은 고딕"/>
              </w:rPr>
              <w:t>높음</w:t>
            </w:r>
          </w:p>
        </w:tc>
        <w:tc>
          <w:tcPr>
            <w:tcW w:type="dxa" w:w="1752"/>
          </w:tcPr>
          <w:p>
            <w:r>
              <w:rPr>
                <w:sz w:val="17"/>
                <w:rFonts w:ascii="맑은 고딕" w:hAnsi="맑은 고딕" w:eastAsia="맑은 고딕" w:cs="맑은 고딕"/>
              </w:rPr>
              <w:t>1535</w:t>
            </w:r>
          </w:p>
        </w:tc>
        <w:tc>
          <w:tcPr>
            <w:tcW w:type="dxa" w:w="1752"/>
          </w:tcPr>
          <w:p>
            <w:r>
              <w:rPr>
                <w:sz w:val="17"/>
                <w:rFonts w:ascii="맑은 고딕" w:hAnsi="맑은 고딕" w:eastAsia="맑은 고딕" w:cs="맑은 고딕"/>
              </w:rPr>
              <w:t>0.192</w:t>
            </w:r>
          </w:p>
        </w:tc>
        <w:tc>
          <w:tcPr>
            <w:tcW w:type="dxa" w:w="1752"/>
          </w:tcPr>
          <w:p>
            <w:r>
              <w:rPr>
                <w:sz w:val="17"/>
                <w:rFonts w:ascii="맑은 고딕" w:hAnsi="맑은 고딕" w:eastAsia="맑은 고딕" w:cs="맑은 고딕"/>
              </w:rPr>
              <w:t>0.166</w:t>
            </w:r>
          </w:p>
        </w:tc>
        <w:tc>
          <w:tcPr>
            <w:tcW w:type="dxa" w:w="1752"/>
          </w:tcPr>
          <w:p>
            <w:r>
              <w:rPr>
                <w:sz w:val="17"/>
                <w:rFonts w:ascii="맑은 고딕" w:hAnsi="맑은 고딕" w:eastAsia="맑은 고딕" w:cs="맑은 고딕"/>
              </w:rPr>
              <w:t>0.74</w:t>
            </w:r>
          </w:p>
        </w:tc>
        <w:tc>
          <w:tcPr>
            <w:tcW w:type="dxa" w:w="1752"/>
          </w:tcPr>
          <w:p/>
        </w:tc>
      </w:tr>
      <w:tr>
        <w:tc>
          <w:tcPr>
            <w:tcW w:type="dxa" w:w="1752"/>
          </w:tcPr>
          <w:p>
            <w:r>
              <w:rPr>
                <w:sz w:val="17"/>
                <w:rFonts w:ascii="맑은 고딕" w:hAnsi="맑은 고딕" w:eastAsia="맑은 고딕" w:cs="맑은 고딕"/>
              </w:rPr>
              <w:t>높음</w:t>
            </w:r>
          </w:p>
        </w:tc>
        <w:tc>
          <w:tcPr>
            <w:tcW w:type="dxa" w:w="1752"/>
          </w:tcPr>
          <w:p>
            <w:r>
              <w:rPr>
                <w:sz w:val="17"/>
                <w:rFonts w:ascii="맑은 고딕" w:hAnsi="맑은 고딕" w:eastAsia="맑은 고딕" w:cs="맑은 고딕"/>
              </w:rPr>
              <w:t>낮음</w:t>
            </w:r>
          </w:p>
        </w:tc>
        <w:tc>
          <w:tcPr>
            <w:tcW w:type="dxa" w:w="1752"/>
          </w:tcPr>
          <w:p>
            <w:r>
              <w:rPr>
                <w:sz w:val="17"/>
                <w:rFonts w:ascii="맑은 고딕" w:hAnsi="맑은 고딕" w:eastAsia="맑은 고딕" w:cs="맑은 고딕"/>
              </w:rPr>
              <w:t>1529</w:t>
            </w:r>
          </w:p>
        </w:tc>
        <w:tc>
          <w:tcPr>
            <w:tcW w:type="dxa" w:w="1752"/>
          </w:tcPr>
          <w:p>
            <w:r>
              <w:rPr>
                <w:sz w:val="17"/>
                <w:rFonts w:ascii="맑은 고딕" w:hAnsi="맑은 고딕" w:eastAsia="맑은 고딕" w:cs="맑은 고딕"/>
              </w:rPr>
              <w:t>0.319</w:t>
            </w:r>
          </w:p>
        </w:tc>
        <w:tc>
          <w:tcPr>
            <w:tcW w:type="dxa" w:w="1752"/>
          </w:tcPr>
          <w:p>
            <w:r>
              <w:rPr>
                <w:sz w:val="17"/>
                <w:rFonts w:ascii="맑은 고딕" w:hAnsi="맑은 고딕" w:eastAsia="맑은 고딕" w:cs="맑은 고딕"/>
              </w:rPr>
              <w:t>활발하게 변하나 성장·유지</w:t>
            </w:r>
          </w:p>
        </w:tc>
        <w:tc>
          <w:tcPr>
            <w:tcW w:type="dxa" w:w="1752"/>
          </w:tcPr>
          <w:p>
            <w:r>
              <w:rPr>
                <w:sz w:val="17"/>
                <w:rFonts w:ascii="맑은 고딕" w:hAnsi="맑은 고딕" w:eastAsia="맑은 고딕" w:cs="맑은 고딕"/>
              </w:rPr>
              <w:t>1.23</w:t>
            </w:r>
          </w:p>
        </w:tc>
      </w:tr>
      <w:tr>
        <w:tc>
          <w:tcPr>
            <w:tcW w:type="dxa" w:w="1752"/>
          </w:tcPr>
          <w:p>
            <w:r>
              <w:rPr>
                <w:sz w:val="17"/>
                <w:rFonts w:ascii="맑은 고딕" w:hAnsi="맑은 고딕" w:eastAsia="맑은 고딕" w:cs="맑은 고딕"/>
              </w:rPr>
              <w:t>높음</w:t>
            </w:r>
          </w:p>
        </w:tc>
        <w:tc>
          <w:tcPr>
            <w:tcW w:type="dxa" w:w="1752"/>
          </w:tcPr>
          <w:p>
            <w:r>
              <w:rPr>
                <w:sz w:val="17"/>
                <w:rFonts w:ascii="맑은 고딕" w:hAnsi="맑은 고딕" w:eastAsia="맑은 고딕" w:cs="맑은 고딕"/>
              </w:rPr>
              <w:t>1186</w:t>
            </w:r>
          </w:p>
        </w:tc>
        <w:tc>
          <w:tcPr>
            <w:tcW w:type="dxa" w:w="1752"/>
          </w:tcPr>
          <w:p>
            <w:r>
              <w:rPr>
                <w:sz w:val="17"/>
                <w:rFonts w:ascii="맑은 고딕" w:hAnsi="맑은 고딕" w:eastAsia="맑은 고딕" w:cs="맑은 고딕"/>
              </w:rPr>
              <w:t>0.368</w:t>
            </w:r>
          </w:p>
        </w:tc>
        <w:tc>
          <w:tcPr>
            <w:tcW w:type="dxa" w:w="1752"/>
          </w:tcPr>
          <w:p>
            <w:r>
              <w:rPr>
                <w:sz w:val="17"/>
                <w:rFonts w:ascii="맑은 고딕" w:hAnsi="맑은 고딕" w:eastAsia="맑은 고딕" w:cs="맑은 고딕"/>
              </w:rPr>
              <w:t>0.432</w:t>
            </w:r>
          </w:p>
        </w:tc>
        <w:tc>
          <w:tcPr>
            <w:tcW w:type="dxa" w:w="1752"/>
          </w:tcPr>
          <w:p>
            <w:r>
              <w:rPr>
                <w:sz w:val="17"/>
                <w:rFonts w:ascii="맑은 고딕" w:hAnsi="맑은 고딕" w:eastAsia="맑은 고딕" w:cs="맑은 고딕"/>
              </w:rPr>
              <w:t>1.42</w:t>
            </w:r>
          </w:p>
        </w:tc>
        <w:tc>
          <w:tcPr>
            <w:tcW w:type="dxa" w:w="1752"/>
          </w:tcPr>
          <w:p/>
        </w:tc>
      </w:tr>
    </w:tbl>
    <w:p>
      <w:r>
        <w:rPr>
          <w:b w:val="0"/>
          <w:i/>
          <w:sz w:val="18"/>
          <w:rFonts w:ascii="맑은 고딕" w:hAnsi="맑은 고딕" w:eastAsia="맑은 고딕" w:cs="맑은 고딕"/>
        </w:rPr>
        <w:t>표 32</w:t>
      </w:r>
    </w:p>
    <w:p>
      <w:r>
        <w:rPr>
          <w:b w:val="0"/>
          <w:i w:val="0"/>
          <w:sz w:val="19"/>
          <w:rFonts w:ascii="맑은 고딕" w:hAnsi="맑은 고딕" w:eastAsia="맑은 고딕" w:cs="맑은 고딕"/>
        </w:rPr>
        <w:t>읽는 법 — 네 유형의 칸수와 실제 순감소율이며 마지막 열이 기저율 대비임. 이름 순서대로 순감소율이 오르면 두 축이 제 역할을 한 것임.</w:t>
      </w:r>
    </w:p>
    <w:p>
      <w:pPr>
        <w:jc w:val="center"/>
      </w:pPr>
      <w:r>
        <w:drawing>
          <wp:inline xmlns:a="http://schemas.openxmlformats.org/drawingml/2006/main" xmlns:pic="http://schemas.openxmlformats.org/drawingml/2006/picture">
            <wp:extent cx="5151462" cy="4206240"/>
            <wp:docPr id="7" name="Picture 7"/>
            <wp:cNvGraphicFramePr>
              <a:graphicFrameLocks noChangeAspect="1"/>
            </wp:cNvGraphicFramePr>
            <a:graphic>
              <a:graphicData uri="http://schemas.openxmlformats.org/drawingml/2006/picture">
                <pic:pic>
                  <pic:nvPicPr>
                    <pic:cNvPr id="0" name="g7.png"/>
                    <pic:cNvPicPr/>
                  </pic:nvPicPr>
                  <pic:blipFill>
                    <a:blip r:embed="rId15"/>
                    <a:stretch>
                      <a:fillRect/>
                    </a:stretch>
                  </pic:blipFill>
                  <pic:spPr>
                    <a:xfrm>
                      <a:off x="0" y="0"/>
                      <a:ext cx="5151462" cy="4206240"/>
                    </a:xfrm>
                    <a:prstGeom prst="rect"/>
                  </pic:spPr>
                </pic:pic>
              </a:graphicData>
            </a:graphic>
          </wp:inline>
        </w:drawing>
      </w:r>
    </w:p>
    <w:p>
      <w:pPr>
        <w:jc w:val="center"/>
      </w:pPr>
      <w:r>
        <w:rPr>
          <w:b w:val="0"/>
          <w:i/>
          <w:sz w:val="18"/>
          <w:rFonts w:ascii="맑은 고딕" w:hAnsi="맑은 고딕" w:eastAsia="맑은 고딕" w:cs="맑은 고딕"/>
        </w:rPr>
        <w:t>그림 7</w:t>
      </w:r>
    </w:p>
    <w:p>
      <w:r>
        <w:rPr>
          <w:b w:val="0"/>
          <w:i w:val="0"/>
          <w:sz w:val="19"/>
          <w:rFonts w:ascii="맑은 고딕" w:hAnsi="맑은 고딕" w:eastAsia="맑은 고딕" w:cs="맑은 고딕"/>
        </w:rPr>
        <w:t>읽는 법 — 가로축이 사건 확률, 세로축이 순감소 조건부 확률임. 검증 분기 중앙값 두 선이 네 칸을 만들고, 왼쪽 위 칸이 «정체되어 있으나 변화 시 취약»임.</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정책적으로는 오른쪽 위 “활발·쇠퇴형”을 즉시 점검하고, 왼쪽 위 “정체·취약형”은 별도 관찰목록으로 관리하는 방식이 가능하다. 같은 최종 위험점수라도 두 유형은 필요한 대응이 다르다.</w:t>
      </w:r>
    </w:p>
    <w:p>
      <w:r>
        <w:br w:type="page"/>
      </w:r>
    </w:p>
    <w:p>
      <w:pPr>
        <w:pStyle w:val="Heading1"/>
      </w:pPr>
      <w:r>
        <w:rPr>
          <w:rFonts w:ascii="맑은 고딕" w:hAnsi="맑은 고딕" w:eastAsia="맑은 고딕" w:cs="맑은 고딕"/>
        </w:rPr>
        <w:t>16  무엇이 위험과 관련되어 있는가</w:t>
      </w:r>
    </w:p>
    <w:p>
      <w:r>
        <w:rPr>
          <w:b/>
          <w:i w:val="0"/>
          <w:sz w:val="22"/>
          <w:rFonts w:ascii="맑은 고딕" w:hAnsi="맑은 고딕" w:eastAsia="맑은 고딕" w:cs="맑은 고딕"/>
        </w:rPr>
        <w:t>핵심 한 줄 — 단일 모델에서는 규모·밀도 변수가 기여도의 절반 이상을 차지했지만, 사건과 방향을 분리하자 규모 영향은 주로 1단계에 남고 2단계에서는 크게 줄었다.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변수 중요도를 그대로 “원인”으로 읽으면 안 된다. SHAP은 모델이 예측할 때 어떤 변수를 얼마나 사용했는지를 보여 주는 설명 도구다.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단일 모형에서 규모·밀도 관련 변수의 SHAP 기여 비중은 53.1%였다.</w:t>
      </w:r>
    </w:p>
    <w:p>
      <w:pPr>
        <w:ind w:left="173"/>
      </w:pPr>
      <w:r>
        <w:rPr>
          <w:b w:val="0"/>
          <w:i w:val="0"/>
          <w:sz w:val="21"/>
          <w:rFonts w:ascii="맑은 고딕" w:hAnsi="맑은 고딕" w:eastAsia="맑은 고딕" w:cs="맑은 고딕"/>
        </w:rPr>
        <w:t>• 1단계 사건모형에서는 규모·밀도 비중이 65.4%로 더 커졌다. 반면 2단계 “사건 발생 후 감소 방향”에서는 38.3%까지 낮아졌다.</w:t>
      </w:r>
    </w:p>
    <w:p>
      <w:pPr>
        <w:ind w:left="173"/>
      </w:pPr>
      <w:r>
        <w:rPr>
          <w:b w:val="0"/>
          <w:i w:val="0"/>
          <w:sz w:val="21"/>
          <w:rFonts w:ascii="맑은 고딕" w:hAnsi="맑은 고딕" w:eastAsia="맑은 고딕" w:cs="맑은 고딕"/>
        </w:rPr>
        <w:t>• 2단계에서 규모 변수를 제외하고 보면 한식 업종 여부, 외식물가지수, 현재 순감소 상태, 커피 업종 여부, 점포당 매출, 업종점포비중 등이 상위에 나타났다.</w:t>
      </w:r>
    </w:p>
    <w:p>
      <w:pPr>
        <w:ind w:left="173"/>
      </w:pPr>
      <w:r>
        <w:rPr>
          <w:b w:val="0"/>
          <w:i w:val="0"/>
          <w:sz w:val="21"/>
          <w:rFonts w:ascii="맑은 고딕" w:hAnsi="맑은 고딕" w:eastAsia="맑은 고딕" w:cs="맑은 고딕"/>
        </w:rPr>
        <w:t>• 전국 단위 경제지표는 같은 분기 안에서 모든 상권에 같은 값이 들어가므로, 상권 간 순위를 바꾸는 정보로는 제한적이다.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규모·밀도 기여</w:t>
            </w:r>
          </w:p>
        </w:tc>
        <w:tc>
          <w:tcPr>
            <w:tcW w:type="dxa" w:w="5256"/>
          </w:tcPr>
          <w:p>
            <w:r>
              <w:rPr>
                <w:sz w:val="17"/>
                <w:rFonts w:ascii="맑은 고딕" w:hAnsi="맑은 고딕" w:eastAsia="맑은 고딕" w:cs="맑은 고딕"/>
              </w:rPr>
              <w:t>단일 53.1%</w:t>
            </w:r>
          </w:p>
        </w:tc>
      </w:tr>
      <w:tr>
        <w:tc>
          <w:tcPr>
            <w:tcW w:type="dxa" w:w="5256"/>
          </w:tcPr>
          <w:p>
            <w:r>
              <w:rPr>
                <w:sz w:val="17"/>
                <w:rFonts w:ascii="맑은 고딕" w:hAnsi="맑은 고딕" w:eastAsia="맑은 고딕" w:cs="맑은 고딕"/>
              </w:rPr>
              <w:t>1단계 P(사건)</w:t>
            </w:r>
          </w:p>
        </w:tc>
        <w:tc>
          <w:tcPr>
            <w:tcW w:type="dxa" w:w="5256"/>
          </w:tcPr>
          <w:p>
            <w:r>
              <w:rPr>
                <w:sz w:val="17"/>
                <w:rFonts w:ascii="맑은 고딕" w:hAnsi="맑은 고딕" w:eastAsia="맑은 고딕" w:cs="맑은 고딕"/>
              </w:rPr>
              <w:t>65.4%</w:t>
            </w:r>
          </w:p>
        </w:tc>
      </w:tr>
      <w:tr>
        <w:tc>
          <w:tcPr>
            <w:tcW w:type="dxa" w:w="5256"/>
          </w:tcPr>
          <w:p>
            <w:r>
              <w:rPr>
                <w:sz w:val="17"/>
                <w:rFonts w:ascii="맑은 고딕" w:hAnsi="맑은 고딕" w:eastAsia="맑은 고딕" w:cs="맑은 고딕"/>
              </w:rPr>
              <w:t>2단계 P(순감소|사건)</w:t>
            </w:r>
          </w:p>
        </w:tc>
        <w:tc>
          <w:tcPr>
            <w:tcW w:type="dxa" w:w="5256"/>
          </w:tcPr>
          <w:p>
            <w:r>
              <w:rPr>
                <w:sz w:val="17"/>
                <w:rFonts w:ascii="맑은 고딕" w:hAnsi="맑은 고딕" w:eastAsia="맑은 고딕" w:cs="맑은 고딕"/>
              </w:rPr>
              <w:t>38.3%</w:t>
            </w:r>
          </w:p>
        </w:tc>
      </w:tr>
      <w:tr>
        <w:tc>
          <w:tcPr>
            <w:tcW w:type="dxa" w:w="5256"/>
          </w:tcPr>
          <w:p>
            <w:r>
              <w:rPr>
                <w:sz w:val="17"/>
                <w:rFonts w:ascii="맑은 고딕" w:hAnsi="맑은 고딕" w:eastAsia="맑은 고딕" w:cs="맑은 고딕"/>
              </w:rPr>
              <w:t>2단계 핵심 방향</w:t>
            </w:r>
          </w:p>
        </w:tc>
        <w:tc>
          <w:tcPr>
            <w:tcW w:type="dxa" w:w="5256"/>
          </w:tcPr>
          <w:p>
            <w:r>
              <w:rPr>
                <w:sz w:val="17"/>
                <w:rFonts w:ascii="맑은 고딕" w:hAnsi="맑은 고딕" w:eastAsia="맑은 고딕" w:cs="맑은 고딕"/>
              </w:rPr>
              <w:t>점포당 매출·업종 구성·업종 특성의 상대적 중요도 상승</w:t>
            </w:r>
          </w:p>
        </w:tc>
      </w:tr>
    </w:tbl>
    <w:p>
      <w:r>
        <w:rPr>
          <w:b w:val="0"/>
          <w:i/>
          <w:sz w:val="18"/>
          <w:rFonts w:ascii="맑은 고딕" w:hAnsi="맑은 고딕" w:eastAsia="맑은 고딕" w:cs="맑은 고딕"/>
        </w:rPr>
        <w:t>표 33</w:t>
      </w:r>
    </w:p>
    <w:p>
      <w:pPr>
        <w:jc w:val="center"/>
      </w:pPr>
      <w:r>
        <w:drawing>
          <wp:inline xmlns:a="http://schemas.openxmlformats.org/drawingml/2006/main" xmlns:pic="http://schemas.openxmlformats.org/drawingml/2006/picture">
            <wp:extent cx="6035040" cy="3108960"/>
            <wp:docPr id="8" name="Picture 8"/>
            <wp:cNvGraphicFramePr>
              <a:graphicFrameLocks noChangeAspect="1"/>
            </wp:cNvGraphicFramePr>
            <a:graphic>
              <a:graphicData uri="http://schemas.openxmlformats.org/drawingml/2006/picture">
                <pic:pic>
                  <pic:nvPicPr>
                    <pic:cNvPr id="0" name="g8.png"/>
                    <pic:cNvPicPr/>
                  </pic:nvPicPr>
                  <pic:blipFill>
                    <a:blip r:embed="rId16"/>
                    <a:stretch>
                      <a:fillRect/>
                    </a:stretch>
                  </pic:blipFill>
                  <pic:spPr>
                    <a:xfrm>
                      <a:off x="0" y="0"/>
                      <a:ext cx="6035040" cy="3108960"/>
                    </a:xfrm>
                    <a:prstGeom prst="rect"/>
                  </pic:spPr>
                </pic:pic>
              </a:graphicData>
            </a:graphic>
          </wp:inline>
        </w:drawing>
      </w:r>
    </w:p>
    <w:p>
      <w:pPr>
        <w:jc w:val="center"/>
      </w:pPr>
      <w:r>
        <w:rPr>
          <w:b w:val="0"/>
          <w:i/>
          <w:sz w:val="18"/>
          <w:rFonts w:ascii="맑은 고딕" w:hAnsi="맑은 고딕" w:eastAsia="맑은 고딕" w:cs="맑은 고딕"/>
        </w:rPr>
        <w:t>그림 8</w:t>
      </w:r>
    </w:p>
    <w:p>
      <w:r>
        <w:rPr>
          <w:b w:val="0"/>
          <w:i w:val="0"/>
          <w:sz w:val="19"/>
          <w:rFonts w:ascii="맑은 고딕" w:hAnsi="맑은 고딕" w:eastAsia="맑은 고딕" w:cs="맑은 고딕"/>
        </w:rPr>
        <w:t>읽는 법 — 2단계에서 붉은 막대가 규모·밀도 계열임. 위쪽에 파란 막대가 오면 그것이 «크기와 무관한 위험 요인»임.</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r>
          </w:p>
        </w:tc>
        <w:tc>
          <w:tcPr>
            <w:tcW w:type="dxa" w:w="5256"/>
          </w:tcPr>
          <w:p>
            <w:r>
              <w:rPr>
                <w:b/>
                <w:sz w:val="17"/>
                <w:rFonts w:ascii="맑은 고딕" w:hAnsi="맑은 고딕" w:eastAsia="맑은 고딕" w:cs="맑은 고딕"/>
              </w:rPr>
              <w:t>2단계 평균 |SHAP|</w:t>
            </w:r>
          </w:p>
        </w:tc>
      </w:tr>
      <w:tr>
        <w:tc>
          <w:tcPr>
            <w:tcW w:type="dxa" w:w="5256"/>
          </w:tcPr>
          <w:p>
            <w:r>
              <w:rPr>
                <w:sz w:val="17"/>
                <w:rFonts w:ascii="맑은 고딕" w:hAnsi="맑은 고딕" w:eastAsia="맑은 고딕" w:cs="맑은 고딕"/>
              </w:rPr>
              <w:t>서비스_업종_코드_명_한식음식점</w:t>
            </w:r>
          </w:p>
        </w:tc>
        <w:tc>
          <w:tcPr>
            <w:tcW w:type="dxa" w:w="5256"/>
          </w:tcPr>
          <w:p>
            <w:r>
              <w:rPr>
                <w:sz w:val="17"/>
                <w:rFonts w:ascii="맑은 고딕" w:hAnsi="맑은 고딕" w:eastAsia="맑은 고딕" w:cs="맑은 고딕"/>
              </w:rPr>
              <w:t>0.1710</w:t>
            </w:r>
          </w:p>
        </w:tc>
      </w:tr>
      <w:tr>
        <w:tc>
          <w:tcPr>
            <w:tcW w:type="dxa" w:w="5256"/>
          </w:tcPr>
          <w:p>
            <w:r>
              <w:rPr>
                <w:sz w:val="17"/>
                <w:rFonts w:ascii="맑은 고딕" w:hAnsi="맑은 고딕" w:eastAsia="맑은 고딕" w:cs="맑은 고딕"/>
              </w:rPr>
              <w:t>외식물가지수</w:t>
            </w:r>
          </w:p>
        </w:tc>
        <w:tc>
          <w:tcPr>
            <w:tcW w:type="dxa" w:w="5256"/>
          </w:tcPr>
          <w:p>
            <w:r>
              <w:rPr>
                <w:sz w:val="17"/>
                <w:rFonts w:ascii="맑은 고딕" w:hAnsi="맑은 고딕" w:eastAsia="맑은 고딕" w:cs="맑은 고딕"/>
              </w:rPr>
              <w:t>0.1408</w:t>
            </w:r>
          </w:p>
        </w:tc>
      </w:tr>
      <w:tr>
        <w:tc>
          <w:tcPr>
            <w:tcW w:type="dxa" w:w="5256"/>
          </w:tcPr>
          <w:p>
            <w:r>
              <w:rPr>
                <w:sz w:val="17"/>
                <w:rFonts w:ascii="맑은 고딕" w:hAnsi="맑은 고딕" w:eastAsia="맑은 고딕" w:cs="맑은 고딕"/>
              </w:rPr>
              <w:t>순감소_현재</w:t>
            </w:r>
          </w:p>
        </w:tc>
        <w:tc>
          <w:tcPr>
            <w:tcW w:type="dxa" w:w="5256"/>
          </w:tcPr>
          <w:p>
            <w:r>
              <w:rPr>
                <w:sz w:val="17"/>
                <w:rFonts w:ascii="맑은 고딕" w:hAnsi="맑은 고딕" w:eastAsia="맑은 고딕" w:cs="맑은 고딕"/>
              </w:rPr>
              <w:t>0.0869</w:t>
            </w:r>
          </w:p>
        </w:tc>
      </w:tr>
      <w:tr>
        <w:tc>
          <w:tcPr>
            <w:tcW w:type="dxa" w:w="5256"/>
          </w:tcPr>
          <w:p>
            <w:r>
              <w:rPr>
                <w:sz w:val="17"/>
                <w:rFonts w:ascii="맑은 고딕" w:hAnsi="맑은 고딕" w:eastAsia="맑은 고딕" w:cs="맑은 고딕"/>
              </w:rPr>
              <w:t>서비스_업종_코드_명_커피-음료</w:t>
            </w:r>
          </w:p>
        </w:tc>
        <w:tc>
          <w:tcPr>
            <w:tcW w:type="dxa" w:w="5256"/>
          </w:tcPr>
          <w:p>
            <w:r>
              <w:rPr>
                <w:sz w:val="17"/>
                <w:rFonts w:ascii="맑은 고딕" w:hAnsi="맑은 고딕" w:eastAsia="맑은 고딕" w:cs="맑은 고딕"/>
              </w:rPr>
              <w:t>0.0807</w:t>
            </w:r>
          </w:p>
        </w:tc>
      </w:tr>
      <w:tr>
        <w:tc>
          <w:tcPr>
            <w:tcW w:type="dxa" w:w="5256"/>
          </w:tcPr>
          <w:p>
            <w:r>
              <w:rPr>
                <w:sz w:val="17"/>
                <w:rFonts w:ascii="맑은 고딕" w:hAnsi="맑은 고딕" w:eastAsia="맑은 고딕" w:cs="맑은 고딕"/>
              </w:rPr>
              <w:t>점포당매출</w:t>
            </w:r>
          </w:p>
        </w:tc>
        <w:tc>
          <w:tcPr>
            <w:tcW w:type="dxa" w:w="5256"/>
          </w:tcPr>
          <w:p>
            <w:r>
              <w:rPr>
                <w:sz w:val="17"/>
                <w:rFonts w:ascii="맑은 고딕" w:hAnsi="맑은 고딕" w:eastAsia="맑은 고딕" w:cs="맑은 고딕"/>
              </w:rPr>
              <w:t>0.0775</w:t>
            </w:r>
          </w:p>
        </w:tc>
      </w:tr>
      <w:tr>
        <w:tc>
          <w:tcPr>
            <w:tcW w:type="dxa" w:w="5256"/>
          </w:tcPr>
          <w:p>
            <w:r>
              <w:rPr>
                <w:sz w:val="17"/>
                <w:rFonts w:ascii="맑은 고딕" w:hAnsi="맑은 고딕" w:eastAsia="맑은 고딕" w:cs="맑은 고딕"/>
              </w:rPr>
              <w:t>업종점포비중</w:t>
            </w:r>
          </w:p>
        </w:tc>
        <w:tc>
          <w:tcPr>
            <w:tcW w:type="dxa" w:w="5256"/>
          </w:tcPr>
          <w:p>
            <w:r>
              <w:rPr>
                <w:sz w:val="17"/>
                <w:rFonts w:ascii="맑은 고딕" w:hAnsi="맑은 고딕" w:eastAsia="맑은 고딕" w:cs="맑은 고딕"/>
              </w:rPr>
              <w:t>0.0730</w:t>
            </w:r>
          </w:p>
        </w:tc>
      </w:tr>
      <w:tr>
        <w:tc>
          <w:tcPr>
            <w:tcW w:type="dxa" w:w="5256"/>
          </w:tcPr>
          <w:p>
            <w:r>
              <w:rPr>
                <w:sz w:val="17"/>
                <w:rFonts w:ascii="맑은 고딕" w:hAnsi="맑은 고딕" w:eastAsia="맑은 고딕" w:cs="맑은 고딕"/>
              </w:rPr>
              <w:t>외식지출전망</w:t>
            </w:r>
          </w:p>
        </w:tc>
        <w:tc>
          <w:tcPr>
            <w:tcW w:type="dxa" w:w="5256"/>
          </w:tcPr>
          <w:p>
            <w:r>
              <w:rPr>
                <w:sz w:val="17"/>
                <w:rFonts w:ascii="맑은 고딕" w:hAnsi="맑은 고딕" w:eastAsia="맑은 고딕" w:cs="맑은 고딕"/>
              </w:rPr>
              <w:t>0.0720</w:t>
            </w:r>
          </w:p>
        </w:tc>
      </w:tr>
      <w:tr>
        <w:tc>
          <w:tcPr>
            <w:tcW w:type="dxa" w:w="5256"/>
          </w:tcPr>
          <w:p>
            <w:r>
              <w:rPr>
                <w:sz w:val="17"/>
                <w:rFonts w:ascii="맑은 고딕" w:hAnsi="맑은 고딕" w:eastAsia="맑은 고딕" w:cs="맑은 고딕"/>
              </w:rPr>
              <w:t>서비스_업종_코드_명_호프-간이주점</w:t>
            </w:r>
          </w:p>
        </w:tc>
        <w:tc>
          <w:tcPr>
            <w:tcW w:type="dxa" w:w="5256"/>
          </w:tcPr>
          <w:p>
            <w:r>
              <w:rPr>
                <w:sz w:val="17"/>
                <w:rFonts w:ascii="맑은 고딕" w:hAnsi="맑은 고딕" w:eastAsia="맑은 고딕" w:cs="맑은 고딕"/>
              </w:rPr>
              <w:t>0.0628</w:t>
            </w:r>
          </w:p>
        </w:tc>
      </w:tr>
      <w:tr>
        <w:tc>
          <w:tcPr>
            <w:tcW w:type="dxa" w:w="5256"/>
          </w:tcPr>
          <w:p>
            <w:r>
              <w:rPr>
                <w:sz w:val="17"/>
                <w:rFonts w:ascii="맑은 고딕" w:hAnsi="맑은 고딕" w:eastAsia="맑은 고딕" w:cs="맑은 고딕"/>
              </w:rPr>
              <w:t>당월_매출_건수</w:t>
            </w:r>
          </w:p>
        </w:tc>
        <w:tc>
          <w:tcPr>
            <w:tcW w:type="dxa" w:w="5256"/>
          </w:tcPr>
          <w:p>
            <w:r>
              <w:rPr>
                <w:sz w:val="17"/>
                <w:rFonts w:ascii="맑은 고딕" w:hAnsi="맑은 고딕" w:eastAsia="맑은 고딕" w:cs="맑은 고딕"/>
              </w:rPr>
              <w:t>0.0561</w:t>
            </w:r>
          </w:p>
        </w:tc>
      </w:tr>
      <w:tr>
        <w:tc>
          <w:tcPr>
            <w:tcW w:type="dxa" w:w="5256"/>
          </w:tcPr>
          <w:p>
            <w:r>
              <w:rPr>
                <w:sz w:val="17"/>
                <w:rFonts w:ascii="맑은 고딕" w:hAnsi="맑은 고딕" w:eastAsia="맑은 고딕" w:cs="맑은 고딕"/>
              </w:rPr>
              <w:t>프랜차이즈비율</w:t>
            </w:r>
          </w:p>
        </w:tc>
        <w:tc>
          <w:tcPr>
            <w:tcW w:type="dxa" w:w="5256"/>
          </w:tcPr>
          <w:p>
            <w:r>
              <w:rPr>
                <w:sz w:val="17"/>
                <w:rFonts w:ascii="맑은 고딕" w:hAnsi="맑은 고딕" w:eastAsia="맑은 고딕" w:cs="맑은 고딕"/>
              </w:rPr>
              <w:t>0.0450</w:t>
            </w:r>
          </w:p>
        </w:tc>
      </w:tr>
      <w:tr>
        <w:tc>
          <w:tcPr>
            <w:tcW w:type="dxa" w:w="5256"/>
          </w:tcPr>
          <w:p>
            <w:r>
              <w:rPr>
                <w:sz w:val="17"/>
                <w:rFonts w:ascii="맑은 고딕" w:hAnsi="맑은 고딕" w:eastAsia="맑은 고딕" w:cs="맑은 고딕"/>
              </w:rPr>
              <w:t>당월_매출_금액</w:t>
            </w:r>
          </w:p>
        </w:tc>
        <w:tc>
          <w:tcPr>
            <w:tcW w:type="dxa" w:w="5256"/>
          </w:tcPr>
          <w:p>
            <w:r>
              <w:rPr>
                <w:sz w:val="17"/>
                <w:rFonts w:ascii="맑은 고딕" w:hAnsi="맑은 고딕" w:eastAsia="맑은 고딕" w:cs="맑은 고딕"/>
              </w:rPr>
              <w:t>0.0420</w:t>
            </w:r>
          </w:p>
        </w:tc>
      </w:tr>
      <w:tr>
        <w:tc>
          <w:tcPr>
            <w:tcW w:type="dxa" w:w="5256"/>
          </w:tcPr>
          <w:p>
            <w:r>
              <w:rPr>
                <w:sz w:val="17"/>
                <w:rFonts w:ascii="맑은 고딕" w:hAnsi="맑은 고딕" w:eastAsia="맑은 고딕" w:cs="맑은 고딕"/>
              </w:rPr>
              <w:t>서비스_업종_코드_명_일식음식점</w:t>
            </w:r>
          </w:p>
        </w:tc>
        <w:tc>
          <w:tcPr>
            <w:tcW w:type="dxa" w:w="5256"/>
          </w:tcPr>
          <w:p>
            <w:r>
              <w:rPr>
                <w:sz w:val="17"/>
                <w:rFonts w:ascii="맑은 고딕" w:hAnsi="맑은 고딕" w:eastAsia="맑은 고딕" w:cs="맑은 고딕"/>
              </w:rPr>
              <w:t>0.0383</w:t>
            </w:r>
          </w:p>
        </w:tc>
      </w:tr>
    </w:tbl>
    <w:p>
      <w:r>
        <w:rPr>
          <w:b w:val="0"/>
          <w:i/>
          <w:sz w:val="18"/>
          <w:rFonts w:ascii="맑은 고딕" w:hAnsi="맑은 고딕" w:eastAsia="맑은 고딕" w:cs="맑은 고딕"/>
        </w:rPr>
        <w:t>표 34</w:t>
      </w:r>
    </w:p>
    <w:p>
      <w:r>
        <w:rPr>
          <w:b w:val="0"/>
          <w:i w:val="0"/>
          <w:sz w:val="19"/>
          <w:rFonts w:ascii="맑은 고딕" w:hAnsi="맑은 고딕" w:eastAsia="맑은 고딕" w:cs="맑은 고딕"/>
        </w:rPr>
        <w:t>읽는 법 — 규모 계열을 뺀 2단계 상위 목록임. 정책적으로 읽을 값은 이 목록임.</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따라서 “위험을 만드는 원인”이라고 단정하기보다 “규모 효과를 분리한 뒤에도 모델이 위험 판단에 사용한 요인”이라고 표현하는 것이 정확하다. 인과효과를 말하려면 별도의 인과설계가 필요하다.</w:t>
      </w:r>
    </w:p>
    <w:p>
      <w:r>
        <w:br w:type="page"/>
      </w:r>
    </w:p>
    <w:p>
      <w:pPr>
        <w:pStyle w:val="Heading1"/>
      </w:pPr>
      <w:r>
        <w:rPr>
          <w:rFonts w:ascii="맑은 고딕" w:hAnsi="맑은 고딕" w:eastAsia="맑은 고딕" w:cs="맑은 고딕"/>
        </w:rPr>
        <w:t>17  위험도 공간 분석</w:t>
      </w:r>
    </w:p>
    <w:p>
      <w:r>
        <w:rPr>
          <w:b/>
          <w:i w:val="0"/>
          <w:sz w:val="22"/>
          <w:rFonts w:ascii="맑은 고딕" w:hAnsi="맑은 고딕" w:eastAsia="맑은 고딕" w:cs="맑은 고딕"/>
        </w:rPr>
        <w:t>핵심 한 줄 — 지도에서는 위험등급이 높아질수록 실제 순감소율도 15.3% → 39.3%로 증가했다. 다만 자치구 경계나 역과의 거리 자체는 위험을 잘 설명하지 못했다.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예측 결과가 실제 공간에서 어디에 모이는지 확인하고, 행정구역·역세권 같은 단순 입지 기준으로 대체할 수 있는지 점검했다.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원본 좌표계는 EPSG:5181로 확인했고, 서울 안 5,479개 상권×업종 조합을 지도 분석에 사용했다.</w:t>
      </w:r>
    </w:p>
    <w:p>
      <w:pPr>
        <w:ind w:left="173"/>
      </w:pPr>
      <w:r>
        <w:rPr>
          <w:b w:val="0"/>
          <w:i w:val="0"/>
          <w:sz w:val="21"/>
          <w:rFonts w:ascii="맑은 고딕" w:hAnsi="맑은 고딕" w:eastAsia="맑은 고딕" w:cs="맑은 고딕"/>
        </w:rPr>
        <w:t>• 위험점수 4분위로 나눈 실제 순감소율은 관찰 15.3% → 주의 19.4% → 경계 29.9% → 위험 39.3%로 단조 증가했다.</w:t>
      </w:r>
    </w:p>
    <w:p>
      <w:pPr>
        <w:ind w:left="173"/>
      </w:pPr>
      <w:r>
        <w:rPr>
          <w:b w:val="0"/>
          <w:i w:val="0"/>
          <w:sz w:val="21"/>
          <w:rFonts w:ascii="맑은 고딕" w:hAnsi="맑은 고딕" w:eastAsia="맑은 고딕" w:cs="맑은 고딕"/>
        </w:rPr>
        <w:t>• 상권 경계 폴리곤이 없어 점·버블·500m 격자 등으로 분포를 표현했으며, 자치구 외곽선은 위치 확인용 근사치라 면적 계산에는 쓰지 않았다.</w:t>
      </w:r>
    </w:p>
    <w:p>
      <w:pPr>
        <w:ind w:left="173"/>
      </w:pPr>
      <w:r>
        <w:rPr>
          <w:b w:val="0"/>
          <w:i w:val="0"/>
          <w:sz w:val="21"/>
          <w:rFonts w:ascii="맑은 고딕" w:hAnsi="맑은 고딕" w:eastAsia="맑은 고딕" w:cs="맑은 고딕"/>
        </w:rPr>
        <w:t>• 역 밖 0~250m, 250~500m, 500m~1km, 1km 초과 구간에서 위험이 일정하게 증가하는 패턴은 없었다. 역세권 상권의 높은 위험은 평균 점포 수가 큰 규모 효과로 해석됐다.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좌표계</w:t>
            </w:r>
          </w:p>
        </w:tc>
        <w:tc>
          <w:tcPr>
            <w:tcW w:type="dxa" w:w="5256"/>
          </w:tcPr>
          <w:p>
            <w:r>
              <w:rPr>
                <w:sz w:val="17"/>
                <w:rFonts w:ascii="맑은 고딕" w:hAnsi="맑은 고딕" w:eastAsia="맑은 고딕" w:cs="맑은 고딕"/>
              </w:rPr>
              <w:t>EPSG:5181</w:t>
            </w:r>
          </w:p>
        </w:tc>
      </w:tr>
      <w:tr>
        <w:tc>
          <w:tcPr>
            <w:tcW w:type="dxa" w:w="5256"/>
          </w:tcPr>
          <w:p>
            <w:r>
              <w:rPr>
                <w:sz w:val="17"/>
                <w:rFonts w:ascii="맑은 고딕" w:hAnsi="맑은 고딕" w:eastAsia="맑은 고딕" w:cs="맑은 고딕"/>
              </w:rPr>
              <w:t>지도 표본</w:t>
            </w:r>
          </w:p>
        </w:tc>
        <w:tc>
          <w:tcPr>
            <w:tcW w:type="dxa" w:w="5256"/>
          </w:tcPr>
          <w:p>
            <w:r>
              <w:rPr>
                <w:sz w:val="17"/>
                <w:rFonts w:ascii="맑은 고딕" w:hAnsi="맑은 고딕" w:eastAsia="맑은 고딕" w:cs="맑은 고딕"/>
              </w:rPr>
              <w:t>5,479개</w:t>
            </w:r>
          </w:p>
        </w:tc>
      </w:tr>
      <w:tr>
        <w:tc>
          <w:tcPr>
            <w:tcW w:type="dxa" w:w="5256"/>
          </w:tcPr>
          <w:p>
            <w:r>
              <w:rPr>
                <w:sz w:val="17"/>
                <w:rFonts w:ascii="맑은 고딕" w:hAnsi="맑은 고딕" w:eastAsia="맑은 고딕" w:cs="맑은 고딕"/>
              </w:rPr>
              <w:t>위험등급 실제 순감소율</w:t>
            </w:r>
          </w:p>
        </w:tc>
        <w:tc>
          <w:tcPr>
            <w:tcW w:type="dxa" w:w="5256"/>
          </w:tcPr>
          <w:p>
            <w:r>
              <w:rPr>
                <w:sz w:val="17"/>
                <w:rFonts w:ascii="맑은 고딕" w:hAnsi="맑은 고딕" w:eastAsia="맑은 고딕" w:cs="맑은 고딕"/>
              </w:rPr>
              <w:t>15.3% → 19.4% → 29.9% → 39.3%</w:t>
            </w:r>
          </w:p>
        </w:tc>
      </w:tr>
      <w:tr>
        <w:tc>
          <w:tcPr>
            <w:tcW w:type="dxa" w:w="5256"/>
          </w:tcPr>
          <w:p>
            <w:r>
              <w:rPr>
                <w:sz w:val="17"/>
                <w:rFonts w:ascii="맑은 고딕" w:hAnsi="맑은 고딕" w:eastAsia="맑은 고딕" w:cs="맑은 고딕"/>
              </w:rPr>
              <w:t>역 거리 효과</w:t>
            </w:r>
          </w:p>
        </w:tc>
        <w:tc>
          <w:tcPr>
            <w:tcW w:type="dxa" w:w="5256"/>
          </w:tcPr>
          <w:p>
            <w:r>
              <w:rPr>
                <w:sz w:val="17"/>
                <w:rFonts w:ascii="맑은 고딕" w:hAnsi="맑은 고딕" w:eastAsia="맑은 고딕" w:cs="맑은 고딕"/>
              </w:rPr>
              <w:t>뚜렷한 거리 구배 없음</w:t>
            </w:r>
          </w:p>
        </w:tc>
      </w:tr>
    </w:tbl>
    <w:p>
      <w:r>
        <w:rPr>
          <w:b w:val="0"/>
          <w:i/>
          <w:sz w:val="18"/>
          <w:rFonts w:ascii="맑은 고딕" w:hAnsi="맑은 고딕" w:eastAsia="맑은 고딕" w:cs="맑은 고딕"/>
        </w:rPr>
        <w:t>표 35</w:t>
      </w:r>
    </w:p>
    <w:tbl>
      <w:tblPr>
        <w:tblStyle w:val="LightGrid-Accent1"/>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b/>
                <w:sz w:val="17"/>
                <w:rFonts w:ascii="맑은 고딕" w:hAnsi="맑은 고딕" w:eastAsia="맑은 고딕" w:cs="맑은 고딕"/>
              </w:rPr>
            </w:r>
          </w:p>
        </w:tc>
        <w:tc>
          <w:tcPr>
            <w:tcW w:type="dxa" w:w="1752"/>
          </w:tcPr>
          <w:p>
            <w:r>
              <w:rPr>
                <w:b/>
                <w:sz w:val="17"/>
                <w:rFonts w:ascii="맑은 고딕" w:hAnsi="맑은 고딕" w:eastAsia="맑은 고딕" w:cs="맑은 고딕"/>
              </w:rPr>
              <w:t>칸수</w:t>
            </w:r>
          </w:p>
        </w:tc>
        <w:tc>
          <w:tcPr>
            <w:tcW w:type="dxa" w:w="1752"/>
          </w:tcPr>
          <w:p>
            <w:r>
              <w:rPr>
                <w:b/>
                <w:sz w:val="17"/>
                <w:rFonts w:ascii="맑은 고딕" w:hAnsi="맑은 고딕" w:eastAsia="맑은 고딕" w:cs="맑은 고딕"/>
              </w:rPr>
              <w:t>평균위험점수</w:t>
            </w:r>
          </w:p>
        </w:tc>
        <w:tc>
          <w:tcPr>
            <w:tcW w:type="dxa" w:w="1752"/>
          </w:tcPr>
          <w:p>
            <w:r>
              <w:rPr>
                <w:b/>
                <w:sz w:val="17"/>
                <w:rFonts w:ascii="맑은 고딕" w:hAnsi="맑은 고딕" w:eastAsia="맑은 고딕" w:cs="맑은 고딕"/>
              </w:rPr>
              <w:t>실제순감소율</w:t>
            </w:r>
          </w:p>
        </w:tc>
        <w:tc>
          <w:tcPr>
            <w:tcW w:type="dxa" w:w="1752"/>
          </w:tcPr>
          <w:p>
            <w:r>
              <w:rPr>
                <w:b/>
                <w:sz w:val="17"/>
                <w:rFonts w:ascii="맑은 고딕" w:hAnsi="맑은 고딕" w:eastAsia="맑은 고딕" w:cs="맑은 고딕"/>
              </w:rPr>
              <w:t>평균점포</w:t>
            </w:r>
          </w:p>
        </w:tc>
        <w:tc>
          <w:tcPr>
            <w:tcW w:type="dxa" w:w="1752"/>
          </w:tcPr>
          <w:p>
            <w:r>
              <w:rPr>
                <w:b/>
                <w:sz w:val="17"/>
                <w:rFonts w:ascii="맑은 고딕" w:hAnsi="맑은 고딕" w:eastAsia="맑은 고딕" w:cs="맑은 고딕"/>
              </w:rPr>
              <w:t>기저율대비</w:t>
            </w:r>
          </w:p>
        </w:tc>
      </w:tr>
      <w:tr>
        <w:tc>
          <w:tcPr>
            <w:tcW w:type="dxa" w:w="1752"/>
          </w:tcPr>
          <w:p>
            <w:r>
              <w:rPr>
                <w:sz w:val="17"/>
                <w:rFonts w:ascii="맑은 고딕" w:hAnsi="맑은 고딕" w:eastAsia="맑은 고딕" w:cs="맑은 고딕"/>
              </w:rPr>
              <w:t>위험등급</w:t>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c>
          <w:tcPr>
            <w:tcW w:type="dxa" w:w="1752"/>
          </w:tcPr>
          <w:p>
            <w:r>
              <w:rPr>
                <w:sz w:val="17"/>
                <w:rFonts w:ascii="맑은 고딕" w:hAnsi="맑은 고딕" w:eastAsia="맑은 고딕" w:cs="맑은 고딕"/>
              </w:rPr>
            </w:r>
          </w:p>
        </w:tc>
      </w:tr>
      <w:tr>
        <w:tc>
          <w:tcPr>
            <w:tcW w:type="dxa" w:w="1752"/>
          </w:tcPr>
          <w:p>
            <w:r>
              <w:rPr>
                <w:sz w:val="17"/>
                <w:rFonts w:ascii="맑은 고딕" w:hAnsi="맑은 고딕" w:eastAsia="맑은 고딕" w:cs="맑은 고딕"/>
              </w:rPr>
              <w:t>관찰</w:t>
            </w:r>
          </w:p>
        </w:tc>
        <w:tc>
          <w:tcPr>
            <w:tcW w:type="dxa" w:w="1752"/>
          </w:tcPr>
          <w:p>
            <w:r>
              <w:rPr>
                <w:sz w:val="17"/>
                <w:rFonts w:ascii="맑은 고딕" w:hAnsi="맑은 고딕" w:eastAsia="맑은 고딕" w:cs="맑은 고딕"/>
              </w:rPr>
              <w:t>1370</w:t>
            </w:r>
          </w:p>
        </w:tc>
        <w:tc>
          <w:tcPr>
            <w:tcW w:type="dxa" w:w="1752"/>
          </w:tcPr>
          <w:p>
            <w:r>
              <w:rPr>
                <w:sz w:val="17"/>
                <w:rFonts w:ascii="맑은 고딕" w:hAnsi="맑은 고딕" w:eastAsia="맑은 고딕" w:cs="맑은 고딕"/>
              </w:rPr>
              <w:t>0.209</w:t>
            </w:r>
          </w:p>
        </w:tc>
        <w:tc>
          <w:tcPr>
            <w:tcW w:type="dxa" w:w="1752"/>
          </w:tcPr>
          <w:p>
            <w:r>
              <w:rPr>
                <w:sz w:val="17"/>
                <w:rFonts w:ascii="맑은 고딕" w:hAnsi="맑은 고딕" w:eastAsia="맑은 고딕" w:cs="맑은 고딕"/>
              </w:rPr>
              <w:t>0.153</w:t>
            </w:r>
          </w:p>
        </w:tc>
        <w:tc>
          <w:tcPr>
            <w:tcW w:type="dxa" w:w="1752"/>
          </w:tcPr>
          <w:p>
            <w:r>
              <w:rPr>
                <w:sz w:val="17"/>
                <w:rFonts w:ascii="맑은 고딕" w:hAnsi="맑은 고딕" w:eastAsia="맑은 고딕" w:cs="맑은 고딕"/>
              </w:rPr>
              <w:t>8.547</w:t>
            </w:r>
          </w:p>
        </w:tc>
        <w:tc>
          <w:tcPr>
            <w:tcW w:type="dxa" w:w="1752"/>
          </w:tcPr>
          <w:p>
            <w:r>
              <w:rPr>
                <w:sz w:val="17"/>
                <w:rFonts w:ascii="맑은 고딕" w:hAnsi="맑은 고딕" w:eastAsia="맑은 고딕" w:cs="맑은 고딕"/>
              </w:rPr>
              <w:t>0.59</w:t>
            </w:r>
          </w:p>
        </w:tc>
      </w:tr>
      <w:tr>
        <w:tc>
          <w:tcPr>
            <w:tcW w:type="dxa" w:w="1752"/>
          </w:tcPr>
          <w:p>
            <w:r>
              <w:rPr>
                <w:sz w:val="17"/>
                <w:rFonts w:ascii="맑은 고딕" w:hAnsi="맑은 고딕" w:eastAsia="맑은 고딕" w:cs="맑은 고딕"/>
              </w:rPr>
              <w:t>주의</w:t>
            </w:r>
          </w:p>
        </w:tc>
        <w:tc>
          <w:tcPr>
            <w:tcW w:type="dxa" w:w="1752"/>
          </w:tcPr>
          <w:p>
            <w:r>
              <w:rPr>
                <w:sz w:val="17"/>
                <w:rFonts w:ascii="맑은 고딕" w:hAnsi="맑은 고딕" w:eastAsia="맑은 고딕" w:cs="맑은 고딕"/>
              </w:rPr>
              <w:t>1370</w:t>
            </w:r>
          </w:p>
        </w:tc>
        <w:tc>
          <w:tcPr>
            <w:tcW w:type="dxa" w:w="1752"/>
          </w:tcPr>
          <w:p>
            <w:r>
              <w:rPr>
                <w:sz w:val="17"/>
                <w:rFonts w:ascii="맑은 고딕" w:hAnsi="맑은 고딕" w:eastAsia="맑은 고딕" w:cs="맑은 고딕"/>
              </w:rPr>
              <w:t>0.345</w:t>
            </w:r>
          </w:p>
        </w:tc>
        <w:tc>
          <w:tcPr>
            <w:tcW w:type="dxa" w:w="1752"/>
          </w:tcPr>
          <w:p>
            <w:r>
              <w:rPr>
                <w:sz w:val="17"/>
                <w:rFonts w:ascii="맑은 고딕" w:hAnsi="맑은 고딕" w:eastAsia="맑은 고딕" w:cs="맑은 고딕"/>
              </w:rPr>
              <w:t>0.194</w:t>
            </w:r>
          </w:p>
        </w:tc>
        <w:tc>
          <w:tcPr>
            <w:tcW w:type="dxa" w:w="1752"/>
          </w:tcPr>
          <w:p>
            <w:r>
              <w:rPr>
                <w:sz w:val="17"/>
                <w:rFonts w:ascii="맑은 고딕" w:hAnsi="맑은 고딕" w:eastAsia="맑은 고딕" w:cs="맑은 고딕"/>
              </w:rPr>
              <w:t>12.060</w:t>
            </w:r>
          </w:p>
        </w:tc>
        <w:tc>
          <w:tcPr>
            <w:tcW w:type="dxa" w:w="1752"/>
          </w:tcPr>
          <w:p>
            <w:r>
              <w:rPr>
                <w:sz w:val="17"/>
                <w:rFonts w:ascii="맑은 고딕" w:hAnsi="맑은 고딕" w:eastAsia="맑은 고딕" w:cs="맑은 고딕"/>
              </w:rPr>
              <w:t>0.75</w:t>
            </w:r>
          </w:p>
        </w:tc>
      </w:tr>
      <w:tr>
        <w:tc>
          <w:tcPr>
            <w:tcW w:type="dxa" w:w="1752"/>
          </w:tcPr>
          <w:p>
            <w:r>
              <w:rPr>
                <w:sz w:val="17"/>
                <w:rFonts w:ascii="맑은 고딕" w:hAnsi="맑은 고딕" w:eastAsia="맑은 고딕" w:cs="맑은 고딕"/>
              </w:rPr>
              <w:t>경계</w:t>
            </w:r>
          </w:p>
        </w:tc>
        <w:tc>
          <w:tcPr>
            <w:tcW w:type="dxa" w:w="1752"/>
          </w:tcPr>
          <w:p>
            <w:r>
              <w:rPr>
                <w:sz w:val="17"/>
                <w:rFonts w:ascii="맑은 고딕" w:hAnsi="맑은 고딕" w:eastAsia="맑은 고딕" w:cs="맑은 고딕"/>
              </w:rPr>
              <w:t>1369</w:t>
            </w:r>
          </w:p>
        </w:tc>
        <w:tc>
          <w:tcPr>
            <w:tcW w:type="dxa" w:w="1752"/>
          </w:tcPr>
          <w:p>
            <w:r>
              <w:rPr>
                <w:sz w:val="17"/>
                <w:rFonts w:ascii="맑은 고딕" w:hAnsi="맑은 고딕" w:eastAsia="맑은 고딕" w:cs="맑은 고딕"/>
              </w:rPr>
              <w:t>0.461</w:t>
            </w:r>
          </w:p>
        </w:tc>
        <w:tc>
          <w:tcPr>
            <w:tcW w:type="dxa" w:w="1752"/>
          </w:tcPr>
          <w:p>
            <w:r>
              <w:rPr>
                <w:sz w:val="17"/>
                <w:rFonts w:ascii="맑은 고딕" w:hAnsi="맑은 고딕" w:eastAsia="맑은 고딕" w:cs="맑은 고딕"/>
              </w:rPr>
              <w:t>0.299</w:t>
            </w:r>
          </w:p>
        </w:tc>
        <w:tc>
          <w:tcPr>
            <w:tcW w:type="dxa" w:w="1752"/>
          </w:tcPr>
          <w:p>
            <w:r>
              <w:rPr>
                <w:sz w:val="17"/>
                <w:rFonts w:ascii="맑은 고딕" w:hAnsi="맑은 고딕" w:eastAsia="맑은 고딕" w:cs="맑은 고딕"/>
              </w:rPr>
              <w:t>19.187</w:t>
            </w:r>
          </w:p>
        </w:tc>
        <w:tc>
          <w:tcPr>
            <w:tcW w:type="dxa" w:w="1752"/>
          </w:tcPr>
          <w:p>
            <w:r>
              <w:rPr>
                <w:sz w:val="17"/>
                <w:rFonts w:ascii="맑은 고딕" w:hAnsi="맑은 고딕" w:eastAsia="맑은 고딕" w:cs="맑은 고딕"/>
              </w:rPr>
              <w:t>1.15</w:t>
            </w:r>
          </w:p>
        </w:tc>
      </w:tr>
      <w:tr>
        <w:tc>
          <w:tcPr>
            <w:tcW w:type="dxa" w:w="1752"/>
          </w:tcPr>
          <w:p>
            <w:r>
              <w:rPr>
                <w:sz w:val="17"/>
                <w:rFonts w:ascii="맑은 고딕" w:hAnsi="맑은 고딕" w:eastAsia="맑은 고딕" w:cs="맑은 고딕"/>
              </w:rPr>
              <w:t>위험</w:t>
            </w:r>
          </w:p>
        </w:tc>
        <w:tc>
          <w:tcPr>
            <w:tcW w:type="dxa" w:w="1752"/>
          </w:tcPr>
          <w:p>
            <w:r>
              <w:rPr>
                <w:sz w:val="17"/>
                <w:rFonts w:ascii="맑은 고딕" w:hAnsi="맑은 고딕" w:eastAsia="맑은 고딕" w:cs="맑은 고딕"/>
              </w:rPr>
              <w:t>1370</w:t>
            </w:r>
          </w:p>
        </w:tc>
        <w:tc>
          <w:tcPr>
            <w:tcW w:type="dxa" w:w="1752"/>
          </w:tcPr>
          <w:p>
            <w:r>
              <w:rPr>
                <w:sz w:val="17"/>
                <w:rFonts w:ascii="맑은 고딕" w:hAnsi="맑은 고딕" w:eastAsia="맑은 고딕" w:cs="맑은 고딕"/>
              </w:rPr>
              <w:t>0.643</w:t>
            </w:r>
          </w:p>
        </w:tc>
        <w:tc>
          <w:tcPr>
            <w:tcW w:type="dxa" w:w="1752"/>
          </w:tcPr>
          <w:p>
            <w:r>
              <w:rPr>
                <w:sz w:val="17"/>
                <w:rFonts w:ascii="맑은 고딕" w:hAnsi="맑은 고딕" w:eastAsia="맑은 고딕" w:cs="맑은 고딕"/>
              </w:rPr>
              <w:t>0.393</w:t>
            </w:r>
          </w:p>
        </w:tc>
        <w:tc>
          <w:tcPr>
            <w:tcW w:type="dxa" w:w="1752"/>
          </w:tcPr>
          <w:p>
            <w:r>
              <w:rPr>
                <w:sz w:val="17"/>
                <w:rFonts w:ascii="맑은 고딕" w:hAnsi="맑은 고딕" w:eastAsia="맑은 고딕" w:cs="맑은 고딕"/>
              </w:rPr>
              <w:t>45.672</w:t>
            </w:r>
          </w:p>
        </w:tc>
        <w:tc>
          <w:tcPr>
            <w:tcW w:type="dxa" w:w="1752"/>
          </w:tcPr>
          <w:p>
            <w:r>
              <w:rPr>
                <w:sz w:val="17"/>
                <w:rFonts w:ascii="맑은 고딕" w:hAnsi="맑은 고딕" w:eastAsia="맑은 고딕" w:cs="맑은 고딕"/>
              </w:rPr>
              <w:t>1.51</w:t>
            </w:r>
          </w:p>
        </w:tc>
      </w:tr>
    </w:tbl>
    <w:p>
      <w:r>
        <w:rPr>
          <w:b w:val="0"/>
          <w:i/>
          <w:sz w:val="18"/>
          <w:rFonts w:ascii="맑은 고딕" w:hAnsi="맑은 고딕" w:eastAsia="맑은 고딕" w:cs="맑은 고딕"/>
        </w:rPr>
        <w:t>표 36</w:t>
      </w:r>
    </w:p>
    <w:p>
      <w:r>
        <w:rPr>
          <w:b w:val="0"/>
          <w:i w:val="0"/>
          <w:sz w:val="19"/>
          <w:rFonts w:ascii="맑은 고딕" w:hAnsi="맑은 고딕" w:eastAsia="맑은 고딕" w:cs="맑은 고딕"/>
        </w:rPr>
        <w:t>읽는 법 — 위험등급별 실제 순감소율이 단조 증가하는지 보는 표임. 증가하지 않으면 등급 경계를 다시 잡아야 함.</w:t>
      </w:r>
    </w:p>
    <w:tbl>
      <w:tblPr>
        <w:tblStyle w:val="LightGrid-Accent1"/>
        <w:tblW w:type="auto" w:w="0"/>
        <w:tblLook w:firstColumn="1" w:firstRow="1" w:lastColumn="0" w:lastRow="0" w:noHBand="0" w:noVBand="1" w:val="04A0"/>
      </w:tblPr>
      <w:tblGrid>
        <w:gridCol w:w="2102"/>
        <w:gridCol w:w="2102"/>
        <w:gridCol w:w="2102"/>
        <w:gridCol w:w="2102"/>
        <w:gridCol w:w="2102"/>
      </w:tblGrid>
      <w:tr>
        <w:tc>
          <w:tcPr>
            <w:tcW w:type="dxa" w:w="2102"/>
          </w:tcPr>
          <w:p>
            <w:r>
              <w:rPr>
                <w:b/>
                <w:sz w:val="17"/>
                <w:rFonts w:ascii="맑은 고딕" w:hAnsi="맑은 고딕" w:eastAsia="맑은 고딕" w:cs="맑은 고딕"/>
              </w:rPr>
            </w:r>
          </w:p>
        </w:tc>
        <w:tc>
          <w:tcPr>
            <w:tcW w:type="dxa" w:w="2102"/>
          </w:tcPr>
          <w:p>
            <w:r>
              <w:rPr>
                <w:b/>
                <w:sz w:val="17"/>
                <w:rFonts w:ascii="맑은 고딕" w:hAnsi="맑은 고딕" w:eastAsia="맑은 고딕" w:cs="맑은 고딕"/>
              </w:rPr>
              <w:t>상권수</w:t>
            </w:r>
          </w:p>
        </w:tc>
        <w:tc>
          <w:tcPr>
            <w:tcW w:type="dxa" w:w="2102"/>
          </w:tcPr>
          <w:p>
            <w:r>
              <w:rPr>
                <w:b/>
                <w:sz w:val="17"/>
                <w:rFonts w:ascii="맑은 고딕" w:hAnsi="맑은 고딕" w:eastAsia="맑은 고딕" w:cs="맑은 고딕"/>
              </w:rPr>
              <w:t>평균위험</w:t>
            </w:r>
          </w:p>
        </w:tc>
        <w:tc>
          <w:tcPr>
            <w:tcW w:type="dxa" w:w="2102"/>
          </w:tcPr>
          <w:p>
            <w:r>
              <w:rPr>
                <w:b/>
                <w:sz w:val="17"/>
                <w:rFonts w:ascii="맑은 고딕" w:hAnsi="맑은 고딕" w:eastAsia="맑은 고딕" w:cs="맑은 고딕"/>
              </w:rPr>
              <w:t>실제순감소율</w:t>
            </w:r>
          </w:p>
        </w:tc>
        <w:tc>
          <w:tcPr>
            <w:tcW w:type="dxa" w:w="2102"/>
          </w:tcPr>
          <w:p>
            <w:r>
              <w:rPr>
                <w:b/>
                <w:sz w:val="17"/>
                <w:rFonts w:ascii="맑은 고딕" w:hAnsi="맑은 고딕" w:eastAsia="맑은 고딕" w:cs="맑은 고딕"/>
              </w:rPr>
              <w:t>평균점포</w:t>
            </w:r>
          </w:p>
        </w:tc>
      </w:tr>
      <w:tr>
        <w:tc>
          <w:tcPr>
            <w:tcW w:type="dxa" w:w="2102"/>
          </w:tcPr>
          <w:p>
            <w:r>
              <w:rPr>
                <w:sz w:val="17"/>
                <w:rFonts w:ascii="맑은 고딕" w:hAnsi="맑은 고딕" w:eastAsia="맑은 고딕" w:cs="맑은 고딕"/>
              </w:rPr>
              <w:t>역거리_구간</w:t>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c>
          <w:tcPr>
            <w:tcW w:type="dxa" w:w="2102"/>
          </w:tcPr>
          <w:p>
            <w:r>
              <w:rPr>
                <w:sz w:val="17"/>
                <w:rFonts w:ascii="맑은 고딕" w:hAnsi="맑은 고딕" w:eastAsia="맑은 고딕" w:cs="맑은 고딕"/>
              </w:rPr>
            </w:r>
          </w:p>
        </w:tc>
      </w:tr>
      <w:tr>
        <w:tc>
          <w:tcPr>
            <w:tcW w:type="dxa" w:w="2102"/>
          </w:tcPr>
          <w:p>
            <w:r>
              <w:rPr>
                <w:sz w:val="17"/>
                <w:rFonts w:ascii="맑은 고딕" w:hAnsi="맑은 고딕" w:eastAsia="맑은 고딕" w:cs="맑은 고딕"/>
              </w:rPr>
              <w:t>역세권 상권</w:t>
            </w:r>
          </w:p>
        </w:tc>
        <w:tc>
          <w:tcPr>
            <w:tcW w:type="dxa" w:w="2102"/>
          </w:tcPr>
          <w:p>
            <w:r>
              <w:rPr>
                <w:sz w:val="17"/>
                <w:rFonts w:ascii="맑은 고딕" w:hAnsi="맑은 고딕" w:eastAsia="맑은 고딕" w:cs="맑은 고딕"/>
              </w:rPr>
              <w:t>191</w:t>
            </w:r>
          </w:p>
        </w:tc>
        <w:tc>
          <w:tcPr>
            <w:tcW w:type="dxa" w:w="2102"/>
          </w:tcPr>
          <w:p>
            <w:r>
              <w:rPr>
                <w:sz w:val="17"/>
                <w:rFonts w:ascii="맑은 고딕" w:hAnsi="맑은 고딕" w:eastAsia="맑은 고딕" w:cs="맑은 고딕"/>
              </w:rPr>
              <w:t>0.623</w:t>
            </w:r>
          </w:p>
        </w:tc>
        <w:tc>
          <w:tcPr>
            <w:tcW w:type="dxa" w:w="2102"/>
          </w:tcPr>
          <w:p>
            <w:r>
              <w:rPr>
                <w:sz w:val="17"/>
                <w:rFonts w:ascii="맑은 고딕" w:hAnsi="맑은 고딕" w:eastAsia="맑은 고딕" w:cs="맑은 고딕"/>
              </w:rPr>
              <w:t>0.414</w:t>
            </w:r>
          </w:p>
        </w:tc>
        <w:tc>
          <w:tcPr>
            <w:tcW w:type="dxa" w:w="2102"/>
          </w:tcPr>
          <w:p>
            <w:r>
              <w:rPr>
                <w:sz w:val="17"/>
                <w:rFonts w:ascii="맑은 고딕" w:hAnsi="맑은 고딕" w:eastAsia="맑은 고딕" w:cs="맑은 고딕"/>
              </w:rPr>
              <w:t>53.419</w:t>
            </w:r>
          </w:p>
        </w:tc>
      </w:tr>
      <w:tr>
        <w:tc>
          <w:tcPr>
            <w:tcW w:type="dxa" w:w="2102"/>
          </w:tcPr>
          <w:p>
            <w:r>
              <w:rPr>
                <w:sz w:val="17"/>
                <w:rFonts w:ascii="맑은 고딕" w:hAnsi="맑은 고딕" w:eastAsia="맑은 고딕" w:cs="맑은 고딕"/>
              </w:rPr>
              <w:t>0~250m</w:t>
            </w:r>
          </w:p>
        </w:tc>
        <w:tc>
          <w:tcPr>
            <w:tcW w:type="dxa" w:w="2102"/>
          </w:tcPr>
          <w:p>
            <w:r>
              <w:rPr>
                <w:sz w:val="17"/>
                <w:rFonts w:ascii="맑은 고딕" w:hAnsi="맑은 고딕" w:eastAsia="맑은 고딕" w:cs="맑은 고딕"/>
              </w:rPr>
              <w:t>66</w:t>
            </w:r>
          </w:p>
        </w:tc>
        <w:tc>
          <w:tcPr>
            <w:tcW w:type="dxa" w:w="2102"/>
          </w:tcPr>
          <w:p>
            <w:r>
              <w:rPr>
                <w:sz w:val="17"/>
                <w:rFonts w:ascii="맑은 고딕" w:hAnsi="맑은 고딕" w:eastAsia="맑은 고딕" w:cs="맑은 고딕"/>
              </w:rPr>
              <w:t>0.430</w:t>
            </w:r>
          </w:p>
        </w:tc>
        <w:tc>
          <w:tcPr>
            <w:tcW w:type="dxa" w:w="2102"/>
          </w:tcPr>
          <w:p>
            <w:r>
              <w:rPr>
                <w:sz w:val="17"/>
                <w:rFonts w:ascii="맑은 고딕" w:hAnsi="맑은 고딕" w:eastAsia="맑은 고딕" w:cs="맑은 고딕"/>
              </w:rPr>
              <w:t>0.227</w:t>
            </w:r>
          </w:p>
        </w:tc>
        <w:tc>
          <w:tcPr>
            <w:tcW w:type="dxa" w:w="2102"/>
          </w:tcPr>
          <w:p>
            <w:r>
              <w:rPr>
                <w:sz w:val="17"/>
                <w:rFonts w:ascii="맑은 고딕" w:hAnsi="맑은 고딕" w:eastAsia="맑은 고딕" w:cs="맑은 고딕"/>
              </w:rPr>
              <w:t>19.212</w:t>
            </w:r>
          </w:p>
        </w:tc>
      </w:tr>
      <w:tr>
        <w:tc>
          <w:tcPr>
            <w:tcW w:type="dxa" w:w="2102"/>
          </w:tcPr>
          <w:p>
            <w:r>
              <w:rPr>
                <w:sz w:val="17"/>
                <w:rFonts w:ascii="맑은 고딕" w:hAnsi="맑은 고딕" w:eastAsia="맑은 고딕" w:cs="맑은 고딕"/>
              </w:rPr>
              <w:t>250~500m</w:t>
            </w:r>
          </w:p>
        </w:tc>
        <w:tc>
          <w:tcPr>
            <w:tcW w:type="dxa" w:w="2102"/>
          </w:tcPr>
          <w:p>
            <w:r>
              <w:rPr>
                <w:sz w:val="17"/>
                <w:rFonts w:ascii="맑은 고딕" w:hAnsi="맑은 고딕" w:eastAsia="맑은 고딕" w:cs="맑은 고딕"/>
              </w:rPr>
              <w:t>370</w:t>
            </w:r>
          </w:p>
        </w:tc>
        <w:tc>
          <w:tcPr>
            <w:tcW w:type="dxa" w:w="2102"/>
          </w:tcPr>
          <w:p>
            <w:r>
              <w:rPr>
                <w:sz w:val="17"/>
                <w:rFonts w:ascii="맑은 고딕" w:hAnsi="맑은 고딕" w:eastAsia="맑은 고딕" w:cs="맑은 고딕"/>
              </w:rPr>
              <w:t>0.475</w:t>
            </w:r>
          </w:p>
        </w:tc>
        <w:tc>
          <w:tcPr>
            <w:tcW w:type="dxa" w:w="2102"/>
          </w:tcPr>
          <w:p>
            <w:r>
              <w:rPr>
                <w:sz w:val="17"/>
                <w:rFonts w:ascii="맑은 고딕" w:hAnsi="맑은 고딕" w:eastAsia="맑은 고딕" w:cs="맑은 고딕"/>
              </w:rPr>
              <w:t>0.273</w:t>
            </w:r>
          </w:p>
        </w:tc>
        <w:tc>
          <w:tcPr>
            <w:tcW w:type="dxa" w:w="2102"/>
          </w:tcPr>
          <w:p>
            <w:r>
              <w:rPr>
                <w:sz w:val="17"/>
                <w:rFonts w:ascii="맑은 고딕" w:hAnsi="맑은 고딕" w:eastAsia="맑은 고딕" w:cs="맑은 고딕"/>
              </w:rPr>
              <w:t>21.095</w:t>
            </w:r>
          </w:p>
        </w:tc>
      </w:tr>
      <w:tr>
        <w:tc>
          <w:tcPr>
            <w:tcW w:type="dxa" w:w="2102"/>
          </w:tcPr>
          <w:p>
            <w:r>
              <w:rPr>
                <w:sz w:val="17"/>
                <w:rFonts w:ascii="맑은 고딕" w:hAnsi="맑은 고딕" w:eastAsia="맑은 고딕" w:cs="맑은 고딕"/>
              </w:rPr>
              <w:t>500m~1km</w:t>
            </w:r>
          </w:p>
        </w:tc>
        <w:tc>
          <w:tcPr>
            <w:tcW w:type="dxa" w:w="2102"/>
          </w:tcPr>
          <w:p>
            <w:r>
              <w:rPr>
                <w:sz w:val="17"/>
                <w:rFonts w:ascii="맑은 고딕" w:hAnsi="맑은 고딕" w:eastAsia="맑은 고딕" w:cs="맑은 고딕"/>
              </w:rPr>
              <w:t>519</w:t>
            </w:r>
          </w:p>
        </w:tc>
        <w:tc>
          <w:tcPr>
            <w:tcW w:type="dxa" w:w="2102"/>
          </w:tcPr>
          <w:p>
            <w:r>
              <w:rPr>
                <w:sz w:val="17"/>
                <w:rFonts w:ascii="맑은 고딕" w:hAnsi="맑은 고딕" w:eastAsia="맑은 고딕" w:cs="맑은 고딕"/>
              </w:rPr>
              <w:t>0.468</w:t>
            </w:r>
          </w:p>
        </w:tc>
        <w:tc>
          <w:tcPr>
            <w:tcW w:type="dxa" w:w="2102"/>
          </w:tcPr>
          <w:p>
            <w:r>
              <w:rPr>
                <w:sz w:val="17"/>
                <w:rFonts w:ascii="맑은 고딕" w:hAnsi="맑은 고딕" w:eastAsia="맑은 고딕" w:cs="맑은 고딕"/>
              </w:rPr>
              <w:t>0.295</w:t>
            </w:r>
          </w:p>
        </w:tc>
        <w:tc>
          <w:tcPr>
            <w:tcW w:type="dxa" w:w="2102"/>
          </w:tcPr>
          <w:p>
            <w:r>
              <w:rPr>
                <w:sz w:val="17"/>
                <w:rFonts w:ascii="맑은 고딕" w:hAnsi="맑은 고딕" w:eastAsia="맑은 고딕" w:cs="맑은 고딕"/>
              </w:rPr>
              <w:t>21.383</w:t>
            </w:r>
          </w:p>
        </w:tc>
      </w:tr>
      <w:tr>
        <w:tc>
          <w:tcPr>
            <w:tcW w:type="dxa" w:w="2102"/>
          </w:tcPr>
          <w:p>
            <w:r>
              <w:rPr>
                <w:sz w:val="17"/>
                <w:rFonts w:ascii="맑은 고딕" w:hAnsi="맑은 고딕" w:eastAsia="맑은 고딕" w:cs="맑은 고딕"/>
              </w:rPr>
              <w:t>1km 초과</w:t>
            </w:r>
          </w:p>
        </w:tc>
        <w:tc>
          <w:tcPr>
            <w:tcW w:type="dxa" w:w="2102"/>
          </w:tcPr>
          <w:p>
            <w:r>
              <w:rPr>
                <w:sz w:val="17"/>
                <w:rFonts w:ascii="맑은 고딕" w:hAnsi="맑은 고딕" w:eastAsia="맑은 고딕" w:cs="맑은 고딕"/>
              </w:rPr>
              <w:t>211</w:t>
            </w:r>
          </w:p>
        </w:tc>
        <w:tc>
          <w:tcPr>
            <w:tcW w:type="dxa" w:w="2102"/>
          </w:tcPr>
          <w:p>
            <w:r>
              <w:rPr>
                <w:sz w:val="17"/>
                <w:rFonts w:ascii="맑은 고딕" w:hAnsi="맑은 고딕" w:eastAsia="맑은 고딕" w:cs="맑은 고딕"/>
              </w:rPr>
              <w:t>0.434</w:t>
            </w:r>
          </w:p>
        </w:tc>
        <w:tc>
          <w:tcPr>
            <w:tcW w:type="dxa" w:w="2102"/>
          </w:tcPr>
          <w:p>
            <w:r>
              <w:rPr>
                <w:sz w:val="17"/>
                <w:rFonts w:ascii="맑은 고딕" w:hAnsi="맑은 고딕" w:eastAsia="맑은 고딕" w:cs="맑은 고딕"/>
              </w:rPr>
              <w:t>0.294</w:t>
            </w:r>
          </w:p>
        </w:tc>
        <w:tc>
          <w:tcPr>
            <w:tcW w:type="dxa" w:w="2102"/>
          </w:tcPr>
          <w:p>
            <w:r>
              <w:rPr>
                <w:sz w:val="17"/>
                <w:rFonts w:ascii="맑은 고딕" w:hAnsi="맑은 고딕" w:eastAsia="맑은 고딕" w:cs="맑은 고딕"/>
              </w:rPr>
              <w:t>18.569</w:t>
            </w:r>
          </w:p>
        </w:tc>
      </w:tr>
    </w:tbl>
    <w:p>
      <w:r>
        <w:rPr>
          <w:b w:val="0"/>
          <w:i/>
          <w:sz w:val="18"/>
          <w:rFonts w:ascii="맑은 고딕" w:hAnsi="맑은 고딕" w:eastAsia="맑은 고딕" w:cs="맑은 고딕"/>
        </w:rPr>
        <w:t>표 37</w:t>
      </w:r>
    </w:p>
    <w:p>
      <w:r>
        <w:rPr>
          <w:b w:val="0"/>
          <w:i w:val="0"/>
          <w:sz w:val="19"/>
          <w:rFonts w:ascii="맑은 고딕" w:hAnsi="맑은 고딕" w:eastAsia="맑은 고딕" w:cs="맑은 고딕"/>
        </w:rPr>
        <w:t>읽는 법 — 역거리 구간별 평균 위험과 평균 점포임. 첫 줄(역세권 상권)만 점포 수가 두 배 이상 큼.</w:t>
      </w:r>
    </w:p>
    <w:p>
      <w:pPr>
        <w:jc w:val="center"/>
      </w:pPr>
      <w:r>
        <w:drawing>
          <wp:inline xmlns:a="http://schemas.openxmlformats.org/drawingml/2006/main" xmlns:pic="http://schemas.openxmlformats.org/drawingml/2006/picture">
            <wp:extent cx="6035040" cy="2743200"/>
            <wp:docPr id="9" name="Picture 9"/>
            <wp:cNvGraphicFramePr>
              <a:graphicFrameLocks noChangeAspect="1"/>
            </wp:cNvGraphicFramePr>
            <a:graphic>
              <a:graphicData uri="http://schemas.openxmlformats.org/drawingml/2006/picture">
                <pic:pic>
                  <pic:nvPicPr>
                    <pic:cNvPr id="0" name="g9.png"/>
                    <pic:cNvPicPr/>
                  </pic:nvPicPr>
                  <pic:blipFill>
                    <a:blip r:embed="rId17"/>
                    <a:stretch>
                      <a:fillRect/>
                    </a:stretch>
                  </pic:blipFill>
                  <pic:spPr>
                    <a:xfrm>
                      <a:off x="0" y="0"/>
                      <a:ext cx="6035040" cy="2743200"/>
                    </a:xfrm>
                    <a:prstGeom prst="rect"/>
                  </pic:spPr>
                </pic:pic>
              </a:graphicData>
            </a:graphic>
          </wp:inline>
        </w:drawing>
      </w:r>
    </w:p>
    <w:p>
      <w:pPr>
        <w:jc w:val="center"/>
      </w:pPr>
      <w:r>
        <w:rPr>
          <w:b w:val="0"/>
          <w:i/>
          <w:sz w:val="18"/>
          <w:rFonts w:ascii="맑은 고딕" w:hAnsi="맑은 고딕" w:eastAsia="맑은 고딕" w:cs="맑은 고딕"/>
        </w:rPr>
        <w:t>그림 9</w:t>
      </w:r>
    </w:p>
    <w:p>
      <w:r>
        <w:rPr>
          <w:b w:val="0"/>
          <w:i w:val="0"/>
          <w:sz w:val="19"/>
          <w:rFonts w:ascii="맑은 고딕" w:hAnsi="맑은 고딕" w:eastAsia="맑은 고딕" w:cs="맑은 고딕"/>
        </w:rPr>
        <w:t>읽는 법 — 회색 막대가 실제 순감소율, 주황 선이 평균 점포 수임. 두 줄이 같이 움직이면 거리 효과가 아니라 규모 효과라는 뜻임.</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지도는 “어느 상권을 먼저 볼 것인가”를 보여 주는 도구로는 유용하지만, 자치구 전체가 위험하다고 해석하거나 정확한 면적 효과를 계산하는 데는 현재 자료가 부족하다.</w:t>
      </w:r>
    </w:p>
    <w:p>
      <w:r>
        <w:br w:type="page"/>
      </w:r>
    </w:p>
    <w:p>
      <w:pPr>
        <w:pStyle w:val="Heading1"/>
      </w:pPr>
      <w:r>
        <w:rPr>
          <w:rFonts w:ascii="맑은 고딕" w:hAnsi="맑은 고딕" w:eastAsia="맑은 고딕" w:cs="맑은 고딕"/>
        </w:rPr>
        <w:t>18  종합 결론</w:t>
      </w:r>
    </w:p>
    <w:p>
      <w:r>
        <w:rPr>
          <w:b/>
          <w:i w:val="0"/>
          <w:sz w:val="22"/>
          <w:rFonts w:ascii="맑은 고딕" w:hAnsi="맑은 고딕" w:eastAsia="맑은 고딕" w:cs="맑은 고딕"/>
        </w:rPr>
        <w:t>핵심 한 줄 — 다음 분기 순감소를 완벽하게 예측한 것은 아니지만, 상위 소수 고위험 상권을 한 분기 먼저 선별하고 규모에 가려진 위험 구조를 분리해 설명할 수 있었다.</w:t>
      </w:r>
    </w:p>
    <w:p>
      <w:r>
        <w:rPr>
          <w:b/>
          <w:i w:val="0"/>
          <w:sz w:val="20"/>
          <w:rFonts w:ascii="맑은 고딕" w:hAnsi="맑은 고딕" w:eastAsia="맑은 고딕" w:cs="맑은 고딕"/>
        </w:rPr>
        <w:t>왜 이 분석을 했나</w:t>
      </w:r>
    </w:p>
    <w:p>
      <w:r>
        <w:rPr>
          <w:b w:val="0"/>
          <w:i w:val="0"/>
          <w:sz w:val="21"/>
          <w:rFonts w:ascii="맑은 고딕" w:hAnsi="맑은 고딕" w:eastAsia="맑은 고딕" w:cs="맑은 고딕"/>
        </w:rPr>
        <w:t>이 연구의 결론은 “모델이 좋다/나쁘다” 한 줄이 아니라, 어디까지 예측할 수 있고 무엇을 통제해야 하며 실제 운영에서 어떻게 써야 하는지를 함께 제시하는 것이다.</w:t>
      </w:r>
    </w:p>
    <w:p>
      <w:r>
        <w:rPr>
          <w:b/>
          <w:i w:val="0"/>
          <w:sz w:val="20"/>
          <w:rFonts w:ascii="맑은 고딕" w:hAnsi="맑은 고딕" w:eastAsia="맑은 고딕" w:cs="맑은 고딕"/>
        </w:rPr>
        <w:t>핵심 결과</w:t>
      </w:r>
    </w:p>
    <w:p>
      <w:pPr>
        <w:ind w:left="173"/>
      </w:pPr>
      <w:r>
        <w:rPr>
          <w:b w:val="0"/>
          <w:i w:val="0"/>
          <w:sz w:val="21"/>
          <w:rFonts w:ascii="맑은 고딕" w:hAnsi="맑은 고딕" w:eastAsia="맑은 고딕" w:cs="맑은 고딕"/>
        </w:rPr>
        <w:t>• Q1 예측 가능성: 상위 100개 정밀도 60.0%로 전체 평균 26.0%의 2.31배였다. 다만 넓게 선정하면 점포 수 기준과 차이가 줄어든다.</w:t>
      </w:r>
    </w:p>
    <w:p>
      <w:pPr>
        <w:ind w:left="173"/>
      </w:pPr>
      <w:r>
        <w:rPr>
          <w:b w:val="0"/>
          <w:i w:val="0"/>
          <w:sz w:val="21"/>
          <w:rFonts w:ascii="맑은 고딕" w:hAnsi="맑은 고딕" w:eastAsia="맑은 고딕" w:cs="맑은 고딕"/>
        </w:rPr>
        <w:t>• Q2 상권유형: 규모를 통제하기 전과 후의 결론이 달라졌다. 골목상권은 단순 비교 OR 0.813이었지만 규모 통제 후 공통 OR 1.061이었고, 규모별 효과도 서로 달랐다.</w:t>
      </w:r>
    </w:p>
    <w:p>
      <w:pPr>
        <w:ind w:left="173"/>
      </w:pPr>
      <w:r>
        <w:rPr>
          <w:b w:val="0"/>
          <w:i w:val="0"/>
          <w:sz w:val="21"/>
          <w:rFonts w:ascii="맑은 고딕" w:hAnsi="맑은 고딕" w:eastAsia="맑은 고딕" w:cs="맑은 고딕"/>
        </w:rPr>
        <w:t>• 업종 효과: 한식음식점은 단순 비교 +2.38%p에서 PSM 후 ATT −5.46%p로 바뀌었다. “업종 자체의 위험”처럼 보였던 상당 부분이 규모·입지 차이였다.</w:t>
      </w:r>
    </w:p>
    <w:p>
      <w:pPr>
        <w:ind w:left="173"/>
      </w:pPr>
      <w:r>
        <w:rPr>
          <w:b w:val="0"/>
          <w:i w:val="0"/>
          <w:sz w:val="21"/>
          <w:rFonts w:ascii="맑은 고딕" w:hAnsi="맑은 고딕" w:eastAsia="맑은 고딕" w:cs="맑은 고딕"/>
        </w:rPr>
        <w:t>• Q3 동일 업종의 입지 효과: 10개 중 8개 업종에서 상권유형 차이가 있었지만, 호프·간이주점처럼 큰 업종과 치킨전문점처럼 거의 없는 업종이 함께 존재했다.</w:t>
      </w:r>
    </w:p>
    <w:p>
      <w:pPr>
        <w:ind w:left="173"/>
      </w:pPr>
      <w:r>
        <w:rPr>
          <w:b w:val="0"/>
          <w:i w:val="0"/>
          <w:sz w:val="21"/>
          <w:rFonts w:ascii="맑은 고딕" w:hAnsi="맑은 고딕" w:eastAsia="맑은 고딕" w:cs="맑은 고딕"/>
        </w:rPr>
        <w:t>• 2단계 모형: 규모 효과는 주로 “사건이 생기는가”에 몰려 있었고, “사건이 생긴 뒤 감소하는가”에서는 크게 줄었다.</w:t>
      </w:r>
    </w:p>
    <w:p>
      <w:pPr>
        <w:ind w:left="173"/>
      </w:pPr>
      <w:r>
        <w:rPr>
          <w:b w:val="0"/>
          <w:i w:val="0"/>
          <w:sz w:val="21"/>
          <w:rFonts w:ascii="맑은 고딕" w:hAnsi="맑은 고딕" w:eastAsia="맑은 고딕" w:cs="맑은 고딕"/>
        </w:rPr>
        <w:t>• 정책 단위: 자치구보다 개별 상권이 적절하며, 상위 100~300개를 우선 점검 목록으로 사용하고 네 가지 상권 유형에 따라 관리 강도를 달리하는 방식이 타당하다.</w:t>
      </w:r>
    </w:p>
    <w:tbl>
      <w:tblPr>
        <w:tblStyle w:val="LightGrid-Accent1"/>
        <w:tblW w:type="auto" w:w="0"/>
        <w:tblLook w:firstColumn="1" w:firstRow="1" w:lastColumn="0" w:lastRow="0" w:noHBand="0" w:noVBand="1" w:val="04A0"/>
      </w:tblPr>
      <w:tblGrid>
        <w:gridCol w:w="5256"/>
        <w:gridCol w:w="5256"/>
      </w:tblGrid>
      <w:tr>
        <w:tc>
          <w:tcPr>
            <w:tcW w:type="dxa" w:w="5256"/>
          </w:tcPr>
          <w:p>
            <w:r>
              <w:rPr>
                <w:b/>
                <w:sz w:val="17"/>
                <w:rFonts w:ascii="맑은 고딕" w:hAnsi="맑은 고딕" w:eastAsia="맑은 고딕" w:cs="맑은 고딕"/>
              </w:rPr>
              <w:t>항목</w:t>
            </w:r>
          </w:p>
        </w:tc>
        <w:tc>
          <w:tcPr>
            <w:tcW w:type="dxa" w:w="5256"/>
          </w:tcPr>
          <w:p>
            <w:r>
              <w:rPr>
                <w:b/>
                <w:sz w:val="17"/>
                <w:rFonts w:ascii="맑은 고딕" w:hAnsi="맑은 고딕" w:eastAsia="맑은 고딕" w:cs="맑은 고딕"/>
              </w:rPr>
              <w:t>핵심 수치 / 의미</w:t>
            </w:r>
          </w:p>
        </w:tc>
      </w:tr>
      <w:tr>
        <w:tc>
          <w:tcPr>
            <w:tcW w:type="dxa" w:w="5256"/>
          </w:tcPr>
          <w:p>
            <w:r>
              <w:rPr>
                <w:sz w:val="17"/>
                <w:rFonts w:ascii="맑은 고딕" w:hAnsi="맑은 고딕" w:eastAsia="맑은 고딕" w:cs="맑은 고딕"/>
              </w:rPr>
              <w:t>가장 실용적인 사용법</w:t>
            </w:r>
          </w:p>
        </w:tc>
        <w:tc>
          <w:tcPr>
            <w:tcW w:type="dxa" w:w="5256"/>
          </w:tcPr>
          <w:p>
            <w:r>
              <w:rPr>
                <w:sz w:val="17"/>
                <w:rFonts w:ascii="맑은 고딕" w:hAnsi="맑은 고딕" w:eastAsia="맑은 고딕" w:cs="맑은 고딕"/>
              </w:rPr>
              <w:t>상위 100~300개 우선 점검 + 4유형 별도 관리</w:t>
            </w:r>
          </w:p>
        </w:tc>
      </w:tr>
      <w:tr>
        <w:tc>
          <w:tcPr>
            <w:tcW w:type="dxa" w:w="5256"/>
          </w:tcPr>
          <w:p>
            <w:r>
              <w:rPr>
                <w:sz w:val="17"/>
                <w:rFonts w:ascii="맑은 고딕" w:hAnsi="맑은 고딕" w:eastAsia="맑은 고딕" w:cs="맑은 고딕"/>
              </w:rPr>
              <w:t>가장 중요한 통계 교훈</w:t>
            </w:r>
          </w:p>
        </w:tc>
        <w:tc>
          <w:tcPr>
            <w:tcW w:type="dxa" w:w="5256"/>
          </w:tcPr>
          <w:p>
            <w:r>
              <w:rPr>
                <w:sz w:val="17"/>
                <w:rFonts w:ascii="맑은 고딕" w:hAnsi="맑은 고딕" w:eastAsia="맑은 고딕" w:cs="맑은 고딕"/>
              </w:rPr>
              <w:t>규모를 통제하지 않으면 상권유형·업종의 결론 방향이 반대로 나올 수 있음</w:t>
            </w:r>
          </w:p>
        </w:tc>
      </w:tr>
      <w:tr>
        <w:tc>
          <w:tcPr>
            <w:tcW w:type="dxa" w:w="5256"/>
          </w:tcPr>
          <w:p>
            <w:r>
              <w:rPr>
                <w:sz w:val="17"/>
                <w:rFonts w:ascii="맑은 고딕" w:hAnsi="맑은 고딕" w:eastAsia="맑은 고딕" w:cs="맑은 고딕"/>
              </w:rPr>
              <w:t>기존 지표와 차이</w:t>
            </w:r>
          </w:p>
        </w:tc>
        <w:tc>
          <w:tcPr>
            <w:tcW w:type="dxa" w:w="5256"/>
          </w:tcPr>
          <w:p>
            <w:r>
              <w:rPr>
                <w:sz w:val="17"/>
                <w:rFonts w:ascii="맑은 고딕" w:hAnsi="맑은 고딕" w:eastAsia="맑은 고딕" w:cs="맑은 고딕"/>
              </w:rPr>
              <w:t>서울시 HL 지표는 다음 분기 선별 Lift 0.937로 낮아 목적이 다름</w:t>
            </w:r>
          </w:p>
        </w:tc>
      </w:tr>
      <w:tr>
        <w:tc>
          <w:tcPr>
            <w:tcW w:type="dxa" w:w="5256"/>
          </w:tcPr>
          <w:p>
            <w:r>
              <w:rPr>
                <w:sz w:val="17"/>
                <w:rFonts w:ascii="맑은 고딕" w:hAnsi="맑은 고딕" w:eastAsia="맑은 고딕" w:cs="맑은 고딕"/>
              </w:rPr>
              <w:t>핵심 한계</w:t>
            </w:r>
          </w:p>
        </w:tc>
        <w:tc>
          <w:tcPr>
            <w:tcW w:type="dxa" w:w="5256"/>
          </w:tcPr>
          <w:p>
            <w:r>
              <w:rPr>
                <w:sz w:val="17"/>
                <w:rFonts w:ascii="맑은 고딕" w:hAnsi="맑은 고딕" w:eastAsia="맑은 고딕" w:cs="맑은 고딕"/>
              </w:rPr>
              <w:t>테스트 1개 분기 · 사업자등록 말소 시차 · 카드매출 추정 · 상권 폴리곤 부재</w:t>
            </w:r>
          </w:p>
        </w:tc>
      </w:tr>
    </w:tbl>
    <w:p>
      <w:r>
        <w:rPr>
          <w:b w:val="0"/>
          <w:i/>
          <w:sz w:val="18"/>
          <w:rFonts w:ascii="맑은 고딕" w:hAnsi="맑은 고딕" w:eastAsia="맑은 고딕" w:cs="맑은 고딕"/>
        </w:rPr>
        <w:t>표 38</w:t>
      </w:r>
    </w:p>
    <w:p>
      <w:r>
        <w:rPr>
          <w:b/>
          <w:i w:val="0"/>
          <w:sz w:val="20"/>
          <w:rFonts w:ascii="맑은 고딕" w:hAnsi="맑은 고딕" w:eastAsia="맑은 고딕" w:cs="맑은 고딕"/>
        </w:rPr>
        <w:t>해석</w:t>
      </w:r>
    </w:p>
    <w:p>
      <w:r>
        <w:rPr>
          <w:b w:val="0"/>
          <w:i w:val="0"/>
          <w:sz w:val="21"/>
          <w:rFonts w:ascii="맑은 고딕" w:hAnsi="맑은 고딕" w:eastAsia="맑은 고딕" w:cs="맑은 고딕"/>
        </w:rPr>
        <w:t>최종적으로 이 모델은 “전수 판정기”보다 “다음 분기에 먼저 확인할 상권을 좁혀 주는 조기경보 도구”로 보는 것이 맞다. 다음 단계는 새로운 분기가 들어올 때마다 성능을 재검증하고, 상권별 임대료·온라인 관심도처럼 같은 분기 안에서도 지역별로 달라지는 변수를 추가하는 것이다.</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Fonts w:ascii="맑은 고딕" w:hAnsi="맑은 고딕" w:eastAsia="맑은 고딕" w:cs="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cs="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cs="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s="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