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ns1="http://schemas.openxmlformats.org/markup-compatibility/2006" xmlns:ns2="http://schemas.openxmlformats.org/officeDocument/2006/relationships" xmlns:w="http://schemas.openxmlformats.org/wordprocessingml/2006/main" ns1:Ignorable="w14 wp14">
  <w:body>
    <w:p>
      <w:pPr>
        <w:pStyle w:val="Heading1"/>
        <w:spacing w:line="360" w:lineRule="auto" w:before="240" w:after="240"/>
        <w:ind w:firstLine="0"/>
        <w:jc w:val="center"/>
      </w:pPr>
      <w:r>
        <w:rPr>
          <w:rFonts w:ascii="Times New Roman" w:hAnsi="Times New Roman"/>
          <w:i w:val="0"/>
          <w:color w:val="000000"/>
          <w:sz w:val="28"/>
        </w:rPr>
        <w:t>СОДЕРЖАНИЕ</w:t>
      </w: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/>
          <w:i w:val="0"/>
          <w:color w:val="000000"/>
          <w:sz w:val="28"/>
        </w:rPr>
        <w:t>ВВЕДЕНИЕ .................................................................... 2</w:t>
      </w: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/>
          <w:i w:val="0"/>
          <w:color w:val="000000"/>
          <w:sz w:val="28"/>
        </w:rPr>
        <w:t>1. ТЕХНИКА БЕЗОПАСНОСТИ И ОЗНАКОМЛЕНИЕ С РАБОЧИМ МЕСТОМ (08.10.2026) ........ 3</w:t>
      </w: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/>
          <w:i w:val="0"/>
          <w:color w:val="000000"/>
          <w:sz w:val="28"/>
        </w:rPr>
        <w:t>2. ПР №1. ПОДБОР КОНФИГУРАЦИИ ПК ПОД СУБД И ИС (09.10.2026) ................. 5</w:t>
      </w: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/>
          <w:i w:val="0"/>
          <w:color w:val="000000"/>
          <w:sz w:val="28"/>
        </w:rPr>
        <w:t>3. ПР №2. УСТАНОВКА ПО: SQLEXPRESS И СХЕМА 6 ТАБЛИЦ БД (10.10.2026) ......... 7</w:t>
      </w: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/>
          <w:i w:val="0"/>
          <w:color w:val="000000"/>
          <w:sz w:val="28"/>
        </w:rPr>
        <w:t>4. ПР №3. РАБОТА С ЖЕСТКИМИ ДИСКАМИ И ВОССТАНОВЛЕНИЕ (12.10.2026) ........... 9</w:t>
      </w: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/>
          <w:i w:val="0"/>
          <w:color w:val="000000"/>
          <w:sz w:val="28"/>
        </w:rPr>
        <w:t>5. ПР №4. РАБОТА С АНТИВИРУСАМИ И ЖЕСТКИМ ДИСКОМ (14.10.2026) ............... 11</w:t>
      </w: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/>
          <w:i w:val="0"/>
          <w:color w:val="000000"/>
          <w:sz w:val="28"/>
        </w:rPr>
        <w:t>6. ПР №5. ТЕСТИРОВАНИЕ СИСТЕМ (15.10.2026) .................................. 13</w:t>
      </w: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/>
          <w:i w:val="0"/>
          <w:color w:val="000000"/>
          <w:sz w:val="28"/>
        </w:rPr>
        <w:t>7. ПР №6. АУДИТ РЕСУРСОВ И СОБЫТИЙ. ЧАСТЬ 1: АУДИТ БД (16.10.2026) .......... 15</w:t>
      </w: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/>
          <w:i w:val="0"/>
          <w:color w:val="000000"/>
          <w:sz w:val="28"/>
        </w:rPr>
        <w:t>8. ПР №6. АУДИТ РЕСУРСОВ И СОБЫТИЙ. ЧАСТЬ 2: ЛОГИРОВАНИЕ И КВОТЫ (17.10.2026) .... 17</w:t>
      </w: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/>
          <w:i w:val="0"/>
          <w:color w:val="000000"/>
          <w:sz w:val="28"/>
        </w:rPr>
        <w:t>9. ПР №7. ТЕСТИРОВАНИЕ СКОРОСТИ РАБОТЫ РАЗРАБОТАННОГО ПРИЛОЖЕНИЯ (19.10.2026) .... 19</w:t>
      </w: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/>
          <w:i w:val="0"/>
          <w:color w:val="000000"/>
          <w:sz w:val="28"/>
        </w:rPr>
        <w:t>10. ПР №8. ШИФРОВАНИЕ И ДЕШИФРОВАНИЕ ФАЙЛОВ. ЧАСТЬ 1: AES-256 (20.10.2026) .... 21</w:t>
      </w: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/>
          <w:i w:val="0"/>
          <w:color w:val="000000"/>
          <w:sz w:val="28"/>
        </w:rPr>
        <w:t>11. ПР №8. ШИФРОВАНИЕ И ДЕШИФРОВАНИЕ ФАЙЛОВ. ЧАСТЬ 2: SHA-256 (21.10.2026) .... 23</w:t>
      </w: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/>
          <w:i w:val="0"/>
          <w:color w:val="000000"/>
          <w:sz w:val="28"/>
        </w:rPr>
        <w:t>12. ПР №9. ЛОКАЛЬНЫЙ GIT. ИНИЦИАЛИЗАЦИЯ И РЕПОЗИТОРИЙ (22.10.2026) .......... 25</w:t>
      </w: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/>
          <w:i w:val="0"/>
          <w:color w:val="000000"/>
          <w:sz w:val="28"/>
        </w:rPr>
        <w:t>13. ПР №9. ЛОКАЛЬНЫЙ GIT. ВЕТВЛЕНИЕ И СЛИЯНИЕ (23.10.2026) .................. 27</w:t>
      </w: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/>
          <w:i w:val="0"/>
          <w:color w:val="000000"/>
          <w:sz w:val="28"/>
        </w:rPr>
        <w:t>14. ПР №10. РАЗРАБОТКА GUI. ФОРМА АВТОРИЗАЦИИ MATERIAL3 (26.10.2026) ........ 29</w:t>
      </w: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/>
          <w:i w:val="0"/>
          <w:color w:val="000000"/>
          <w:sz w:val="28"/>
        </w:rPr>
        <w:t>15. ПР №10. РАЗРАБОТКА GUI. ДИЗАЙНЕР .XSD И MASTER-DETAIL (27.10.2026) ...... 31</w:t>
      </w: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/>
          <w:i w:val="0"/>
          <w:color w:val="000000"/>
          <w:sz w:val="28"/>
        </w:rPr>
        <w:t>16. ПР №10. РАЗРАБОТКА GUI. CRUD, ВАЛИДАЦИЯ И ФИЛЬТРАЦИЯ (28.10.2026) ....... 33</w:t>
      </w: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/>
          <w:i w:val="0"/>
          <w:color w:val="000000"/>
          <w:sz w:val="28"/>
        </w:rPr>
        <w:t>17. ПР №11. ВОССТАНОВЛЕНИЕ РАБОТОСПОСОБНОСТИ ПО (29.10.2026) ................ 35</w:t>
      </w: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/>
          <w:i w:val="0"/>
          <w:color w:val="000000"/>
          <w:sz w:val="28"/>
        </w:rPr>
        <w:t>18. ОФОРМЛЕНИЕ ОТЧЕТА И ДИФФЕРЕНЦИРОВАННЫЙ ЗАЧЕТ (30.10.2026) ............... 37</w:t>
      </w: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/>
          <w:i w:val="0"/>
          <w:color w:val="000000"/>
          <w:sz w:val="28"/>
        </w:rPr>
        <w:t>ЗАКЛЮЧЕНИЕ .................................................................. 39</w:t>
      </w:r>
    </w:p>
    <w:p>
      <w:pPr>
        <w:pStyle w:val="Heading1"/>
        <w:pageBreakBefore/>
        <w:spacing w:line="360" w:lineRule="auto" w:before="240" w:after="240"/>
        <w:ind w:firstLine="0"/>
        <w:jc w:val="center"/>
      </w:pPr>
      <w:r>
        <w:rPr>
          <w:rFonts w:ascii="Times New Roman" w:hAnsi="Times New Roman"/>
          <w:i w:val="0"/>
          <w:color w:val="000000"/>
          <w:sz w:val="28"/>
        </w:rPr>
        <w:t>ВВЕДЕНИЕ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Учебная практика УП.04.01 «Внедрение и поддержка компьютерных систем» (МДК 04.01) входит в состав профессионального цикла подготовки специалистов среднего звена по специальности 09.02.07 «Информационные системы и программирование».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Основная инженерная цель практики — сквозная разработка, отладка, профилирование, аудит безопасности и сопровождение законченного прикладного программного продукта: настольной информационной системы (ИС) баз данных на базе современного производственного стека технологий:</w:t>
      </w:r>
    </w:p>
    <w:p>
      <w:pPr>
        <w:pStyle w:val="ListParagraph"/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— Язык разработки и платформа: C# (.NET Framework 4.8);</w:t>
      </w:r>
    </w:p>
    <w:p>
      <w:pPr>
        <w:pStyle w:val="ListParagraph"/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— Графический интерфейс пользователя: Windows Forms с интеграцией библиотеки компонентов MaterialSkin.2 (стандарт Material3: MaterialForm, MaterialCard, MaterialTextBox, MaterialButton, MaterialComboBox, MaterialListView);</w:t>
      </w:r>
    </w:p>
    <w:p>
      <w:pPr>
        <w:pStyle w:val="ListParagraph"/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— Реляционная СУБД: Microsoft SQL Server Express (экземпляр SQLEXPRESS) под управлением SQL Server Management Studio (SSMS);</w:t>
      </w:r>
    </w:p>
    <w:p>
      <w:pPr>
        <w:pStyle w:val="ListParagraph"/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— Слой доступа к данным: типизированный DataSet с визуальным дизайнером XML Schema Definition (.xsd) и TableAdapter/TableAdapterManager;</w:t>
      </w:r>
    </w:p>
    <w:p>
      <w:pPr>
        <w:pStyle w:val="ListParagraph"/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— Система контроля версий: распределенная система Git (локальный репозиторий, структурированные коммиты, изолированные функциональные ветки feature-ветвления и слияния);</w:t>
      </w:r>
    </w:p>
    <w:p>
      <w:pPr>
        <w:pStyle w:val="ListParagraph"/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— Подсистемы безопасности и надежности: криптографический модуль симметричного блочного шифрования файлов AES-256, хэширование паролей пользователей SHA-256 с добавлением соли (salt), автоматизированный бэкап и восстановление базы данных (.bak).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В соответствии с индивидуальным вариантом студента предметная область проектируемой информационной системы включает не менее 6 взаимосвязанных таблиц с реализацией связей Primary Key / Foreign Key (1:N и N:M). Все смежные разделы практики (подбор ПК, антивирусы, SMART, стресс-тесты, аудит событий, профилирование скорости, шифрование, версионирование Git, бэкап/restore) выполняются и документируются непосредственно в жизненном цикле создаваемой системы.</w:t>
      </w:r>
    </w:p>
    <w:p>
      <w:pPr>
        <w:spacing w:line="360" w:lineRule="auto" w:before="120" w:after="120"/>
        <w:ind w:firstLine="0"/>
        <w:jc w:val="center"/>
      </w:pPr>
      <w:r>
        <w:rPr>
          <w:rFonts w:ascii="Times New Roman" w:hAnsi="Times New Roman"/>
          <w:i w:val="0"/>
          <w:color w:val="000000"/>
          <w:sz w:val="28"/>
        </w:rPr>
        <w:t>/* [МЕСТО ДЛЯ СКРИНШОТА / ЛИСТИНГА КОДА] */</w:t>
        <w:br/>
        <w:t>// Укажите название вашей индивидуальной темы и перечень 6 обязательных таблиц реляционной БД (например: Products, Categories, Orders, OrderItems, Customers, Employees)</w:t>
      </w:r>
    </w:p>
    <w:p>
      <w:pPr>
        <w:pStyle w:val="Heading1"/>
        <w:pageBreakBefore/>
        <w:spacing w:line="360" w:lineRule="auto" w:before="240" w:after="240"/>
        <w:ind w:firstLine="0"/>
        <w:jc w:val="center"/>
      </w:pPr>
      <w:r>
        <w:rPr>
          <w:rFonts w:ascii="Times New Roman" w:hAnsi="Times New Roman"/>
          <w:i w:val="0"/>
          <w:color w:val="000000"/>
          <w:sz w:val="28"/>
        </w:rPr>
        <w:t>РАЗДЕЛ 1. ТЕХНИКА БЕЗОПАСНОСТИ НА РАБОЧЕМ МЕСТЕ. ОЗНАКОМЛЕНИЕ С РАБОЧИМ МЕСТОМ И ПО (08.10.2026)</w:t>
      </w:r>
    </w:p>
    <w:p>
      <w:pPr>
        <w:pStyle w:val="Heading2"/>
        <w:spacing w:line="360" w:lineRule="auto" w:before="12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Цель работы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Инструктаж по ТБ, эргономика рабочего места разработчика ИС и развертывание технологического стека (Visual Studio 2022, .NET 4.8, SQLEXPRESS, MaterialSkin.2).</w:t>
      </w:r>
    </w:p>
    <w:p>
      <w:pPr>
        <w:pStyle w:val="Heading2"/>
        <w:spacing w:line="360" w:lineRule="auto" w:before="12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Краткий ход выполнения и проектные решения</w:t>
      </w:r>
    </w:p>
    <w:p>
      <w:pPr>
        <w:pStyle w:val="ListParagraph"/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— Изучение требований правил техники безопасности, электробезопасности и санитарных правил (СанПиН 1.2.3685-21) при длительной разработке ПО за компьютером.</w:t>
      </w:r>
    </w:p>
    <w:p>
      <w:pPr>
        <w:pStyle w:val="ListParagraph"/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— Аппаратная спецификация инженерного рабочего места (характеристики монитора, системного блока, накопителей и периферии).</w:t>
      </w:r>
    </w:p>
    <w:p>
      <w:pPr>
        <w:pStyle w:val="ListParagraph"/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— Развертывание и аудит среды: Microsoft Visual Studio 2022, .NET Framework 4.8, подключение NuGet-пакета MaterialSkin.2.</w:t>
      </w:r>
    </w:p>
    <w:p>
      <w:pPr>
        <w:pStyle w:val="ListParagraph"/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— Выбор и фиксация индивидуальной темы ИС из 15 вариантов, составление перечня 6 ключевых сущностей БД.</w:t>
      </w:r>
    </w:p>
    <w:p>
      <w:pPr>
        <w:pStyle w:val="Heading2"/>
        <w:spacing w:line="360" w:lineRule="auto" w:before="12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Иллюстративный материал и результаты тестирования</w:t>
      </w:r>
    </w:p>
    <w:p>
      <w:pPr>
        <w:spacing w:line="360" w:lineRule="auto" w:before="120" w:after="120"/>
        <w:ind w:firstLine="0"/>
        <w:jc w:val="center"/>
      </w:pPr>
      <w:r>
        <w:rPr>
          <w:rFonts w:ascii="Times New Roman" w:hAnsi="Times New Roman"/>
          <w:i w:val="0"/>
          <w:color w:val="000000"/>
          <w:sz w:val="28"/>
        </w:rPr>
        <w:t>/* [МЕСТО ДЛЯ СКРИНШОТА / ЛИСТИНГА КОДА] */</w:t>
        <w:br/>
        <w:t>// Скриншот открытой среды Visual Studio с созданным проектом и подключенным пакетом MaterialSkin.2</w:t>
      </w:r>
    </w:p>
    <w:p>
      <w:pPr>
        <w:pStyle w:val="Heading2"/>
        <w:spacing w:line="360" w:lineRule="auto" w:before="12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Вывод по разделу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В ходе выполнения практического задания 08.10.2026 задачи раздела были успешно решены в полном объеме, проектные решения интегрированы в общий программный комплекс разрабатываемой информационной системы.</w:t>
      </w:r>
    </w:p>
    <w:p>
      <w:pPr>
        <w:pStyle w:val="Heading1"/>
        <w:pageBreakBefore/>
        <w:spacing w:line="360" w:lineRule="auto" w:before="240" w:after="240"/>
        <w:ind w:firstLine="0"/>
        <w:jc w:val="center"/>
      </w:pPr>
      <w:r>
        <w:rPr>
          <w:rFonts w:ascii="Times New Roman" w:hAnsi="Times New Roman"/>
          <w:i w:val="0"/>
          <w:color w:val="000000"/>
          <w:sz w:val="28"/>
        </w:rPr>
        <w:t>РАЗДЕЛ 2. ПР №1. ПОДБОР КОНФИГУРАЦИИ ПК (09.10.2026)</w:t>
      </w:r>
    </w:p>
    <w:p>
      <w:pPr>
        <w:pStyle w:val="Heading2"/>
        <w:spacing w:line="360" w:lineRule="auto" w:before="12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Цель работы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Аппаратный расчет и комплектование рабочей станции инженера и локального сервера СУБД для надежной эксплуатации создаваемой ИС.</w:t>
      </w:r>
    </w:p>
    <w:p>
      <w:pPr>
        <w:pStyle w:val="Heading2"/>
        <w:spacing w:line="360" w:lineRule="auto" w:before="12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Краткий ход выполнения и проектные решения</w:t>
      </w:r>
    </w:p>
    <w:p>
      <w:pPr>
        <w:pStyle w:val="ListParagraph"/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— Расчет объема ОЗУ (DDR4/DDR5) с учетом буферного пула (Buffer Pool) SQL Server и тяжеловесной среды Visual Studio (рекомендуемый объем от 16-32 ГБ).</w:t>
      </w:r>
    </w:p>
    <w:p>
      <w:pPr>
        <w:pStyle w:val="ListParagraph"/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— Выбор многоядерного процессора (Intel Core i5/i7 или AMD Ryzen 5/7) для параллельной обработки запросов и компиляции.</w:t>
      </w:r>
    </w:p>
    <w:p>
      <w:pPr>
        <w:pStyle w:val="ListParagraph"/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— Обоснование установки скоростного твердотельного накопителя NVMe PCIe 4.0 для минимизации задержек I/O при транзакциях СУБД.</w:t>
      </w:r>
    </w:p>
    <w:p>
      <w:pPr>
        <w:pStyle w:val="ListParagraph"/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— Сводная спецификация комплектующих ПК с калькуляцией бюджета внедрения.</w:t>
      </w:r>
    </w:p>
    <w:p>
      <w:pPr>
        <w:pStyle w:val="Heading2"/>
        <w:spacing w:line="360" w:lineRule="auto" w:before="12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Иллюстративный материал и результаты тестирования</w:t>
      </w:r>
    </w:p>
    <w:p>
      <w:pPr>
        <w:spacing w:line="360" w:lineRule="auto" w:before="120" w:after="120"/>
        <w:ind w:firstLine="0"/>
        <w:jc w:val="center"/>
      </w:pPr>
      <w:r>
        <w:rPr>
          <w:rFonts w:ascii="Times New Roman" w:hAnsi="Times New Roman"/>
          <w:i w:val="0"/>
          <w:color w:val="000000"/>
          <w:sz w:val="28"/>
        </w:rPr>
        <w:t>/* [МЕСТО ДЛЯ СКРИНШОТА / ЛИСТИНГА КОДА] */</w:t>
        <w:br/>
        <w:t>// Таблица спецификации комплектующих рабочей станции и сервера с ценами и обоснованием выбора</w:t>
      </w:r>
    </w:p>
    <w:p>
      <w:pPr>
        <w:pStyle w:val="Heading2"/>
        <w:spacing w:line="360" w:lineRule="auto" w:before="12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Вывод по разделу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В ходе выполнения практического задания 09.10.2026 задачи раздела были успешно решены в полном объеме, проектные решения интегрированы в общий программный комплекс разрабатываемой информационной системы.</w:t>
      </w:r>
    </w:p>
    <w:p>
      <w:pPr>
        <w:pStyle w:val="Heading1"/>
        <w:pageBreakBefore/>
        <w:spacing w:line="360" w:lineRule="auto" w:before="240" w:after="240"/>
        <w:ind w:firstLine="0"/>
        <w:jc w:val="center"/>
      </w:pPr>
      <w:r>
        <w:rPr>
          <w:rFonts w:ascii="Times New Roman" w:hAnsi="Times New Roman"/>
          <w:i w:val="0"/>
          <w:color w:val="000000"/>
          <w:sz w:val="28"/>
        </w:rPr>
        <w:t>РАЗДЕЛ 3. ПР №2. ПОИСК, УСТАНОВКА И НАСТРОЙКА ПРОГРАММНОГО ОБЕСПЕЧЕНИЯ (10.10.2026)</w:t>
      </w:r>
    </w:p>
    <w:p>
      <w:pPr>
        <w:pStyle w:val="Heading2"/>
        <w:spacing w:line="360" w:lineRule="auto" w:before="12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Цель работы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Инсталляция и администрирование СУБД MS SQL Server Express (SQLEXPRESS), создание физической БД проекта и схемы 6 таблиц.</w:t>
      </w:r>
    </w:p>
    <w:p>
      <w:pPr>
        <w:pStyle w:val="Heading2"/>
        <w:spacing w:line="360" w:lineRule="auto" w:before="12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Краткий ход выполнения и проектные решения</w:t>
      </w:r>
    </w:p>
    <w:p>
      <w:pPr>
        <w:pStyle w:val="ListParagraph"/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— Развертывание экземпляра SQLEXPRESS, включение смешанной аутентификации (SQL Server &amp; Windows Authentication), активация системного администратора sa.</w:t>
      </w:r>
    </w:p>
    <w:p>
      <w:pPr>
        <w:pStyle w:val="ListParagraph"/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— Конфигурирование протокола TCP/IP (порт 1433) в SQL Server Configuration Manager для сетевого взаимодействия с приложением.</w:t>
      </w:r>
    </w:p>
    <w:p>
      <w:pPr>
        <w:pStyle w:val="ListParagraph"/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— Разработка полного DDL T-SQL скрипта создания 6 обязательных таблиц проекта с первичными ключами (PK) и связями (FK 1:N и N:M).</w:t>
      </w:r>
    </w:p>
    <w:p>
      <w:pPr>
        <w:pStyle w:val="ListParagraph"/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— Построение визуальной физической диаграммы БД (Database Diagram) в среде SSMS.</w:t>
      </w:r>
    </w:p>
    <w:p>
      <w:pPr>
        <w:pStyle w:val="Heading2"/>
        <w:spacing w:line="360" w:lineRule="auto" w:before="12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Иллюстративный материал и результаты тестирования</w:t>
      </w:r>
    </w:p>
    <w:p>
      <w:pPr>
        <w:spacing w:line="360" w:lineRule="auto" w:before="120" w:after="120"/>
        <w:ind w:firstLine="0"/>
        <w:jc w:val="center"/>
      </w:pPr>
      <w:r>
        <w:rPr>
          <w:rFonts w:ascii="Times New Roman" w:hAnsi="Times New Roman"/>
          <w:i w:val="0"/>
          <w:color w:val="000000"/>
          <w:sz w:val="28"/>
        </w:rPr>
        <w:t>/* [МЕСТО ДЛЯ СКРИНШОТА / ЛИСТИНГА КОДА] */</w:t>
        <w:br/>
        <w:t>// Скриншот Database Diagram в SSMS с отображением всех 6 таблиц и связей между ними</w:t>
      </w:r>
    </w:p>
    <w:p>
      <w:pPr>
        <w:pStyle w:val="Heading2"/>
        <w:spacing w:line="360" w:lineRule="auto" w:before="12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Вывод по разделу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В ходе выполнения практического задания 10.10.2026 задачи раздела были успешно решены в полном объеме, проектные решения интегрированы в общий программный комплекс разрабатываемой информационной системы.</w:t>
      </w:r>
    </w:p>
    <w:p>
      <w:pPr>
        <w:pStyle w:val="Heading1"/>
        <w:pageBreakBefore/>
        <w:spacing w:line="360" w:lineRule="auto" w:before="240" w:after="240"/>
        <w:ind w:firstLine="0"/>
        <w:jc w:val="center"/>
      </w:pPr>
      <w:r>
        <w:rPr>
          <w:rFonts w:ascii="Times New Roman" w:hAnsi="Times New Roman"/>
          <w:i w:val="0"/>
          <w:color w:val="000000"/>
          <w:sz w:val="28"/>
        </w:rPr>
        <w:t>РАЗДЕЛ 4. ПР №3. РАБОТА С ЖЕСТКИМИ ДИСКАМИ И ВОССТАНОВЛЕНИЕ (12.10.2026)</w:t>
      </w:r>
    </w:p>
    <w:p>
      <w:pPr>
        <w:pStyle w:val="Heading2"/>
        <w:spacing w:line="360" w:lineRule="auto" w:before="12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Цель работы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Организация дискового хранилища базы данных ИС, аудит надежности накопителя через S.M.A.R.T. и целостность файловой структуры СУБД.</w:t>
      </w:r>
    </w:p>
    <w:p>
      <w:pPr>
        <w:pStyle w:val="Heading2"/>
        <w:spacing w:line="360" w:lineRule="auto" w:before="12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Краткий ход выполнения и проектные решения</w:t>
      </w:r>
    </w:p>
    <w:p>
      <w:pPr>
        <w:pStyle w:val="ListParagraph"/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— Разделение файлов базы данных: первичный файл данных (.mdf) и журнал транзакций (.ldf) на выделенных разделах накопителя.</w:t>
      </w:r>
    </w:p>
    <w:p>
      <w:pPr>
        <w:pStyle w:val="ListParagraph"/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— Применение разметки GPT и файловой системы NTFS с размером кластера 64 КБ (рекомендация Microsoft для высоконагруженных БД).</w:t>
      </w:r>
    </w:p>
    <w:p>
      <w:pPr>
        <w:pStyle w:val="ListParagraph"/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— Диагностика физического накопителя по таблице параметров S.M.A.R.T. (CrystalDiskInfo): контроль Reallocated Sectors и Pending Sectors.</w:t>
      </w:r>
    </w:p>
    <w:p>
      <w:pPr>
        <w:pStyle w:val="ListParagraph"/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— Проверка логической целостности базы данных системной командой DBCC CHECKDB.</w:t>
      </w:r>
    </w:p>
    <w:p>
      <w:pPr>
        <w:pStyle w:val="Heading2"/>
        <w:spacing w:line="360" w:lineRule="auto" w:before="12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Иллюстративный материал и результаты тестирования</w:t>
      </w:r>
    </w:p>
    <w:p>
      <w:pPr>
        <w:spacing w:line="360" w:lineRule="auto" w:before="120" w:after="120"/>
        <w:ind w:firstLine="0"/>
        <w:jc w:val="center"/>
      </w:pPr>
      <w:r>
        <w:rPr>
          <w:rFonts w:ascii="Times New Roman" w:hAnsi="Times New Roman"/>
          <w:i w:val="0"/>
          <w:color w:val="000000"/>
          <w:sz w:val="28"/>
        </w:rPr>
        <w:t>/* [МЕСТО ДЛЯ СКРИНШОТА / ЛИСТИНГА КОДА] */</w:t>
        <w:br/>
        <w:t>// Скриншот SMART-параметров накопителя в утилите CrystalDiskInfo</w:t>
      </w:r>
    </w:p>
    <w:p>
      <w:pPr>
        <w:pStyle w:val="Heading2"/>
        <w:spacing w:line="360" w:lineRule="auto" w:before="12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Вывод по разделу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В ходе выполнения практического задания 12.10.2026 задачи раздела были успешно решены в полном объеме, проектные решения интегрированы в общий программный комплекс разрабатываемой информационной системы.</w:t>
      </w:r>
    </w:p>
    <w:p>
      <w:pPr>
        <w:pStyle w:val="Heading1"/>
        <w:pageBreakBefore/>
        <w:spacing w:line="360" w:lineRule="auto" w:before="240" w:after="240"/>
        <w:ind w:firstLine="0"/>
        <w:jc w:val="center"/>
      </w:pPr>
      <w:r>
        <w:rPr>
          <w:rFonts w:ascii="Times New Roman" w:hAnsi="Times New Roman"/>
          <w:i w:val="0"/>
          <w:color w:val="000000"/>
          <w:sz w:val="28"/>
        </w:rPr>
        <w:t>РАЗДЕЛ 5. ПР №4. РАБОТА С АНТИВИРУСАМИ И ЖЕСТКИМ ДИСКОМ (14.10.2026)</w:t>
      </w:r>
    </w:p>
    <w:p>
      <w:pPr>
        <w:pStyle w:val="Heading2"/>
        <w:spacing w:line="360" w:lineRule="auto" w:before="12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Цель работы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Настройка безопасности среды сборки проекта и исключений антивирусного ПО для предотвращения деградации дискового I/O СУБД.</w:t>
      </w:r>
    </w:p>
    <w:p>
      <w:pPr>
        <w:pStyle w:val="Heading2"/>
        <w:spacing w:line="360" w:lineRule="auto" w:before="12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Краткий ход выполнения и проектные решения</w:t>
      </w:r>
    </w:p>
    <w:p>
      <w:pPr>
        <w:pStyle w:val="ListParagraph"/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— Настройка доверенных зон и правил исключений антивируса для каталогов Visual Studio: bin\Debug, bin\Release, obj и кэша NuGet.</w:t>
      </w:r>
    </w:p>
    <w:p>
      <w:pPr>
        <w:pStyle w:val="ListParagraph"/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— Исключение из постоянного сканирования рабочих файлов базы данных (.mdf, .ldf), предотвращающее взаимные блокировки при записи транзакций.</w:t>
      </w:r>
    </w:p>
    <w:p>
      <w:pPr>
        <w:pStyle w:val="ListParagraph"/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— Проверка используемых внешних библиотек (MaterialSkin.2) на отсутствие вредоносного кода и сигнатурных угроз.</w:t>
      </w:r>
    </w:p>
    <w:p>
      <w:pPr>
        <w:pStyle w:val="ListParagraph"/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— Оценка быстродействия сборки решения до и после внесения каталогов в список исключений.</w:t>
      </w:r>
    </w:p>
    <w:p>
      <w:pPr>
        <w:pStyle w:val="Heading2"/>
        <w:spacing w:line="360" w:lineRule="auto" w:before="12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Иллюстративный материал и результаты тестирования</w:t>
      </w:r>
    </w:p>
    <w:p>
      <w:pPr>
        <w:spacing w:line="360" w:lineRule="auto" w:before="120" w:after="120"/>
        <w:ind w:firstLine="0"/>
        <w:jc w:val="center"/>
      </w:pPr>
      <w:r>
        <w:rPr>
          <w:rFonts w:ascii="Times New Roman" w:hAnsi="Times New Roman"/>
          <w:i w:val="0"/>
          <w:color w:val="000000"/>
          <w:sz w:val="28"/>
        </w:rPr>
        <w:t>/* [МЕСТО ДЛЯ СКРИНШОТА / ЛИСТИНГА КОДА] */</w:t>
        <w:br/>
        <w:t>// Скриншот окна настройки исключений антивируса с добавленными путями проекта</w:t>
      </w:r>
    </w:p>
    <w:p>
      <w:pPr>
        <w:pStyle w:val="Heading2"/>
        <w:spacing w:line="360" w:lineRule="auto" w:before="12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Вывод по разделу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В ходе выполнения практического задания 14.10.2026 задачи раздела были успешно решены в полном объеме, проектные решения интегрированы в общий программный комплекс разрабатываемой информационной системы.</w:t>
      </w:r>
    </w:p>
    <w:p>
      <w:pPr>
        <w:pStyle w:val="Heading1"/>
        <w:pageBreakBefore/>
        <w:spacing w:line="360" w:lineRule="auto" w:before="240" w:after="240"/>
        <w:ind w:firstLine="0"/>
        <w:jc w:val="center"/>
      </w:pPr>
      <w:r>
        <w:rPr>
          <w:rFonts w:ascii="Times New Roman" w:hAnsi="Times New Roman"/>
          <w:i w:val="0"/>
          <w:color w:val="000000"/>
          <w:sz w:val="28"/>
        </w:rPr>
        <w:t>РАЗДЕЛ 6. ПР №5. ТЕСТИРОВАНИЕ СИСТЕМ (15.10.2026)</w:t>
      </w:r>
    </w:p>
    <w:p>
      <w:pPr>
        <w:pStyle w:val="Heading2"/>
        <w:spacing w:line="360" w:lineRule="auto" w:before="12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Цель работы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Комплексное стресс-тестирование аппаратных узлов и поведение СУБД под стрессовой нагрузкой интенсивных запросов.</w:t>
      </w:r>
    </w:p>
    <w:p>
      <w:pPr>
        <w:pStyle w:val="Heading2"/>
        <w:spacing w:line="360" w:lineRule="auto" w:before="12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Краткий ход выполнения и проектные решения</w:t>
      </w:r>
    </w:p>
    <w:p>
      <w:pPr>
        <w:pStyle w:val="ListParagraph"/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— Стресс-тестирование центрального процессора и оперативной памяти с помощью диагностических пакетов (AIDA64 / OCCT).</w:t>
      </w:r>
    </w:p>
    <w:p>
      <w:pPr>
        <w:pStyle w:val="ListParagraph"/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— Генерация стрессовой нагрузки на базу данных ИС: скрипт массовой циклической вставки тестовых записей (10 000+ строк).</w:t>
      </w:r>
    </w:p>
    <w:p>
      <w:pPr>
        <w:pStyle w:val="ListParagraph"/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— Мониторинг температурных показателей ЦП и видеочипа, контроль отсутствия теплового троттлинга (CPU Throttling 0%).</w:t>
      </w:r>
    </w:p>
    <w:p>
      <w:pPr>
        <w:pStyle w:val="ListParagraph"/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— Оценка стабильности работы приложения и фонового экземпляра SQLEXPRESS при пиковой нагрузке.</w:t>
      </w:r>
    </w:p>
    <w:p>
      <w:pPr>
        <w:pStyle w:val="Heading2"/>
        <w:spacing w:line="360" w:lineRule="auto" w:before="12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Иллюстративный материал и результаты тестирования</w:t>
      </w:r>
    </w:p>
    <w:p>
      <w:pPr>
        <w:spacing w:line="360" w:lineRule="auto" w:before="120" w:after="120"/>
        <w:ind w:firstLine="0"/>
        <w:jc w:val="center"/>
      </w:pPr>
      <w:r>
        <w:rPr>
          <w:rFonts w:ascii="Times New Roman" w:hAnsi="Times New Roman"/>
          <w:i w:val="0"/>
          <w:color w:val="000000"/>
          <w:sz w:val="28"/>
        </w:rPr>
        <w:t>/* [МЕСТО ДЛЯ СКРИНШОТА / ЛИСТИНГА КОДА] */</w:t>
        <w:br/>
        <w:t>// Скриншот графика стресс-теста стабильности системы под нагрузкой</w:t>
      </w:r>
    </w:p>
    <w:p>
      <w:pPr>
        <w:pStyle w:val="Heading2"/>
        <w:spacing w:line="360" w:lineRule="auto" w:before="12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Вывод по разделу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В ходе выполнения практического задания 15.10.2026 задачи раздела были успешно решены в полном объеме, проектные решения интегрированы в общий программный комплекс разрабатываемой информационной системы.</w:t>
      </w:r>
    </w:p>
    <w:p>
      <w:pPr>
        <w:pStyle w:val="Heading1"/>
        <w:pageBreakBefore/>
        <w:spacing w:line="360" w:lineRule="auto" w:before="240" w:after="240"/>
        <w:ind w:firstLine="0"/>
        <w:jc w:val="center"/>
      </w:pPr>
      <w:r>
        <w:rPr>
          <w:rFonts w:ascii="Times New Roman" w:hAnsi="Times New Roman"/>
          <w:i w:val="0"/>
          <w:color w:val="000000"/>
          <w:sz w:val="28"/>
        </w:rPr>
        <w:t>РАЗДЕЛ 7. ПР №6. АУДИТ РЕСУРСОВ И СОБЫТИЙ И УПРАВЛЕНИЕ ХРАНИЛИЩ ДАННЫХ (ЧАСТЬ 1) (16.10.2026)</w:t>
      </w:r>
    </w:p>
    <w:p>
      <w:pPr>
        <w:pStyle w:val="Heading2"/>
        <w:spacing w:line="360" w:lineRule="auto" w:before="12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Цель работы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Настройка и анализ журналов аудита подключений к базе данных проекта в Event Viewer и SQL Server Audit.</w:t>
      </w:r>
    </w:p>
    <w:p>
      <w:pPr>
        <w:pStyle w:val="Heading2"/>
        <w:spacing w:line="360" w:lineRule="auto" w:before="12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Краткий ход выполнения и проектные решения</w:t>
      </w:r>
    </w:p>
    <w:p>
      <w:pPr>
        <w:pStyle w:val="ListParagraph"/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— Активация аудита успешных и неудачных попыток входа (Login Auditing) в свойствах экземпляра MS SQL Server.</w:t>
      </w:r>
    </w:p>
    <w:p>
      <w:pPr>
        <w:pStyle w:val="ListParagraph"/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— Анализ системных журналов Windows (Event Viewer): журналы «Приложение» и «Безопасность» (события Event ID 18456).</w:t>
      </w:r>
    </w:p>
    <w:p>
      <w:pPr>
        <w:pStyle w:val="ListParagraph"/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— Моделирование попытки несанкционированного доступа с неверным паролем и регистрация инцидента безопасности.</w:t>
      </w:r>
    </w:p>
    <w:p>
      <w:pPr>
        <w:pStyle w:val="ListParagraph"/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— Выгрузка журнала регистрации событий в текстовый протокол.</w:t>
      </w:r>
    </w:p>
    <w:p>
      <w:pPr>
        <w:pStyle w:val="Heading2"/>
        <w:spacing w:line="360" w:lineRule="auto" w:before="12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Иллюстративный материал и результаты тестирования</w:t>
      </w:r>
    </w:p>
    <w:p>
      <w:pPr>
        <w:spacing w:line="360" w:lineRule="auto" w:before="120" w:after="120"/>
        <w:ind w:firstLine="0"/>
        <w:jc w:val="center"/>
      </w:pPr>
      <w:r>
        <w:rPr>
          <w:rFonts w:ascii="Times New Roman" w:hAnsi="Times New Roman"/>
          <w:i w:val="0"/>
          <w:color w:val="000000"/>
          <w:sz w:val="28"/>
        </w:rPr>
        <w:t>/* [МЕСТО ДЛЯ СКРИНШОТА / ЛИСТИНГА КОДА] */</w:t>
        <w:br/>
        <w:t>// Скриншот журнала Event Viewer с зафиксированным событием подключения к SQL Server</w:t>
      </w:r>
    </w:p>
    <w:p>
      <w:pPr>
        <w:pStyle w:val="Heading2"/>
        <w:spacing w:line="360" w:lineRule="auto" w:before="12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Вывод по разделу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В ходе выполнения практического задания 16.10.2026 задачи раздела были успешно решены в полном объеме, проектные решения интегрированы в общий программный комплекс разрабатываемой информационной системы.</w:t>
      </w:r>
    </w:p>
    <w:p>
      <w:pPr>
        <w:pStyle w:val="Heading1"/>
        <w:pageBreakBefore/>
        <w:spacing w:line="360" w:lineRule="auto" w:before="240" w:after="240"/>
        <w:ind w:firstLine="0"/>
        <w:jc w:val="center"/>
      </w:pPr>
      <w:r>
        <w:rPr>
          <w:rFonts w:ascii="Times New Roman" w:hAnsi="Times New Roman"/>
          <w:i w:val="0"/>
          <w:color w:val="000000"/>
          <w:sz w:val="28"/>
        </w:rPr>
        <w:t>РАЗДЕЛ 8. ПР №6. АУДИТ РЕСУРСОВ И СОБЫТИЙ И УПРАВЛЕНИЕ ХРАНИЛИЩ ДАННЫХ (ЧАСТЬ 2) (17.10.2026)</w:t>
      </w:r>
    </w:p>
    <w:p>
      <w:pPr>
        <w:pStyle w:val="Heading2"/>
        <w:spacing w:line="360" w:lineRule="auto" w:before="12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Цель работы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Проектирование подсистемы логирования действий пользователей внутри ИС и конфигурирование дисковых квот.</w:t>
      </w:r>
    </w:p>
    <w:p>
      <w:pPr>
        <w:pStyle w:val="Heading2"/>
        <w:spacing w:line="360" w:lineRule="auto" w:before="12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Краткий ход выполнения и проектные решения</w:t>
      </w:r>
    </w:p>
    <w:p>
      <w:pPr>
        <w:pStyle w:val="ListParagraph"/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— Создание служебной таблицы аудита SystemLogs в базе данных ИС (поля: LogId, UserName, ActionType, TableName, Timestamp, Details).</w:t>
      </w:r>
    </w:p>
    <w:p>
      <w:pPr>
        <w:pStyle w:val="ListParagraph"/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— Разработка C# модуля автоматической записи событий добавления, изменения и удаления сущностей в журнал аудита.</w:t>
      </w:r>
    </w:p>
    <w:p>
      <w:pPr>
        <w:pStyle w:val="ListParagraph"/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— Настройка дисковых квот NTFS на папку экспортируемых отчетов и резервных копий для предотвращения переполнения диска.</w:t>
      </w:r>
    </w:p>
    <w:p>
      <w:pPr>
        <w:pStyle w:val="ListParagraph"/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— Тестирование срабатывания оповещения о превышении дискового лимита.</w:t>
      </w:r>
    </w:p>
    <w:p>
      <w:pPr>
        <w:pStyle w:val="Heading2"/>
        <w:spacing w:line="360" w:lineRule="auto" w:before="12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Иллюстративный материал и результаты тестирования</w:t>
      </w:r>
    </w:p>
    <w:p>
      <w:pPr>
        <w:spacing w:line="360" w:lineRule="auto" w:before="120" w:after="120"/>
        <w:ind w:firstLine="0"/>
        <w:jc w:val="center"/>
      </w:pPr>
      <w:r>
        <w:rPr>
          <w:rFonts w:ascii="Times New Roman" w:hAnsi="Times New Roman"/>
          <w:i w:val="0"/>
          <w:color w:val="000000"/>
          <w:sz w:val="28"/>
        </w:rPr>
        <w:t>/* [МЕСТО ДЛЯ СКРИНШОТА / ЛИСТИНГА КОДА] */</w:t>
        <w:br/>
        <w:t>// Скриншот содержимого таблицы SystemLogs после совершения операций пользователями</w:t>
      </w:r>
    </w:p>
    <w:p>
      <w:pPr>
        <w:pStyle w:val="Heading2"/>
        <w:spacing w:line="360" w:lineRule="auto" w:before="12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Вывод по разделу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В ходе выполнения практического задания 17.10.2026 задачи раздела были успешно решены в полном объеме, проектные решения интегрированы в общий программный комплекс разрабатываемой информационной системы.</w:t>
      </w:r>
    </w:p>
    <w:p>
      <w:pPr>
        <w:pStyle w:val="Heading1"/>
        <w:pageBreakBefore/>
        <w:spacing w:line="360" w:lineRule="auto" w:before="240" w:after="240"/>
        <w:ind w:firstLine="0"/>
        <w:jc w:val="center"/>
      </w:pPr>
      <w:r>
        <w:rPr>
          <w:rFonts w:ascii="Times New Roman" w:hAnsi="Times New Roman"/>
          <w:i w:val="0"/>
          <w:color w:val="000000"/>
          <w:sz w:val="28"/>
        </w:rPr>
        <w:t>РАЗДЕЛ 9. ПР №7. ТЕСТИРОВАНИЕ СКОРОСТИ РАБОТЫ РАЗРАБОТАННОГО ПРИЛОЖЕНИЯ (19.10.2026)</w:t>
      </w:r>
    </w:p>
    <w:p>
      <w:pPr>
        <w:pStyle w:val="Heading2"/>
        <w:spacing w:line="360" w:lineRule="auto" w:before="12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Цель работы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Профилирование производительности выборки типизированного DataSet с помощью класса Stopwatch и оптимизация индексов FK.</w:t>
      </w:r>
    </w:p>
    <w:p>
      <w:pPr>
        <w:pStyle w:val="Heading2"/>
        <w:spacing w:line="360" w:lineRule="auto" w:before="12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Краткий ход выполнения и проектные решения</w:t>
      </w:r>
    </w:p>
    <w:p>
      <w:pPr>
        <w:pStyle w:val="ListParagraph"/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— Программный замер времени выполнения запросов к БД через TableAdapter.Fill() с использованием System.Diagnostics.Stopwatch.</w:t>
      </w:r>
    </w:p>
    <w:p>
      <w:pPr>
        <w:pStyle w:val="ListParagraph"/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— Сравнительный бенчмарк выборки при объемах 100, 1000 и 5000 записей: Typed DataSet против прямого чтения через SqlDataReader.</w:t>
      </w:r>
    </w:p>
    <w:p>
      <w:pPr>
        <w:pStyle w:val="ListParagraph"/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— Создание некластеризованных индексов (Non-Clustered Indexes) на внешних ключах (FK) для оптимизации операций JOIN.</w:t>
      </w:r>
    </w:p>
    <w:p>
      <w:pPr>
        <w:pStyle w:val="ListParagraph"/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— Построение графика зависимости времени выборки от объема данных и наличия индексов.</w:t>
      </w:r>
    </w:p>
    <w:p>
      <w:pPr>
        <w:pStyle w:val="Heading2"/>
        <w:spacing w:line="360" w:lineRule="auto" w:before="12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Иллюстративный материал и результаты тестирования</w:t>
      </w:r>
    </w:p>
    <w:p>
      <w:pPr>
        <w:spacing w:line="360" w:lineRule="auto" w:before="120" w:after="120"/>
        <w:ind w:firstLine="0"/>
        <w:jc w:val="center"/>
      </w:pPr>
      <w:r>
        <w:rPr>
          <w:rFonts w:ascii="Times New Roman" w:hAnsi="Times New Roman"/>
          <w:i w:val="0"/>
          <w:color w:val="000000"/>
          <w:sz w:val="28"/>
        </w:rPr>
        <w:t>/* [МЕСТО ДЛЯ СКРИНШОТА / ЛИСТИНГА КОДА] */</w:t>
        <w:br/>
        <w:t>// График или сводная таблица времени выполнения запросов (Stopwatch) до и после индексации</w:t>
      </w:r>
    </w:p>
    <w:p>
      <w:pPr>
        <w:pStyle w:val="Heading2"/>
        <w:spacing w:line="360" w:lineRule="auto" w:before="12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Вывод по разделу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В ходе выполнения практического задания 19.10.2026 задачи раздела были успешно решены в полном объеме, проектные решения интегрированы в общий программный комплекс разрабатываемой информационной системы.</w:t>
      </w:r>
    </w:p>
    <w:p>
      <w:pPr>
        <w:pStyle w:val="Heading1"/>
        <w:pageBreakBefore/>
        <w:spacing w:line="360" w:lineRule="auto" w:before="240" w:after="240"/>
        <w:ind w:firstLine="0"/>
        <w:jc w:val="center"/>
      </w:pPr>
      <w:r>
        <w:rPr>
          <w:rFonts w:ascii="Times New Roman" w:hAnsi="Times New Roman"/>
          <w:i w:val="0"/>
          <w:color w:val="000000"/>
          <w:sz w:val="28"/>
        </w:rPr>
        <w:t>РАЗДЕЛ 10. ПР №8. РАЗРАБОТКА ПРОГРАММНОГО ПРИЛОЖЕНИЯ ШИФРОВАНИЕ И ДЕШИФРОВАНИЕ ФАЙЛОВ (ЧАСТЬ 1) (20.10.2026)</w:t>
      </w:r>
    </w:p>
    <w:p>
      <w:pPr>
        <w:pStyle w:val="Heading2"/>
        <w:spacing w:line="360" w:lineRule="auto" w:before="12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Цель работы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Разработка криптографического модуля симметричного шифрования AES-256 для защиты конфиденциальных файлов и строк подключения ИС.</w:t>
      </w:r>
    </w:p>
    <w:p>
      <w:pPr>
        <w:pStyle w:val="Heading2"/>
        <w:spacing w:line="360" w:lineRule="auto" w:before="12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Краткий ход выполнения и проектные решения</w:t>
      </w:r>
    </w:p>
    <w:p>
      <w:pPr>
        <w:pStyle w:val="ListParagraph"/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— Изучение архитектуры блочного симметричного шифрования AES (Advanced Encryption Standard, Rijndael, длина ключа 256 бит).</w:t>
      </w:r>
    </w:p>
    <w:p>
      <w:pPr>
        <w:pStyle w:val="ListParagraph"/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— Реализация служебного класса CryptoManager с методами EncryptFile() и DecryptFile() на базе пространства имен System.Security.Cryptography.</w:t>
      </w:r>
    </w:p>
    <w:p>
      <w:pPr>
        <w:pStyle w:val="ListParagraph"/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— Применение потокового шифрования через CryptoStream в режиме сцепления блоков (CBC) с вектором инициализации (IV).</w:t>
      </w:r>
    </w:p>
    <w:p>
      <w:pPr>
        <w:pStyle w:val="ListParagraph"/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— Шифрование конфигурационного файла App.config со строкой подключения к SQLEXPRESS.</w:t>
      </w:r>
    </w:p>
    <w:p>
      <w:pPr>
        <w:pStyle w:val="Heading2"/>
        <w:spacing w:line="360" w:lineRule="auto" w:before="12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Иллюстративный материал и результаты тестирования</w:t>
      </w:r>
    </w:p>
    <w:p>
      <w:pPr>
        <w:spacing w:line="360" w:lineRule="auto" w:before="120" w:after="120"/>
        <w:ind w:firstLine="0"/>
        <w:jc w:val="center"/>
      </w:pPr>
      <w:r>
        <w:rPr>
          <w:rFonts w:ascii="Times New Roman" w:hAnsi="Times New Roman"/>
          <w:i w:val="0"/>
          <w:color w:val="000000"/>
          <w:sz w:val="28"/>
        </w:rPr>
        <w:t>/* [МЕСТО ДЛЯ СКРИНШОТА / ЛИСТИНГА КОДА] */</w:t>
        <w:br/>
        <w:t>// Листинг C# методов шифрования AES-256 и скриншот зашифрованного файла на диске</w:t>
      </w:r>
    </w:p>
    <w:p>
      <w:pPr>
        <w:pStyle w:val="Heading2"/>
        <w:spacing w:line="360" w:lineRule="auto" w:before="12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Вывод по разделу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В ходе выполнения практического задания 20.10.2026 задачи раздела были успешно решены в полном объеме, проектные решения интегрированы в общий программный комплекс разрабатываемой информационной системы.</w:t>
      </w:r>
    </w:p>
    <w:p>
      <w:pPr>
        <w:pStyle w:val="Heading1"/>
        <w:pageBreakBefore/>
        <w:spacing w:line="360" w:lineRule="auto" w:before="240" w:after="240"/>
        <w:ind w:firstLine="0"/>
        <w:jc w:val="center"/>
      </w:pPr>
      <w:r>
        <w:rPr>
          <w:rFonts w:ascii="Times New Roman" w:hAnsi="Times New Roman"/>
          <w:i w:val="0"/>
          <w:color w:val="000000"/>
          <w:sz w:val="28"/>
        </w:rPr>
        <w:t>РАЗДЕЛ 11. ПР №8. РАЗРАБОТКА ПРОГРАММНОГО ПРИЛОЖЕНИЯ ШИФРОВАНИЕ И ДЕШИФРОВАНИЕ ФАЙЛОВ (ЧАСТЬ 2) (21.10.2026)</w:t>
      </w:r>
    </w:p>
    <w:p>
      <w:pPr>
        <w:pStyle w:val="Heading2"/>
        <w:spacing w:line="360" w:lineRule="auto" w:before="12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Цель работы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Реализация безопасной аутентификации: криптографическое хэширование паролей пользователей SHA-256 с солью.</w:t>
      </w:r>
    </w:p>
    <w:p>
      <w:pPr>
        <w:pStyle w:val="Heading2"/>
        <w:spacing w:line="360" w:lineRule="auto" w:before="12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Краткий ход выполнения и проектные решения</w:t>
      </w:r>
    </w:p>
    <w:p>
      <w:pPr>
        <w:pStyle w:val="ListParagraph"/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— Анализ уязвимости хранения паролей в открытом виде (Plaintext) и методов защиты от атак по радужным таблицам (Rainbow Tables).</w:t>
      </w:r>
    </w:p>
    <w:p>
      <w:pPr>
        <w:pStyle w:val="ListParagraph"/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— Реализация функции вычисления дайджеста пароля: конкатенация пароля и криптографически стойкой соли (Salt) с последующим хэшированием SHA-256.</w:t>
      </w:r>
    </w:p>
    <w:p>
      <w:pPr>
        <w:pStyle w:val="ListParagraph"/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— Модификация таблицы Users в базе данных для хранения столбцов PasswordHash (nvarchar(64)) и Salt (nvarchar(32)).</w:t>
      </w:r>
    </w:p>
    <w:p>
      <w:pPr>
        <w:pStyle w:val="ListParagraph"/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— Интеграция функции сверки хэша при авторизации пользователя в ИС.</w:t>
      </w:r>
    </w:p>
    <w:p>
      <w:pPr>
        <w:pStyle w:val="Heading2"/>
        <w:spacing w:line="360" w:lineRule="auto" w:before="12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Иллюстративный материал и результаты тестирования</w:t>
      </w:r>
    </w:p>
    <w:p>
      <w:pPr>
        <w:spacing w:line="360" w:lineRule="auto" w:before="120" w:after="120"/>
        <w:ind w:firstLine="0"/>
        <w:jc w:val="center"/>
      </w:pPr>
      <w:r>
        <w:rPr>
          <w:rFonts w:ascii="Times New Roman" w:hAnsi="Times New Roman"/>
          <w:i w:val="0"/>
          <w:color w:val="000000"/>
          <w:sz w:val="28"/>
        </w:rPr>
        <w:t>/* [МЕСТО ДЛЯ СКРИНШОТА / ЛИСТИНГА КОДА] */</w:t>
        <w:br/>
        <w:t>// Скриншот таблицы Users в SSMS с хэшированными паролями SHA-256</w:t>
      </w:r>
    </w:p>
    <w:p>
      <w:pPr>
        <w:pStyle w:val="Heading2"/>
        <w:spacing w:line="360" w:lineRule="auto" w:before="12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Вывод по разделу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В ходе выполнения практического задания 21.10.2026 задачи раздела были успешно решены в полном объеме, проектные решения интегрированы в общий программный комплекс разрабатываемой информационной системы.</w:t>
      </w:r>
    </w:p>
    <w:p>
      <w:pPr>
        <w:pStyle w:val="Heading1"/>
        <w:pageBreakBefore/>
        <w:spacing w:line="360" w:lineRule="auto" w:before="240" w:after="240"/>
        <w:ind w:firstLine="0"/>
        <w:jc w:val="center"/>
      </w:pPr>
      <w:r>
        <w:rPr>
          <w:rFonts w:ascii="Times New Roman" w:hAnsi="Times New Roman"/>
          <w:i w:val="0"/>
          <w:color w:val="000000"/>
          <w:sz w:val="28"/>
        </w:rPr>
        <w:t>РАЗДЕЛ 12. ПР №9. ЛОКАЛЬНЫЙ GIT (22.10.2026)</w:t>
      </w:r>
    </w:p>
    <w:p>
      <w:pPr>
        <w:pStyle w:val="Heading2"/>
        <w:spacing w:line="360" w:lineRule="auto" w:before="12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Цель работы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Инициализация локального репозитория Git, конфигурация файла .gitignore для Visual Studio и фиксация архитектуры решения.</w:t>
      </w:r>
    </w:p>
    <w:p>
      <w:pPr>
        <w:pStyle w:val="Heading2"/>
        <w:spacing w:line="360" w:lineRule="auto" w:before="12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Краткий ход выполнения и проектные решения</w:t>
      </w:r>
    </w:p>
    <w:p>
      <w:pPr>
        <w:pStyle w:val="ListParagraph"/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— Инициализация локального репозитория в корне проекта командой git init.</w:t>
      </w:r>
    </w:p>
    <w:p>
      <w:pPr>
        <w:pStyle w:val="ListParagraph"/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— Создание профессионального файла .gitignore: исключение служебных папок .vs/, bin/, obj/, временных файлов сборщика и локальных БД (.mdf/.ldf).</w:t>
      </w:r>
    </w:p>
    <w:p>
      <w:pPr>
        <w:pStyle w:val="ListParagraph"/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— Формирование базовых коммитов проекта по стандарту Conventional Commits (feat, fix, docs, chore).</w:t>
      </w:r>
    </w:p>
    <w:p>
      <w:pPr>
        <w:pStyle w:val="ListParagraph"/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— Просмотр истории репозитория с помощью команд git status и git log --oneline.</w:t>
      </w:r>
    </w:p>
    <w:p>
      <w:pPr>
        <w:pStyle w:val="Heading2"/>
        <w:spacing w:line="360" w:lineRule="auto" w:before="12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Иллюстративный материал и результаты тестирования</w:t>
      </w:r>
    </w:p>
    <w:p>
      <w:pPr>
        <w:spacing w:line="360" w:lineRule="auto" w:before="120" w:after="120"/>
        <w:ind w:firstLine="0"/>
        <w:jc w:val="center"/>
      </w:pPr>
      <w:r>
        <w:rPr>
          <w:rFonts w:ascii="Times New Roman" w:hAnsi="Times New Roman"/>
          <w:i w:val="0"/>
          <w:color w:val="000000"/>
          <w:sz w:val="28"/>
        </w:rPr>
        <w:t>/* [МЕСТО ДЛЯ СКРИНШОТА / ЛИСТИНГА КОДА] */</w:t>
        <w:br/>
        <w:t>// Скриншот консоли с выводом git status и git log первого этапа проекта</w:t>
      </w:r>
    </w:p>
    <w:p>
      <w:pPr>
        <w:pStyle w:val="Heading2"/>
        <w:spacing w:line="360" w:lineRule="auto" w:before="12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Вывод по разделу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В ходе выполнения практического задания 22.10.2026 задачи раздела были успешно решены в полном объеме, проектные решения интегрированы в общий программный комплекс разрабатываемой информационной системы.</w:t>
      </w:r>
    </w:p>
    <w:p>
      <w:pPr>
        <w:pStyle w:val="Heading1"/>
        <w:pageBreakBefore/>
        <w:spacing w:line="360" w:lineRule="auto" w:before="240" w:after="240"/>
        <w:ind w:firstLine="0"/>
        <w:jc w:val="center"/>
      </w:pPr>
      <w:r>
        <w:rPr>
          <w:rFonts w:ascii="Times New Roman" w:hAnsi="Times New Roman"/>
          <w:i w:val="0"/>
          <w:color w:val="000000"/>
          <w:sz w:val="28"/>
        </w:rPr>
        <w:t>РАЗДЕЛ 13. ПР №9. ЛОКАЛЬНЫЙ GIT (ПРОД.) (23.10.2026)</w:t>
      </w:r>
    </w:p>
    <w:p>
      <w:pPr>
        <w:pStyle w:val="Heading2"/>
        <w:spacing w:line="360" w:lineRule="auto" w:before="12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Цель работы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Практика ветвления в Git: создание feature-веток, моделирование конфликтов в дизайнере .xsd и их успешное разрешение.</w:t>
      </w:r>
    </w:p>
    <w:p>
      <w:pPr>
        <w:pStyle w:val="Heading2"/>
        <w:spacing w:line="360" w:lineRule="auto" w:before="12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Краткий ход выполнения и проектные решения</w:t>
      </w:r>
    </w:p>
    <w:p>
      <w:pPr>
        <w:pStyle w:val="ListParagraph"/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— Создание изолированных функциональных веток: git branch feature/auth и git branch feature/master-detail.</w:t>
      </w:r>
    </w:p>
    <w:p>
      <w:pPr>
        <w:pStyle w:val="ListParagraph"/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— Параллельная модификация файлов формы и схемы DataSet в разных ветках с последующим коммитом.</w:t>
      </w:r>
    </w:p>
    <w:p>
      <w:pPr>
        <w:pStyle w:val="ListParagraph"/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— Моделирование конфликта слияния (Merge Conflict) при попытке слияния ветки в master.</w:t>
      </w:r>
    </w:p>
    <w:p>
      <w:pPr>
        <w:pStyle w:val="ListParagraph"/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— Ручной разбор и разрешение конфликта маркеров &lt;&lt;&lt;&lt;&lt;&lt;&lt; HEAD, фиксация мерж-коммита и просмотр графа коммитов (git log --graph).</w:t>
      </w:r>
    </w:p>
    <w:p>
      <w:pPr>
        <w:pStyle w:val="Heading2"/>
        <w:spacing w:line="360" w:lineRule="auto" w:before="12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Иллюстративный материал и результаты тестирования</w:t>
      </w:r>
    </w:p>
    <w:p>
      <w:pPr>
        <w:spacing w:line="360" w:lineRule="auto" w:before="120" w:after="120"/>
        <w:ind w:firstLine="0"/>
        <w:jc w:val="center"/>
      </w:pPr>
      <w:r>
        <w:rPr>
          <w:rFonts w:ascii="Times New Roman" w:hAnsi="Times New Roman"/>
          <w:i w:val="0"/>
          <w:color w:val="000000"/>
          <w:sz w:val="28"/>
        </w:rPr>
        <w:t>/* [МЕСТО ДЛЯ СКРИНШОТА / ЛИСТИНГА КОДА] */</w:t>
        <w:br/>
        <w:t>// Скриншот графа коммитов git log --graph --oneline с разрешенным слиянием веток</w:t>
      </w:r>
    </w:p>
    <w:p>
      <w:pPr>
        <w:pStyle w:val="Heading2"/>
        <w:spacing w:line="360" w:lineRule="auto" w:before="12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Вывод по разделу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В ходе выполнения практического задания 23.10.2026 задачи раздела были успешно решены в полном объеме, проектные решения интегрированы в общий программный комплекс разрабатываемой информационной системы.</w:t>
      </w:r>
    </w:p>
    <w:p>
      <w:pPr>
        <w:pStyle w:val="Heading1"/>
        <w:pageBreakBefore/>
        <w:spacing w:line="360" w:lineRule="auto" w:before="240" w:after="240"/>
        <w:ind w:firstLine="0"/>
        <w:jc w:val="center"/>
      </w:pPr>
      <w:r>
        <w:rPr>
          <w:rFonts w:ascii="Times New Roman" w:hAnsi="Times New Roman"/>
          <w:i w:val="0"/>
          <w:color w:val="000000"/>
          <w:sz w:val="28"/>
        </w:rPr>
        <w:t>РАЗДЕЛ 14. ПР №10. РАЗРАБОТКА ГРАФИЧЕСКОГО ИНТЕРФЕЙСА ПРОГРАММНОГО ПРОДУКТА (ЧАСТЬ 1) (26.10.2026)</w:t>
      </w:r>
    </w:p>
    <w:p>
      <w:pPr>
        <w:pStyle w:val="Heading2"/>
        <w:spacing w:line="360" w:lineRule="auto" w:before="12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Цель работы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Проектирование современного пользовательского интерфейса авторизации и регистрации на компонентах Material3 WinForms.</w:t>
      </w:r>
    </w:p>
    <w:p>
      <w:pPr>
        <w:pStyle w:val="Heading2"/>
        <w:spacing w:line="360" w:lineRule="auto" w:before="12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Краткий ход выполнения и проектные решения</w:t>
      </w:r>
    </w:p>
    <w:p>
      <w:pPr>
        <w:pStyle w:val="ListParagraph"/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— Наследование главной формы от базового класса MaterialSkin.Controls.MaterialForm, настройка цветовой схемы MaterialSkinManager.</w:t>
      </w:r>
    </w:p>
    <w:p>
      <w:pPr>
        <w:pStyle w:val="ListParagraph"/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— Размещение компонентов MaterialCard, MaterialTextBox (стиль Hint), MaterialButton для создания современного плоского дизайна.</w:t>
      </w:r>
    </w:p>
    <w:p>
      <w:pPr>
        <w:pStyle w:val="ListParagraph"/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— Реализация логики проверки учетных данных: сверка логина и хэша пароля по таблице Users.</w:t>
      </w:r>
    </w:p>
    <w:p>
      <w:pPr>
        <w:pStyle w:val="ListParagraph"/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— Реализация ролевой модели доступа: определение прав (Администратор — полный доступ к справочникам, Оператор — работа с реестрами).</w:t>
      </w:r>
    </w:p>
    <w:p>
      <w:pPr>
        <w:pStyle w:val="Heading2"/>
        <w:spacing w:line="360" w:lineRule="auto" w:before="12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Иллюстративный материал и результаты тестирования</w:t>
      </w:r>
    </w:p>
    <w:p>
      <w:pPr>
        <w:spacing w:line="360" w:lineRule="auto" w:before="120" w:after="120"/>
        <w:ind w:firstLine="0"/>
        <w:jc w:val="center"/>
      </w:pPr>
      <w:r>
        <w:rPr>
          <w:rFonts w:ascii="Times New Roman" w:hAnsi="Times New Roman"/>
          <w:i w:val="0"/>
          <w:color w:val="000000"/>
          <w:sz w:val="28"/>
        </w:rPr>
        <w:t>/* [МЕСТО ДЛЯ СКРИНШОТА / ЛИСТИНГА КОДА] */</w:t>
        <w:br/>
        <w:t>// Скриншот формы авторизации и регистрации в дизайне Material3</w:t>
      </w:r>
    </w:p>
    <w:p>
      <w:pPr>
        <w:pStyle w:val="Heading2"/>
        <w:spacing w:line="360" w:lineRule="auto" w:before="12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Вывод по разделу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В ходе выполнения практического задания 26.10.2026 задачи раздела были успешно решены в полном объеме, проектные решения интегрированы в общий программный комплекс разрабатываемой информационной системы.</w:t>
      </w:r>
    </w:p>
    <w:p>
      <w:pPr>
        <w:pStyle w:val="Heading1"/>
        <w:pageBreakBefore/>
        <w:spacing w:line="360" w:lineRule="auto" w:before="240" w:after="240"/>
        <w:ind w:firstLine="0"/>
        <w:jc w:val="center"/>
      </w:pPr>
      <w:r>
        <w:rPr>
          <w:rFonts w:ascii="Times New Roman" w:hAnsi="Times New Roman"/>
          <w:i w:val="0"/>
          <w:color w:val="000000"/>
          <w:sz w:val="28"/>
        </w:rPr>
        <w:t>РАЗДЕЛ 15. ПР №10. РАЗРАБОТКА ГРАФИЧЕСКОГО ИНТЕРФЕЙСА ПРОГРАММНОГО ПРОДУКТА (ЧАСТЬ 2) (27.10.2026)</w:t>
      </w:r>
    </w:p>
    <w:p>
      <w:pPr>
        <w:pStyle w:val="Heading2"/>
        <w:spacing w:line="360" w:lineRule="auto" w:before="12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Цель работы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Интеграция визуального дизайнера .xsd Typed DataSet, настройка связей DataRelation и построение интерфейса Master-Detail.</w:t>
      </w:r>
    </w:p>
    <w:p>
      <w:pPr>
        <w:pStyle w:val="Heading2"/>
        <w:spacing w:line="360" w:lineRule="auto" w:before="12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Краткий ход выполнения и проектные решения</w:t>
      </w:r>
    </w:p>
    <w:p>
      <w:pPr>
        <w:pStyle w:val="ListParagraph"/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— Подключение базы данных проекта через окно Data Sources Visual Studio с генерацией типизированного DataSet (.xsd).</w:t>
      </w:r>
    </w:p>
    <w:p>
      <w:pPr>
        <w:pStyle w:val="ListParagraph"/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— Создание связей отношений (DataRelation) между родительскими и дочерними таблицами варианта (FK Challenge).</w:t>
      </w:r>
    </w:p>
    <w:p>
      <w:pPr>
        <w:pStyle w:val="ListParagraph"/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— Организация интерфейса Master-Detail: синхронизация верхнего грида (родительские записи) и нижнего грида (дочерняя спецификация).</w:t>
      </w:r>
    </w:p>
    <w:p>
      <w:pPr>
        <w:pStyle w:val="ListParagraph"/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— Использование компонентов BindingSource и связывание дочернего BindingSource с отношением родительской таблицы.</w:t>
      </w:r>
    </w:p>
    <w:p>
      <w:pPr>
        <w:pStyle w:val="Heading2"/>
        <w:spacing w:line="360" w:lineRule="auto" w:before="12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Иллюстративный материал и результаты тестирования</w:t>
      </w:r>
    </w:p>
    <w:p>
      <w:pPr>
        <w:spacing w:line="360" w:lineRule="auto" w:before="120" w:after="120"/>
        <w:ind w:firstLine="0"/>
        <w:jc w:val="center"/>
      </w:pPr>
      <w:r>
        <w:rPr>
          <w:rFonts w:ascii="Times New Roman" w:hAnsi="Times New Roman"/>
          <w:i w:val="0"/>
          <w:color w:val="000000"/>
          <w:sz w:val="28"/>
        </w:rPr>
        <w:t>/* [МЕСТО ДЛЯ СКРИНШОТА / ЛИСТИНГА КОДА] */</w:t>
        <w:br/>
        <w:t>// Скриншот главного окна ИС со связкой Master-Detail (две связанные таблицы)</w:t>
      </w:r>
    </w:p>
    <w:p>
      <w:pPr>
        <w:pStyle w:val="Heading2"/>
        <w:spacing w:line="360" w:lineRule="auto" w:before="12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Вывод по разделу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В ходе выполнения практического задания 27.10.2026 задачи раздела были успешно решены в полном объеме, проектные решения интегрированы в общий программный комплекс разрабатываемой информационной системы.</w:t>
      </w:r>
    </w:p>
    <w:p>
      <w:pPr>
        <w:pStyle w:val="Heading1"/>
        <w:pageBreakBefore/>
        <w:spacing w:line="360" w:lineRule="auto" w:before="240" w:after="240"/>
        <w:ind w:firstLine="0"/>
        <w:jc w:val="center"/>
      </w:pPr>
      <w:r>
        <w:rPr>
          <w:rFonts w:ascii="Times New Roman" w:hAnsi="Times New Roman"/>
          <w:i w:val="0"/>
          <w:color w:val="000000"/>
          <w:sz w:val="28"/>
        </w:rPr>
        <w:t>РАЗДЕЛ 16. ПР №10. РАЗРАБОТКА ГРАФИЧЕСКОГО ИНТЕРФЕЙСА ПРОГРАММНЫХ СРЕДСТВ (ЧАСТЬ 3) (28.10.2026)</w:t>
      </w:r>
    </w:p>
    <w:p>
      <w:pPr>
        <w:pStyle w:val="Heading2"/>
        <w:spacing w:line="360" w:lineRule="auto" w:before="12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Цель работы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Реализация CRUD-операций, каскадного обновления TableAdapterManager, валидации ввода и клиентской фильтрации RowFilter.</w:t>
      </w:r>
    </w:p>
    <w:p>
      <w:pPr>
        <w:pStyle w:val="Heading2"/>
        <w:spacing w:line="360" w:lineRule="auto" w:before="12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Краткий ход выполнения и проектные решения</w:t>
      </w:r>
    </w:p>
    <w:p>
      <w:pPr>
        <w:pStyle w:val="ListParagraph"/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— Реализация диалоговых окон добавления и редактирования записей с валидацией пользовательского ввода (ErrorProvider).</w:t>
      </w:r>
    </w:p>
    <w:p>
      <w:pPr>
        <w:pStyle w:val="ListParagraph"/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— Вызовы методов адаптера данных TableAdapter.Insert(), TableAdapter.Update(), TableAdapter.Delete() и вызов TableAdapterManager.UpdateAll().</w:t>
      </w:r>
    </w:p>
    <w:p>
      <w:pPr>
        <w:pStyle w:val="ListParagraph"/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— Реализация мгновенного «живого» поиска и фильтрации данных по подстроке через свойство BindingSource.Filter (выражения RowFilter).</w:t>
      </w:r>
    </w:p>
    <w:p>
      <w:pPr>
        <w:pStyle w:val="ListParagraph"/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— Обработка подтверждения удаления записей и обработка ошибок ссылочной целостности (FK constraint violations).</w:t>
      </w:r>
    </w:p>
    <w:p>
      <w:pPr>
        <w:pStyle w:val="Heading2"/>
        <w:spacing w:line="360" w:lineRule="auto" w:before="12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Иллюстративный материал и результаты тестирования</w:t>
      </w:r>
    </w:p>
    <w:p>
      <w:pPr>
        <w:spacing w:line="360" w:lineRule="auto" w:before="120" w:after="120"/>
        <w:ind w:firstLine="0"/>
        <w:jc w:val="center"/>
      </w:pPr>
      <w:r>
        <w:rPr>
          <w:rFonts w:ascii="Times New Roman" w:hAnsi="Times New Roman"/>
          <w:i w:val="0"/>
          <w:color w:val="000000"/>
          <w:sz w:val="28"/>
        </w:rPr>
        <w:t>/* [МЕСТО ДЛЯ СКРИНШОТА / ЛИСТИНГА КОДА] */</w:t>
        <w:br/>
        <w:t>// Скриншот диалога добавления/редактирования записи и фильтрации данных</w:t>
      </w:r>
    </w:p>
    <w:p>
      <w:pPr>
        <w:pStyle w:val="Heading2"/>
        <w:spacing w:line="360" w:lineRule="auto" w:before="12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Вывод по разделу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В ходе выполнения практического задания 28.10.2026 задачи раздела были успешно решены в полном объеме, проектные решения интегрированы в общий программный комплекс разрабатываемой информационной системы.</w:t>
      </w:r>
    </w:p>
    <w:p>
      <w:pPr>
        <w:pStyle w:val="Heading1"/>
        <w:pageBreakBefore/>
        <w:spacing w:line="360" w:lineRule="auto" w:before="240" w:after="240"/>
        <w:ind w:firstLine="0"/>
        <w:jc w:val="center"/>
      </w:pPr>
      <w:r>
        <w:rPr>
          <w:rFonts w:ascii="Times New Roman" w:hAnsi="Times New Roman"/>
          <w:i w:val="0"/>
          <w:color w:val="000000"/>
          <w:sz w:val="28"/>
        </w:rPr>
        <w:t>РАЗДЕЛ 17. ПР №11. ВОССТАНОВЛЕНИЕ РАБОТОСПОСОБНОСТИ ПО ДЛЯ РЕШЕНИЯ ЗАДАЧИ ПТ. КОМПЛЕКС МЕТОД. (29.10.2026)</w:t>
      </w:r>
    </w:p>
    <w:p>
      <w:pPr>
        <w:pStyle w:val="Heading2"/>
        <w:spacing w:line="360" w:lineRule="auto" w:before="12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Цель работы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Разработка подсистемы резервного копирования базы данных (.bak), аварийного восстановления и обработки исключений SqlException.</w:t>
      </w:r>
    </w:p>
    <w:p>
      <w:pPr>
        <w:pStyle w:val="Heading2"/>
        <w:spacing w:line="360" w:lineRule="auto" w:before="12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Краткий ход выполнения и проектные решения</w:t>
      </w:r>
    </w:p>
    <w:p>
      <w:pPr>
        <w:pStyle w:val="ListParagraph"/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— Реализация сервисной функции создания полного бэкапа базы данных T-SQL командой BACKUP DATABASE ... TO DISK из интерфейса ИС.</w:t>
      </w:r>
    </w:p>
    <w:p>
      <w:pPr>
        <w:pStyle w:val="ListParagraph"/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— Моделирование аварийной ситуации: случайное удаление записей или повреждение таблицы, восстановление БД из бэкапа (RESTORE DATABASE ... WITH REPLACE).</w:t>
      </w:r>
    </w:p>
    <w:p>
      <w:pPr>
        <w:pStyle w:val="ListParagraph"/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— Программная обработка потери связи с СУБД: перехват SqlException, вывод информативного диалога и алгоритм повторных попыток (Retry Logic).</w:t>
      </w:r>
    </w:p>
    <w:p>
      <w:pPr>
        <w:pStyle w:val="ListParagraph"/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— Проверка целостности восстановленной базы данных командой DBCC CHECKDB.</w:t>
      </w:r>
    </w:p>
    <w:p>
      <w:pPr>
        <w:pStyle w:val="Heading2"/>
        <w:spacing w:line="360" w:lineRule="auto" w:before="12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Иллюстративный материал и результаты тестирования</w:t>
      </w:r>
    </w:p>
    <w:p>
      <w:pPr>
        <w:spacing w:line="360" w:lineRule="auto" w:before="120" w:after="120"/>
        <w:ind w:firstLine="0"/>
        <w:jc w:val="center"/>
      </w:pPr>
      <w:r>
        <w:rPr>
          <w:rFonts w:ascii="Times New Roman" w:hAnsi="Times New Roman"/>
          <w:i w:val="0"/>
          <w:color w:val="000000"/>
          <w:sz w:val="28"/>
        </w:rPr>
        <w:t>/* [МЕСТО ДЛЯ СКРИНШОТА / ЛИСТИНГА КОДА] */</w:t>
        <w:br/>
        <w:t>// Скриншот служебного окна создания бэкапа / восстановления базы данных ИС</w:t>
      </w:r>
    </w:p>
    <w:p>
      <w:pPr>
        <w:pStyle w:val="Heading2"/>
        <w:spacing w:line="360" w:lineRule="auto" w:before="12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Вывод по разделу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В ходе выполнения практического задания 29.10.2026 задачи раздела были успешно решены в полном объеме, проектные решения интегрированы в общий программный комплекс разрабатываемой информационной системы.</w:t>
      </w:r>
    </w:p>
    <w:p>
      <w:pPr>
        <w:pStyle w:val="Heading1"/>
        <w:pageBreakBefore/>
        <w:spacing w:line="360" w:lineRule="auto" w:before="240" w:after="240"/>
        <w:ind w:firstLine="0"/>
        <w:jc w:val="center"/>
      </w:pPr>
      <w:r>
        <w:rPr>
          <w:rFonts w:ascii="Times New Roman" w:hAnsi="Times New Roman"/>
          <w:i w:val="0"/>
          <w:color w:val="000000"/>
          <w:sz w:val="28"/>
        </w:rPr>
        <w:t>РАЗДЕЛ 18. ОФОРМЛЕНИЕ ОТЧЕТА. ДИФФЕРЕНЦИРОВАННЫЙ ЗАЧЕТ (30.10.2026)</w:t>
      </w:r>
    </w:p>
    <w:p>
      <w:pPr>
        <w:pStyle w:val="Heading2"/>
        <w:spacing w:line="360" w:lineRule="auto" w:before="12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Цель работы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Сведение комплексной пояснительной записки по проекту ИС, подготовка комплекта документации и защита проекта на дифзачете.</w:t>
      </w:r>
    </w:p>
    <w:p>
      <w:pPr>
        <w:pStyle w:val="Heading2"/>
        <w:spacing w:line="360" w:lineRule="auto" w:before="12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Краткий ход выполнения и проектные решения</w:t>
      </w:r>
    </w:p>
    <w:p>
      <w:pPr>
        <w:pStyle w:val="ListParagraph"/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— Комплектование итогового комплекта: титульный лист, аттестационный лист, дневник практики на 18 дней, отчет со сквозным описанием ИС.</w:t>
      </w:r>
    </w:p>
    <w:p>
      <w:pPr>
        <w:pStyle w:val="ListParagraph"/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— Оформление пояснительной записки в строгом соответствии с ГОСТ (Times New Roman 14 пт, интервал 1.15, нумерация рисунков, схемы ERD и XSD).</w:t>
      </w:r>
    </w:p>
    <w:p>
      <w:pPr>
        <w:pStyle w:val="ListParagraph"/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— Подготовка демонстрационного сценария живой работы программного продукта (авторизация, Master-Detail, CRUD, поиск, бэкап).</w:t>
      </w:r>
    </w:p>
    <w:p>
      <w:pPr>
        <w:pStyle w:val="ListParagraph"/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— Успешная защита индивидуального проекта перед руководителем практики Карташовым Д. Г.</w:t>
      </w:r>
    </w:p>
    <w:p>
      <w:pPr>
        <w:pStyle w:val="Heading2"/>
        <w:spacing w:line="360" w:lineRule="auto" w:before="12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Иллюстративный материал и результаты тестирования</w:t>
      </w:r>
    </w:p>
    <w:p>
      <w:pPr>
        <w:spacing w:line="360" w:lineRule="auto" w:before="120" w:after="120"/>
        <w:ind w:firstLine="0"/>
        <w:jc w:val="center"/>
      </w:pPr>
      <w:r>
        <w:rPr>
          <w:rFonts w:ascii="Times New Roman" w:hAnsi="Times New Roman"/>
          <w:i w:val="0"/>
          <w:color w:val="000000"/>
          <w:sz w:val="28"/>
        </w:rPr>
        <w:t>/* [МЕСТО ДЛЯ СКРИНШОТА / ЛИСТИНГА КОДА] */</w:t>
        <w:br/>
        <w:t>// Сводный скриншот готового работающего программного комплекса ИС</w:t>
      </w:r>
    </w:p>
    <w:p>
      <w:pPr>
        <w:pStyle w:val="Heading2"/>
        <w:spacing w:line="360" w:lineRule="auto" w:before="12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Вывод по разделу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В ходе выполнения практического задания 30.10.2026 задачи раздела были успешно решены в полном объеме, проектные решения интегрированы в общий программный комплекс разрабатываемой информационной системы.</w:t>
      </w:r>
    </w:p>
    <w:p>
      <w:pPr>
        <w:pStyle w:val="Heading1"/>
        <w:pageBreakBefore/>
        <w:spacing w:line="360" w:lineRule="auto" w:before="240" w:after="240"/>
        <w:ind w:firstLine="0"/>
        <w:jc w:val="center"/>
      </w:pPr>
      <w:r>
        <w:rPr>
          <w:rFonts w:ascii="Times New Roman" w:hAnsi="Times New Roman"/>
          <w:i w:val="0"/>
          <w:color w:val="000000"/>
          <w:sz w:val="28"/>
        </w:rPr>
        <w:t>ЗАКЛЮЧЕНИЕ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В ходе прохождения учебной практики УП.04.01 «Внедрение и поддержка компьютерных систем» (МДК 04.01) был успешно разработан и всесторонне протестирован комплексный программный продукт — настольная информационная система на стеке C# (.NET Framework 4.8 / Material3.WinForms) и MS SQL Server (SQLEXPRESS).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В процессе выполнения сквозного индивидуального задания достигнуты следующие ключевые результаты:</w:t>
      </w:r>
    </w:p>
    <w:p>
      <w:pPr>
        <w:pStyle w:val="ListParagraph"/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— Спроектирована и нормализована реляционная база данных, содержащая 6 взаимосвязанных сущностей с обеспечением целостности связей (Primary / Foreign Keys 1:N и N:M);</w:t>
      </w:r>
    </w:p>
    <w:p>
      <w:pPr>
        <w:pStyle w:val="ListParagraph"/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— Построен типизированный слой доступа к данным через визуальный дизайнер .xsd (Typed DataSet, DataTable, TableAdapter), обеспечивший типобезопасность и высокую скорость обработки данных;</w:t>
      </w:r>
    </w:p>
    <w:p>
      <w:pPr>
        <w:pStyle w:val="ListParagraph"/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— Разработан современный графический интерфейс с компонентами Material3, реализующий Master-Detail связывание таблиц, фильтрацию RowFilter и полный цикл CRUD-операций;</w:t>
      </w:r>
    </w:p>
    <w:p>
      <w:pPr>
        <w:pStyle w:val="ListParagraph"/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— Внедрена подсистема информационной безопасности: симметричное шифрование файлов AES-256 и безопасная аутентификация с хэшированием паролей SHA-256 с добавлением соли;</w:t>
      </w:r>
    </w:p>
    <w:p>
      <w:pPr>
        <w:pStyle w:val="ListParagraph"/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— Настроен версионный контроль в локальном Git-репозитории с практикой ветвления и разрешения конфликтов слияния;</w:t>
      </w:r>
    </w:p>
    <w:p>
      <w:pPr>
        <w:pStyle w:val="ListParagraph"/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— Проведено тестирование производительности выборки данных (Stopwatch), стресс-тестирование оборудования и разработана подсистема резервного копирования и восстановления базы данных (.bak).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i w:val="0"/>
          <w:color w:val="000000"/>
          <w:sz w:val="28"/>
        </w:rPr>
        <w:t>Все поставленные цели и задачи учебной практики выполнены в полном объеме, освоены требуемые профессиональные (ПК) и общие (ОК) компетенции по специальности 09.02.07.</w:t>
      </w:r>
    </w:p>
    <w:sectPr w:rsidR="00FC693F" w:rsidRPr="0006063C" w:rsidSect="00034616">
      <w:footerReference w:type="default" ns2:id="rId97"/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8"/>
      </w:rPr>
      <w:fldChar w:fldCharType="begin"/>
    </w:r>
    <w:r>
      <w:rPr>
        <w:rFonts w:ascii="Times New Roman" w:hAnsi="Times New Roman"/>
        <w:sz w:val="28"/>
      </w:rPr>
      <w:instrText xml:space="preserve"> PAGE </w:instrText>
    </w:r>
    <w:r>
      <w:rPr>
        <w:rFonts w:ascii="Times New Roman" w:hAnsi="Times New Roman"/>
        <w:sz w:val="28"/>
      </w:rPr>
      <w:fldChar w:fldCharType="separate"/>
    </w:r>
    <w:r>
      <w:rPr>
        <w:rFonts w:ascii="Times New Roman" w:hAnsi="Times New Roman"/>
        <w:sz w:val="28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ns1="http://schemas.openxmlformats.org/markup-compatibility/2006" xmlns:w="http://schemas.openxmlformats.org/wordprocessingml/2006/main" ns1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ind w:firstLine="709"/>
      <w:jc w:val="both"/>
    </w:pPr>
    <w:rPr>
      <w:rFonts w:ascii="Times New Roman" w:hAnsi="Times New Roman" w:cs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/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/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/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/>
    </w:tblStylePr>
    <w:tblStylePr w:type="lastCol">
      <w:r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/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/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/>
    </w:tblStylePr>
    <w:tblStylePr w:type="lastCol">
      <w:r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/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/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/>
    </w:tblStylePr>
    <w:tblStylePr w:type="lastCol">
      <w:r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/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/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/>
    </w:tblStylePr>
    <w:tblStylePr w:type="lastCol">
      <w:r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/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/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/>
    </w:tblStylePr>
    <w:tblStylePr w:type="lastCol">
      <w:r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/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/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/>
    </w:tblStylePr>
    <w:tblStylePr w:type="lastCol">
      <w:r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/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/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/>
    </w:tblStylePr>
    <w:tblStylePr w:type="lastCol">
      <w:r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/>
    </w:tblStylePr>
    <w:tblStylePr w:type="lastCol">
      <w:rPr/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/>
    </w:tblStylePr>
    <w:tblStylePr w:type="lastCol">
      <w:rPr/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/>
    </w:tblStylePr>
    <w:tblStylePr w:type="lastCol">
      <w:rPr/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/>
    </w:tblStylePr>
    <w:tblStylePr w:type="lastCol">
      <w:rPr/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/>
    </w:tblStylePr>
    <w:tblStylePr w:type="lastCol">
      <w:rPr/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/>
    </w:tblStylePr>
    <w:tblStylePr w:type="lastCol">
      <w:rPr/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/>
    </w:tblStylePr>
    <w:tblStylePr w:type="lastCol">
      <w:rPr/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</w:rPr>
    </w:tblStylePr>
    <w:tblStylePr w:type="lastCol">
      <w:rPr>
        <w:rFonts w:asciiTheme="majorHAnsi" w:eastAsiaTheme="majorEastAsia" w:hAnsiTheme="majorHAnsi" w:cstheme="majorBidi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</w:rPr>
    </w:tblStylePr>
    <w:tblStylePr w:type="lastCol">
      <w:rPr>
        <w:rFonts w:asciiTheme="majorHAnsi" w:eastAsiaTheme="majorEastAsia" w:hAnsiTheme="majorHAnsi" w:cstheme="majorBidi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</w:rPr>
    </w:tblStylePr>
    <w:tblStylePr w:type="lastCol">
      <w:rPr>
        <w:rFonts w:asciiTheme="majorHAnsi" w:eastAsiaTheme="majorEastAsia" w:hAnsiTheme="majorHAnsi" w:cstheme="majorBidi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</w:rPr>
    </w:tblStylePr>
    <w:tblStylePr w:type="lastCol">
      <w:rPr>
        <w:rFonts w:asciiTheme="majorHAnsi" w:eastAsiaTheme="majorEastAsia" w:hAnsiTheme="majorHAnsi" w:cstheme="majorBidi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</w:rPr>
    </w:tblStylePr>
    <w:tblStylePr w:type="lastCol">
      <w:rPr>
        <w:rFonts w:asciiTheme="majorHAnsi" w:eastAsiaTheme="majorEastAsia" w:hAnsiTheme="majorHAnsi" w:cstheme="majorBidi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</w:rPr>
    </w:tblStylePr>
    <w:tblStylePr w:type="lastCol">
      <w:rPr>
        <w:rFonts w:asciiTheme="majorHAnsi" w:eastAsiaTheme="majorEastAsia" w:hAnsiTheme="majorHAnsi" w:cstheme="majorBidi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</w:rPr>
    </w:tblStylePr>
    <w:tblStylePr w:type="lastCol">
      <w:rPr>
        <w:rFonts w:asciiTheme="majorHAnsi" w:eastAsiaTheme="majorEastAsia" w:hAnsiTheme="majorHAnsi" w:cstheme="majorBidi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/>
    </w:tblStylePr>
    <w:tblStylePr w:type="lastCol">
      <w:r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/>
    </w:tblStylePr>
    <w:tblStylePr w:type="lastCol">
      <w:r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/>
    </w:tblStylePr>
    <w:tblStylePr w:type="lastCol">
      <w:r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/>
    </w:tblStylePr>
    <w:tblStylePr w:type="lastCol">
      <w:r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/>
    </w:tblStylePr>
    <w:tblStylePr w:type="lastCol">
      <w:r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/>
    </w:tblStylePr>
    <w:tblStylePr w:type="lastCol">
      <w:r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/>
    </w:tblStylePr>
    <w:tblStylePr w:type="lastCol">
      <w:r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/>
    </w:tblStylePr>
    <w:tblStylePr w:type="lastCol">
      <w:rPr/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/>
    </w:tblStylePr>
    <w:tblStylePr w:type="lastCol">
      <w:rPr/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/>
    </w:tblStylePr>
    <w:tblStylePr w:type="lastCol">
      <w:rPr/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/>
    </w:tblStylePr>
    <w:tblStylePr w:type="lastCol">
      <w:rPr/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/>
    </w:tblStylePr>
    <w:tblStylePr w:type="lastCol">
      <w:rPr/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/>
    </w:tblStylePr>
    <w:tblStylePr w:type="lastCol">
      <w:rPr/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/>
    </w:tblStylePr>
    <w:tblStylePr w:type="lastCol">
      <w:rPr/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/>
    </w:tblStylePr>
    <w:tblStylePr w:type="lastRow">
      <w:rPr/>
      <w:tblPr/>
      <w:tcPr>
        <w:tcBorders>
          <w:top w:val="single" w:sz="18" w:space="0" w:color="404040" w:themeColor="text1" w:themeTint="BF"/>
        </w:tcBorders>
      </w:tcPr>
    </w:tblStylePr>
    <w:tblStylePr w:type="firstCol">
      <w:rPr/>
    </w:tblStylePr>
    <w:tblStylePr w:type="lastCol">
      <w:r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/>
    </w:tblStylePr>
    <w:tblStylePr w:type="lastRow">
      <w:rPr/>
      <w:tblPr/>
      <w:tcPr>
        <w:tcBorders>
          <w:top w:val="single" w:sz="18" w:space="0" w:color="7BA0CD" w:themeColor="accent1" w:themeTint="BF"/>
        </w:tcBorders>
      </w:tcPr>
    </w:tblStylePr>
    <w:tblStylePr w:type="firstCol">
      <w:rPr/>
    </w:tblStylePr>
    <w:tblStylePr w:type="lastCol">
      <w:r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/>
    </w:tblStylePr>
    <w:tblStylePr w:type="lastRow">
      <w:rPr/>
      <w:tblPr/>
      <w:tcPr>
        <w:tcBorders>
          <w:top w:val="single" w:sz="18" w:space="0" w:color="CF7B79" w:themeColor="accent2" w:themeTint="BF"/>
        </w:tcBorders>
      </w:tcPr>
    </w:tblStylePr>
    <w:tblStylePr w:type="firstCol">
      <w:rPr/>
    </w:tblStylePr>
    <w:tblStylePr w:type="lastCol">
      <w:r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/>
    </w:tblStylePr>
    <w:tblStylePr w:type="lastRow">
      <w:rPr/>
      <w:tblPr/>
      <w:tcPr>
        <w:tcBorders>
          <w:top w:val="single" w:sz="18" w:space="0" w:color="B3CC82" w:themeColor="accent3" w:themeTint="BF"/>
        </w:tcBorders>
      </w:tcPr>
    </w:tblStylePr>
    <w:tblStylePr w:type="firstCol">
      <w:rPr/>
    </w:tblStylePr>
    <w:tblStylePr w:type="lastCol">
      <w:r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/>
    </w:tblStylePr>
    <w:tblStylePr w:type="lastRow">
      <w:rPr/>
      <w:tblPr/>
      <w:tcPr>
        <w:tcBorders>
          <w:top w:val="single" w:sz="18" w:space="0" w:color="9F8AB9" w:themeColor="accent4" w:themeTint="BF"/>
        </w:tcBorders>
      </w:tcPr>
    </w:tblStylePr>
    <w:tblStylePr w:type="firstCol">
      <w:rPr/>
    </w:tblStylePr>
    <w:tblStylePr w:type="lastCol">
      <w:r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/>
    </w:tblStylePr>
    <w:tblStylePr w:type="lastRow">
      <w:rPr/>
      <w:tblPr/>
      <w:tcPr>
        <w:tcBorders>
          <w:top w:val="single" w:sz="18" w:space="0" w:color="78C0D4" w:themeColor="accent5" w:themeTint="BF"/>
        </w:tcBorders>
      </w:tcPr>
    </w:tblStylePr>
    <w:tblStylePr w:type="firstCol">
      <w:rPr/>
    </w:tblStylePr>
    <w:tblStylePr w:type="lastCol">
      <w:r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/>
    </w:tblStylePr>
    <w:tblStylePr w:type="lastRow">
      <w:rPr/>
      <w:tblPr/>
      <w:tcPr>
        <w:tcBorders>
          <w:top w:val="single" w:sz="18" w:space="0" w:color="F9B074" w:themeColor="accent6" w:themeTint="BF"/>
        </w:tcBorders>
      </w:tcPr>
    </w:tblStylePr>
    <w:tblStylePr w:type="firstCol">
      <w:rPr/>
    </w:tblStylePr>
    <w:tblStylePr w:type="lastCol">
      <w:r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/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/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/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/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/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/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/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/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/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/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/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/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/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/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/>
    </w:tblStylePr>
    <w:tblStylePr w:type="lastCol">
      <w:r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/>
    </w:tblStylePr>
    <w:tblStylePr w:type="lastCol">
      <w:r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/>
    </w:tblStylePr>
    <w:tblStylePr w:type="lastCol">
      <w:r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/>
    </w:tblStylePr>
    <w:tblStylePr w:type="lastCol">
      <w:r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/>
    </w:tblStylePr>
    <w:tblStylePr w:type="lastCol">
      <w:r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/>
    </w:tblStylePr>
    <w:tblStylePr w:type="lastCol">
      <w:r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/>
    </w:tblStylePr>
    <w:tblStylePr w:type="lastCol">
      <w:r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/>
      <w:tblPr/>
      <w:tcPr>
        <w:shd w:val="clear" w:color="auto" w:fill="999999" w:themeFill="text1" w:themeFillTint="66"/>
      </w:tcPr>
    </w:tblStylePr>
    <w:tblStylePr w:type="lastRow">
      <w:rPr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/>
      <w:tblPr/>
      <w:tcPr>
        <w:shd w:val="clear" w:color="auto" w:fill="B8CCE4" w:themeFill="accent1" w:themeFillTint="66"/>
      </w:tcPr>
    </w:tblStylePr>
    <w:tblStylePr w:type="lastRow">
      <w:rPr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/>
      <w:tblPr/>
      <w:tcPr>
        <w:shd w:val="clear" w:color="auto" w:fill="E5B8B7" w:themeFill="accent2" w:themeFillTint="66"/>
      </w:tcPr>
    </w:tblStylePr>
    <w:tblStylePr w:type="lastRow">
      <w:rPr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/>
      <w:tblPr/>
      <w:tcPr>
        <w:shd w:val="clear" w:color="auto" w:fill="D6E3BC" w:themeFill="accent3" w:themeFillTint="66"/>
      </w:tcPr>
    </w:tblStylePr>
    <w:tblStylePr w:type="lastRow">
      <w:rPr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/>
      <w:tblPr/>
      <w:tcPr>
        <w:shd w:val="clear" w:color="auto" w:fill="CCC0D9" w:themeFill="accent4" w:themeFillTint="66"/>
      </w:tcPr>
    </w:tblStylePr>
    <w:tblStylePr w:type="lastRow">
      <w:rPr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/>
      <w:tblPr/>
      <w:tcPr>
        <w:shd w:val="clear" w:color="auto" w:fill="B6DDE8" w:themeFill="accent5" w:themeFillTint="66"/>
      </w:tcPr>
    </w:tblStylePr>
    <w:tblStylePr w:type="lastRow">
      <w:rPr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/>
      <w:tblPr/>
      <w:tcPr>
        <w:shd w:val="clear" w:color="auto" w:fill="FBD4B4" w:themeFill="accent6" w:themeFillTint="66"/>
      </w:tcPr>
    </w:tblStylePr>
    <w:tblStylePr w:type="lastRow">
      <w:rPr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oka.guide/" TargetMode="External"/><Relationship Id="rId10" Type="http://schemas.openxmlformats.org/officeDocument/2006/relationships/hyperlink" Target="https://doka.guide/html/html/" TargetMode="External"/><Relationship Id="rId11" Type="http://schemas.openxmlformats.org/officeDocument/2006/relationships/hyperlink" Target="https://doka.guide/html/meta/" TargetMode="External"/><Relationship Id="rId12" Type="http://schemas.openxmlformats.org/officeDocument/2006/relationships/hyperlink" Target="https://doka.guide/html/header/" TargetMode="External"/><Relationship Id="rId13" Type="http://schemas.openxmlformats.org/officeDocument/2006/relationships/hyperlink" Target="https://doka.guide/html/nav/" TargetMode="External"/><Relationship Id="rId14" Type="http://schemas.openxmlformats.org/officeDocument/2006/relationships/hyperlink" Target="https://doka.guide/html/main/" TargetMode="External"/><Relationship Id="rId15" Type="http://schemas.openxmlformats.org/officeDocument/2006/relationships/hyperlink" Target="https://doka.guide/html/section/" TargetMode="External"/><Relationship Id="rId16" Type="http://schemas.openxmlformats.org/officeDocument/2006/relationships/hyperlink" Target="https://doka.guide/html/h1-h6/" TargetMode="External"/><Relationship Id="rId17" Type="http://schemas.openxmlformats.org/officeDocument/2006/relationships/hyperlink" Target="https://doka.guide/html/article/" TargetMode="External"/><Relationship Id="rId18" Type="http://schemas.openxmlformats.org/officeDocument/2006/relationships/hyperlink" Target="https://doka.guide/html/aside/" TargetMode="External"/><Relationship Id="rId19" Type="http://schemas.openxmlformats.org/officeDocument/2006/relationships/hyperlink" Target="https://doka.guide/html/footer/" TargetMode="External"/><Relationship Id="rId20" Type="http://schemas.openxmlformats.org/officeDocument/2006/relationships/hyperlink" Target="https://doka.guide/tools/bem/" TargetMode="External"/><Relationship Id="rId21" Type="http://schemas.openxmlformats.org/officeDocument/2006/relationships/hyperlink" Target="https://doka.guide/css/specificity/" TargetMode="External"/><Relationship Id="rId22" Type="http://schemas.openxmlformats.org/officeDocument/2006/relationships/hyperlink" Target="https://doka.guide/css/media/" TargetMode="External"/><Relationship Id="rId23" Type="http://schemas.openxmlformats.org/officeDocument/2006/relationships/hyperlink" Target="https://doka.guide/css/overflow/" TargetMode="External"/><Relationship Id="rId24" Type="http://schemas.openxmlformats.org/officeDocument/2006/relationships/hyperlink" Target="https://doka.guide/css/font-face/" TargetMode="External"/><Relationship Id="rId25" Type="http://schemas.openxmlformats.org/officeDocument/2006/relationships/hyperlink" Target="https://doka.guide/css/font-display/" TargetMode="External"/><Relationship Id="rId26" Type="http://schemas.openxmlformats.org/officeDocument/2006/relationships/hyperlink" Target="https://doka.guide/css/rem-em/" TargetMode="External"/><Relationship Id="rId27" Type="http://schemas.openxmlformats.org/officeDocument/2006/relationships/hyperlink" Target="https://doka.guide/svg/svg/" TargetMode="External"/><Relationship Id="rId28" Type="http://schemas.openxmlformats.org/officeDocument/2006/relationships/hyperlink" Target="https://doka.guide/css/fill/" TargetMode="External"/><Relationship Id="rId29" Type="http://schemas.openxmlformats.org/officeDocument/2006/relationships/hyperlink" Target="https://doka.guide/css/stroke/" TargetMode="External"/><Relationship Id="rId30" Type="http://schemas.openxmlformats.org/officeDocument/2006/relationships/hyperlink" Target="https://doka.guide/a11y/aria-label/" TargetMode="External"/><Relationship Id="rId31" Type="http://schemas.openxmlformats.org/officeDocument/2006/relationships/hyperlink" Target="https://doka.guide/a11y/" TargetMode="External"/><Relationship Id="rId32" Type="http://schemas.openxmlformats.org/officeDocument/2006/relationships/hyperlink" Target="https://doka.guide/css/custom-properties/" TargetMode="External"/><Relationship Id="rId33" Type="http://schemas.openxmlformats.org/officeDocument/2006/relationships/hyperlink" Target="https://doka.guide/css/root/" TargetMode="External"/><Relationship Id="rId34" Type="http://schemas.openxmlformats.org/officeDocument/2006/relationships/hyperlink" Target="https://doka.guide/css/prefers-color-scheme/" TargetMode="External"/><Relationship Id="rId35" Type="http://schemas.openxmlformats.org/officeDocument/2006/relationships/hyperlink" Target="https://doka.guide/html/a/" TargetMode="External"/><Relationship Id="rId36" Type="http://schemas.openxmlformats.org/officeDocument/2006/relationships/hyperlink" Target="https://doka.guide/html/ul/" TargetMode="External"/><Relationship Id="rId37" Type="http://schemas.openxmlformats.org/officeDocument/2006/relationships/hyperlink" Target="https://doka.guide/html/li/" TargetMode="External"/><Relationship Id="rId38" Type="http://schemas.openxmlformats.org/officeDocument/2006/relationships/hyperlink" Target="https://doka.guide/css/flexbox/" TargetMode="External"/><Relationship Id="rId39" Type="http://schemas.openxmlformats.org/officeDocument/2006/relationships/hyperlink" Target="https://doka.guide/css/justify-content/" TargetMode="External"/><Relationship Id="rId40" Type="http://schemas.openxmlformats.org/officeDocument/2006/relationships/hyperlink" Target="https://doka.guide/css/align-items/" TargetMode="External"/><Relationship Id="rId41" Type="http://schemas.openxmlformats.org/officeDocument/2006/relationships/hyperlink" Target="https://doka.guide/css/position/" TargetMode="External"/><Relationship Id="rId42" Type="http://schemas.openxmlformats.org/officeDocument/2006/relationships/hyperlink" Target="https://doka.guide/css/backdrop-filter/" TargetMode="External"/><Relationship Id="rId43" Type="http://schemas.openxmlformats.org/officeDocument/2006/relationships/hyperlink" Target="https://doka.guide/html/button/" TargetMode="External"/><Relationship Id="rId44" Type="http://schemas.openxmlformats.org/officeDocument/2006/relationships/hyperlink" Target="https://doka.guide/a11y/aria-expanded/" TargetMode="External"/><Relationship Id="rId45" Type="http://schemas.openxmlformats.org/officeDocument/2006/relationships/hyperlink" Target="https://doka.guide/css/transform/" TargetMode="External"/><Relationship Id="rId46" Type="http://schemas.openxmlformats.org/officeDocument/2006/relationships/hyperlink" Target="https://doka.guide/js/element-classlist/" TargetMode="External"/><Relationship Id="rId47" Type="http://schemas.openxmlformats.org/officeDocument/2006/relationships/hyperlink" Target="https://doka.guide/css/scroll-snap-type/" TargetMode="External"/><Relationship Id="rId48" Type="http://schemas.openxmlformats.org/officeDocument/2006/relationships/hyperlink" Target="https://doka.guide/css/scroll-behavior/" TargetMode="External"/><Relationship Id="rId49" Type="http://schemas.openxmlformats.org/officeDocument/2006/relationships/hyperlink" Target="https://doka.guide/css/scroll-snap-align/" TargetMode="External"/><Relationship Id="rId50" Type="http://schemas.openxmlformats.org/officeDocument/2006/relationships/hyperlink" Target="https://doka.guide/css/scroll-snap-stop/" TargetMode="External"/><Relationship Id="rId51" Type="http://schemas.openxmlformats.org/officeDocument/2006/relationships/hyperlink" Target="https://doka.guide/js/scroll-event/" TargetMode="External"/><Relationship Id="rId52" Type="http://schemas.openxmlformats.org/officeDocument/2006/relationships/hyperlink" Target="https://doka.guide/html/form/" TargetMode="External"/><Relationship Id="rId53" Type="http://schemas.openxmlformats.org/officeDocument/2006/relationships/hyperlink" Target="https://doka.guide/html/input/" TargetMode="External"/><Relationship Id="rId54" Type="http://schemas.openxmlformats.org/officeDocument/2006/relationships/hyperlink" Target="https://doka.guide/html/datalist/" TargetMode="External"/><Relationship Id="rId55" Type="http://schemas.openxmlformats.org/officeDocument/2006/relationships/hyperlink" Target="https://doka.guide/html/option/" TargetMode="External"/><Relationship Id="rId56" Type="http://schemas.openxmlformats.org/officeDocument/2006/relationships/hyperlink" Target="https://doka.guide/css/focus-visible/" TargetMode="External"/><Relationship Id="rId57" Type="http://schemas.openxmlformats.org/officeDocument/2006/relationships/hyperlink" Target="https://doka.guide/css/outline/" TargetMode="External"/><Relationship Id="rId58" Type="http://schemas.openxmlformats.org/officeDocument/2006/relationships/hyperlink" Target="https://doka.guide/js/input-event/" TargetMode="External"/><Relationship Id="rId59" Type="http://schemas.openxmlformats.org/officeDocument/2006/relationships/hyperlink" Target="https://doka.guide/css/grid/" TargetMode="External"/><Relationship Id="rId60" Type="http://schemas.openxmlformats.org/officeDocument/2006/relationships/hyperlink" Target="https://doka.guide/css/box-shadow/" TargetMode="External"/><Relationship Id="rId61" Type="http://schemas.openxmlformats.org/officeDocument/2006/relationships/hyperlink" Target="https://doka.guide/css/transition/" TargetMode="External"/><Relationship Id="rId62" Type="http://schemas.openxmlformats.org/officeDocument/2006/relationships/hyperlink" Target="https://doka.guide/html/picture/" TargetMode="External"/><Relationship Id="rId63" Type="http://schemas.openxmlformats.org/officeDocument/2006/relationships/hyperlink" Target="https://doka.guide/html/img/" TargetMode="External"/><Relationship Id="rId64" Type="http://schemas.openxmlformats.org/officeDocument/2006/relationships/hyperlink" Target="https://doka.guide/html/span/" TargetMode="External"/><Relationship Id="rId65" Type="http://schemas.openxmlformats.org/officeDocument/2006/relationships/hyperlink" Target="https://doka.guide/html/label/" TargetMode="External"/><Relationship Id="rId66" Type="http://schemas.openxmlformats.org/officeDocument/2006/relationships/hyperlink" Target="https://doka.guide/css/hover/" TargetMode="External"/><Relationship Id="rId67" Type="http://schemas.openxmlformats.org/officeDocument/2006/relationships/hyperlink" Target="https://doka.guide/css/checked/" TargetMode="External"/><Relationship Id="rId68" Type="http://schemas.openxmlformats.org/officeDocument/2006/relationships/hyperlink" Target="https://doka.guide/css/combinators/" TargetMode="External"/><Relationship Id="rId69" Type="http://schemas.openxmlformats.org/officeDocument/2006/relationships/hyperlink" Target="https://doka.guide/css/filter/" TargetMode="External"/><Relationship Id="rId70" Type="http://schemas.openxmlformats.org/officeDocument/2006/relationships/hyperlink" Target="https://doka.guide/css/opacity/" TargetMode="External"/><Relationship Id="rId71" Type="http://schemas.openxmlformats.org/officeDocument/2006/relationships/hyperlink" Target="https://doka.guide/html/small/" TargetMode="External"/><Relationship Id="rId72" Type="http://schemas.openxmlformats.org/officeDocument/2006/relationships/hyperlink" Target="https://doka.guide/html/fieldset/" TargetMode="External"/><Relationship Id="rId73" Type="http://schemas.openxmlformats.org/officeDocument/2006/relationships/hyperlink" Target="https://doka.guide/html/legend/" TargetMode="External"/><Relationship Id="rId74" Type="http://schemas.openxmlformats.org/officeDocument/2006/relationships/hyperlink" Target="https://doka.guide/css/valid-invalid/" TargetMode="External"/><Relationship Id="rId75" Type="http://schemas.openxmlformats.org/officeDocument/2006/relationships/hyperlink" Target="https://doka.guide/css/user-invalid/" TargetMode="External"/><Relationship Id="rId76" Type="http://schemas.openxmlformats.org/officeDocument/2006/relationships/hyperlink" Target="https://doka.guide/css/placeholder-shown/" TargetMode="External"/><Relationship Id="rId77" Type="http://schemas.openxmlformats.org/officeDocument/2006/relationships/hyperlink" Target="https://doka.guide/a11y/aria-describedby/" TargetMode="External"/><Relationship Id="rId78" Type="http://schemas.openxmlformats.org/officeDocument/2006/relationships/hyperlink" Target="https://doka.guide/css/color-scheme/" TargetMode="External"/><Relationship Id="rId79" Type="http://schemas.openxmlformats.org/officeDocument/2006/relationships/hyperlink" Target="https://doka.guide/js/local-storage/" TargetMode="External"/><Relationship Id="rId80" Type="http://schemas.openxmlformats.org/officeDocument/2006/relationships/hyperlink" Target="https://doka.guide/html/table/" TargetMode="External"/><Relationship Id="rId81" Type="http://schemas.openxmlformats.org/officeDocument/2006/relationships/hyperlink" Target="https://doka.guide/html/caption/" TargetMode="External"/><Relationship Id="rId82" Type="http://schemas.openxmlformats.org/officeDocument/2006/relationships/hyperlink" Target="https://doka.guide/html/thead/" TargetMode="External"/><Relationship Id="rId83" Type="http://schemas.openxmlformats.org/officeDocument/2006/relationships/hyperlink" Target="https://doka.guide/html/th/" TargetMode="External"/><Relationship Id="rId84" Type="http://schemas.openxmlformats.org/officeDocument/2006/relationships/hyperlink" Target="https://doka.guide/html/tbody/" TargetMode="External"/><Relationship Id="rId85" Type="http://schemas.openxmlformats.org/officeDocument/2006/relationships/hyperlink" Target="https://doka.guide/html/tr/" TargetMode="External"/><Relationship Id="rId86" Type="http://schemas.openxmlformats.org/officeDocument/2006/relationships/hyperlink" Target="https://doka.guide/html/td/" TargetMode="External"/><Relationship Id="rId87" Type="http://schemas.openxmlformats.org/officeDocument/2006/relationships/hyperlink" Target="https://doka.guide/css/border-collapse/" TargetMode="External"/><Relationship Id="rId88" Type="http://schemas.openxmlformats.org/officeDocument/2006/relationships/hyperlink" Target="https://doka.guide/css/nth-child/" TargetMode="External"/><Relationship Id="rId89" Type="http://schemas.openxmlformats.org/officeDocument/2006/relationships/hyperlink" Target="https://doka.guide/html/output/" TargetMode="External"/><Relationship Id="rId90" Type="http://schemas.openxmlformats.org/officeDocument/2006/relationships/hyperlink" Target="https://doka.guide/html/select/" TargetMode="External"/><Relationship Id="rId91" Type="http://schemas.openxmlformats.org/officeDocument/2006/relationships/hyperlink" Target="https://doka.guide/html/dialog/" TargetMode="External"/><Relationship Id="rId92" Type="http://schemas.openxmlformats.org/officeDocument/2006/relationships/hyperlink" Target="https://doka.guide/css/backdrop/" TargetMode="External"/><Relationship Id="rId93" Type="http://schemas.openxmlformats.org/officeDocument/2006/relationships/hyperlink" Target="https://doka.guide/js/change-event/" TargetMode="External"/><Relationship Id="rId94" Type="http://schemas.openxmlformats.org/officeDocument/2006/relationships/hyperlink" Target="https://doka.guide/html/textarea/" TargetMode="External"/><Relationship Id="rId95" Type="http://schemas.openxmlformats.org/officeDocument/2006/relationships/hyperlink" Target="https://doka.guide/css/resize/" TargetMode="External"/><Relationship Id="rId96" Type="http://schemas.openxmlformats.org/officeDocument/2006/relationships/hyperlink" Target="https://doka.guide/html/" TargetMode="External"/><Relationship Id="rId9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