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lang w:val="es-CO"/>
        </w:rPr>
        <w:t xml:space="preserve">En esta publicación el autor  analiza la mecánica y busca relaciones </w:t>
      </w:r>
      <w:r>
        <w:rPr>
          <w:lang w:val="es-CO"/>
        </w:rPr>
        <w:t xml:space="preserve">e implicaciones </w:t>
      </w:r>
      <w:r>
        <w:rPr>
          <w:lang w:val="es-CO"/>
        </w:rPr>
        <w:t xml:space="preserve">en las propiedades físicas de las thrust sheets y su relación con la </w:t>
      </w:r>
      <w:r>
        <w:rPr>
          <w:lang w:val="es-CO"/>
        </w:rPr>
        <w:t xml:space="preserve">orogenia y </w:t>
      </w:r>
      <w:r>
        <w:rPr>
          <w:lang w:val="es-CO"/>
        </w:rPr>
        <w:t xml:space="preserve">la </w:t>
      </w:r>
      <w:r>
        <w:rPr>
          <w:lang w:val="es-CO"/>
        </w:rPr>
        <w:t>evolucion tect</w:t>
      </w:r>
      <w:r>
        <w:rPr>
          <w:lang w:val="es-CO"/>
        </w:rPr>
        <w:t>ó</w:t>
      </w:r>
      <w:r>
        <w:rPr>
          <w:lang w:val="es-CO"/>
        </w:rPr>
        <w:t xml:space="preserve">nica, </w:t>
      </w:r>
      <w:r>
        <w:rPr>
          <w:lang w:val="es-CO"/>
        </w:rPr>
        <w:t xml:space="preserve"> para distintos ambientes tectónicos como los son las “Canadian Rocky Mountain” y el emplazamiento de ofiolitas en forma de thrust sheets sobre los margenes continentales.  A partir de una recopilación  de pruebas de laboratorio, medidas geodésicas, anomalías de flujo de calor, </w:t>
      </w:r>
      <w:r>
        <w:rPr>
          <w:lang w:val="es-CO"/>
        </w:rPr>
        <w:t>propone</w:t>
      </w:r>
      <w:r>
        <w:rPr>
          <w:lang w:val="es-CO"/>
        </w:rPr>
        <w:t xml:space="preserve"> un valor de (tau) resistencia al esfuerzo de corte y enfatiza en este valor necesario para formar laminas de corrimiento </w:t>
      </w:r>
      <w:r>
        <w:rPr>
          <w:lang w:val="es-CO"/>
        </w:rPr>
        <w:t>(Thrust sheets)</w:t>
      </w:r>
      <w:r>
        <w:rPr>
          <w:lang w:val="es-CO"/>
        </w:rPr>
        <w:t>, el valor que el autor en encuentra es de aproximadamente 10^7 Pa.  A partir de esto llega una relación muy importante el cual explica en la segunda sección del articulo asumiendo estado litostático el cual es que esfuerzo de cizalla basal es igual a rho.g.H.alpha , esta relación determina la magnitud del esfuerzo de cizalla en la base. A partir de dos planteamientos distintos el autor encuentra la misma relacion para el esfuerzo de cizalla basal.</w:t>
      </w:r>
    </w:p>
    <w:p>
      <w:pPr>
        <w:pStyle w:val="style0"/>
        <w:jc w:val="both"/>
      </w:pPr>
      <w:r>
        <w:rPr/>
      </w:r>
    </w:p>
    <w:p>
      <w:pPr>
        <w:pStyle w:val="style0"/>
        <w:jc w:val="both"/>
      </w:pPr>
      <w:r>
        <w:rPr>
          <w:lang w:val="es-CO"/>
        </w:rPr>
        <w:t xml:space="preserve">En este trabajo se interpreta como cambian los  </w:t>
      </w:r>
      <w:r>
        <w:rPr>
          <w:lang w:val="es-CO"/>
        </w:rPr>
        <w:t xml:space="preserve">esfuerzos y </w:t>
      </w:r>
      <w:r>
        <w:rPr>
          <w:lang w:val="es-CO"/>
        </w:rPr>
        <w:t xml:space="preserve">como esta variación en la dirección de los esfuerzos esta involucrado con la </w:t>
      </w:r>
      <w:r>
        <w:rPr>
          <w:lang w:val="es-CO"/>
        </w:rPr>
        <w:t xml:space="preserve">formación de fallas normales </w:t>
      </w:r>
      <w:r>
        <w:rPr>
          <w:lang w:val="es-CO"/>
        </w:rPr>
        <w:t>y también analiza las</w:t>
      </w:r>
      <w:r>
        <w:rPr>
          <w:lang w:val="es-CO"/>
        </w:rPr>
        <w:t xml:space="preserve"> entre las fuerzas horizontales y las gravitacionales, </w:t>
      </w:r>
      <w:r>
        <w:rPr>
          <w:lang w:val="es-CO"/>
        </w:rPr>
        <w:t xml:space="preserve">donde </w:t>
      </w:r>
      <w:r>
        <w:rPr>
          <w:lang w:val="es-CO"/>
        </w:rPr>
        <w:t xml:space="preserve">para grandes </w:t>
      </w:r>
      <w:r>
        <w:rPr>
          <w:lang w:val="es-CO"/>
        </w:rPr>
        <w:t xml:space="preserve">espesores de </w:t>
      </w:r>
      <w:r>
        <w:rPr>
          <w:lang w:val="es-CO"/>
        </w:rPr>
        <w:t xml:space="preserve">H las fuerzas gravitacionales predominan.  En la sección de energía potencial, al autor </w:t>
      </w:r>
      <w:r>
        <w:rPr>
          <w:lang w:val="es-CO"/>
        </w:rPr>
        <w:t>propone</w:t>
      </w:r>
      <w:r>
        <w:rPr>
          <w:lang w:val="es-CO"/>
        </w:rPr>
        <w:t xml:space="preserve"> un relación que define la condición de movimiento para las laminas de corrimiento a partir de la energía potencial gravitacional. </w:t>
      </w:r>
      <w:r>
        <w:rPr>
          <w:lang w:val="es-CO"/>
        </w:rPr>
        <w:t>Para sacar un mejor provecho al análisis del manuscrito las unidades representativas en las secciones  que contienen gráficos deberían estar explicitas.</w:t>
      </w:r>
    </w:p>
    <w:p>
      <w:pPr>
        <w:pStyle w:val="style0"/>
        <w:jc w:val="both"/>
      </w:pPr>
      <w:r>
        <w:rPr/>
      </w:r>
    </w:p>
    <w:p>
      <w:pPr>
        <w:pStyle w:val="style0"/>
        <w:jc w:val="both"/>
      </w:pPr>
      <w:r>
        <w:rPr>
          <w:lang w:val="es-CO"/>
        </w:rPr>
        <w:t>El autor relaciona la</w:t>
      </w:r>
      <w:r>
        <w:rPr>
          <w:lang w:val="es-CO"/>
        </w:rPr>
        <w:t xml:space="preserve"> </w:t>
      </w:r>
      <w:r>
        <w:rPr>
          <w:lang w:val="es-CO"/>
        </w:rPr>
        <w:t xml:space="preserve">hipótesis propuesta </w:t>
      </w:r>
      <w:r>
        <w:rPr>
          <w:lang w:val="es-CO"/>
        </w:rPr>
        <w:t xml:space="preserve">de las hojas de corrimiento </w:t>
      </w:r>
      <w:r>
        <w:rPr>
          <w:lang w:val="es-CO"/>
        </w:rPr>
        <w:t xml:space="preserve">al emplazamiento de ofiolitas debido a dos </w:t>
      </w:r>
      <w:r>
        <w:rPr>
          <w:lang w:val="es-CO"/>
        </w:rPr>
        <w:t xml:space="preserve">distintos mecanismos </w:t>
      </w:r>
      <w:r>
        <w:rPr>
          <w:lang w:val="es-CO"/>
        </w:rPr>
        <w:t>de obducción, pero las relaciones que el autor cita quedan sin comprobar e inconclusa ya que para poder explicar el emplazamiento de ofiolitas se requiere que la dinámica tectónica sea una colisión de dos placas tectónicas continentales, en el cual hoy en día no se puede observar para tener comprobación</w:t>
      </w:r>
    </w:p>
    <w:p>
      <w:pPr>
        <w:pStyle w:val="style0"/>
      </w:pPr>
      <w:r>
        <w:rPr/>
      </w:r>
    </w:p>
    <w:p>
      <w:pPr>
        <w:pStyle w:val="style0"/>
        <w:jc w:val="both"/>
      </w:pPr>
      <w:r>
        <w:rPr>
          <w:lang w:val="es-CO"/>
        </w:rPr>
        <w:t xml:space="preserve">Este trabajo </w:t>
      </w:r>
      <w:r>
        <w:rPr>
          <w:lang w:val="es-CO"/>
        </w:rPr>
        <w:t xml:space="preserve">desarrolla </w:t>
      </w:r>
      <w:r>
        <w:rPr>
          <w:lang w:val="es-CO"/>
        </w:rPr>
        <w:t xml:space="preserve">las implicaciones regionales de la mecánica de fallamiento </w:t>
      </w:r>
      <w:r>
        <w:rPr>
          <w:lang w:val="es-CO"/>
        </w:rPr>
        <w:t>inverso</w:t>
      </w:r>
      <w:r>
        <w:rPr>
          <w:lang w:val="es-CO"/>
        </w:rPr>
        <w:t xml:space="preserve">. </w:t>
      </w:r>
      <w:r>
        <w:rPr>
          <w:lang w:val="es-CO"/>
        </w:rPr>
        <w:t xml:space="preserve">Esto </w:t>
      </w:r>
      <w:r>
        <w:rPr>
          <w:lang w:val="es-CO"/>
        </w:rPr>
        <w:t xml:space="preserve">se ha descrito </w:t>
      </w:r>
      <w:r>
        <w:rPr>
          <w:lang w:val="es-CO"/>
        </w:rPr>
        <w:t xml:space="preserve">a partir de suposiciones </w:t>
      </w:r>
      <w:r>
        <w:rPr>
          <w:lang w:val="es-CO"/>
        </w:rPr>
        <w:t xml:space="preserve">estáticas </w:t>
      </w:r>
      <w:r>
        <w:rPr>
          <w:lang w:val="es-CO"/>
        </w:rPr>
        <w:t xml:space="preserve">y no se ha tenido en cuenta </w:t>
      </w:r>
      <w:r>
        <w:rPr>
          <w:lang w:val="es-CO"/>
        </w:rPr>
        <w:t xml:space="preserve">las propiedades del material </w:t>
      </w:r>
      <w:r>
        <w:rPr>
          <w:lang w:val="es-CO"/>
        </w:rPr>
        <w:t>involucrado en el fenómeno.</w:t>
      </w:r>
      <w:r>
        <w:rPr>
          <w:lang w:val="es-CO"/>
        </w:rPr>
        <w:t xml:space="preserve"> </w:t>
      </w:r>
      <w:r>
        <w:rPr>
          <w:lang w:val="es-CO"/>
        </w:rPr>
        <w:t xml:space="preserve">Una debilidad del articulo es </w:t>
      </w:r>
      <w:r>
        <w:rPr>
          <w:lang w:val="es-CO"/>
        </w:rPr>
        <w:t xml:space="preserve">que </w:t>
      </w:r>
      <w:r>
        <w:rPr>
          <w:lang w:val="es-CO"/>
        </w:rPr>
        <w:t xml:space="preserve">no </w:t>
      </w:r>
      <w:r>
        <w:rPr>
          <w:lang w:val="es-CO"/>
        </w:rPr>
        <w:t xml:space="preserve">se </w:t>
      </w:r>
      <w:r>
        <w:rPr>
          <w:lang w:val="es-CO"/>
        </w:rPr>
        <w:t>analiza</w:t>
      </w:r>
      <w:r>
        <w:rPr>
          <w:lang w:val="es-CO"/>
        </w:rPr>
        <w:t xml:space="preserve"> </w:t>
      </w:r>
      <w:r>
        <w:rPr>
          <w:lang w:val="es-CO"/>
        </w:rPr>
        <w:t>los</w:t>
      </w:r>
      <w:r>
        <w:rPr>
          <w:lang w:val="es-CO"/>
        </w:rPr>
        <w:t xml:space="preserve"> mecanismos físicos </w:t>
      </w:r>
      <w:r>
        <w:rPr>
          <w:lang w:val="es-CO"/>
        </w:rPr>
        <w:t xml:space="preserve">que </w:t>
      </w:r>
      <w:r>
        <w:rPr>
          <w:lang w:val="es-CO"/>
        </w:rPr>
        <w:t xml:space="preserve">operan a lo largo de la superficie de la falla durante </w:t>
      </w:r>
      <w:r>
        <w:rPr>
          <w:lang w:val="es-CO"/>
        </w:rPr>
        <w:t xml:space="preserve">su movimiento. </w:t>
      </w:r>
      <w:r>
        <w:rPr>
          <w:lang w:val="es-CO"/>
        </w:rPr>
        <w:t>P</w:t>
      </w:r>
      <w:r>
        <w:rPr>
          <w:lang w:val="es-CO"/>
        </w:rPr>
        <w:t xml:space="preserve">or ejemplo, </w:t>
      </w:r>
      <w:r>
        <w:rPr>
          <w:lang w:val="es-CO"/>
        </w:rPr>
        <w:t>n</w:t>
      </w:r>
      <w:r>
        <w:rPr>
          <w:lang w:val="es-CO"/>
        </w:rPr>
        <w:t xml:space="preserve">o tiene en cuenta las fuerzas de fricción cuando actuá la presión </w:t>
      </w:r>
      <w:r>
        <w:rPr>
          <w:lang w:val="es-CO"/>
        </w:rPr>
        <w:t xml:space="preserve">presión de poro </w:t>
      </w:r>
      <w:r>
        <w:rPr>
          <w:lang w:val="es-CO"/>
        </w:rPr>
        <w:t xml:space="preserve">que el mismo enfatiza en la </w:t>
      </w:r>
      <w:r>
        <w:rPr>
          <w:lang w:val="es-CO"/>
        </w:rPr>
        <w:t>segunda sección</w:t>
      </w:r>
      <w:r>
        <w:rPr>
          <w:lang w:val="es-CO"/>
        </w:rPr>
        <w:t xml:space="preserve">, o si </w:t>
      </w:r>
      <w:r>
        <w:rPr>
          <w:lang w:val="es-CO"/>
        </w:rPr>
        <w:t>en cambio hay un comportamiento</w:t>
      </w:r>
      <w:r>
        <w:rPr>
          <w:lang w:val="es-CO"/>
        </w:rPr>
        <w:t xml:space="preserve"> viscoso</w:t>
      </w:r>
      <w:r>
        <w:rPr>
          <w:lang w:val="es-CO"/>
        </w:rPr>
        <w:t xml:space="preserve"> en la zona de dislocación.  </w:t>
      </w:r>
      <w:r>
        <w:rPr>
          <w:lang w:val="es-CO"/>
        </w:rPr>
        <w:t xml:space="preserve">Otro factor importante que no se discutió en el articulo es que tanto puede afectar el modelo mecánico propuesto y las condiciones de energía cuando hay </w:t>
      </w:r>
      <w:r>
        <w:rPr>
          <w:lang w:val="es-CO"/>
        </w:rPr>
        <w:t xml:space="preserve">estructuras </w:t>
      </w:r>
      <w:r>
        <w:rPr>
          <w:lang w:val="es-CO"/>
        </w:rPr>
        <w:t>geológicas considerables</w:t>
      </w:r>
      <w:r>
        <w:rPr>
          <w:lang w:val="es-CO"/>
        </w:rPr>
        <w:t xml:space="preserve"> a lo largo de </w:t>
      </w:r>
      <w:r>
        <w:rPr>
          <w:lang w:val="es-CO"/>
        </w:rPr>
        <w:t xml:space="preserve">las </w:t>
      </w:r>
      <w:r>
        <w:rPr>
          <w:lang w:val="es-CO"/>
        </w:rPr>
        <w:t xml:space="preserve">fallas inversas </w:t>
      </w:r>
      <w:r>
        <w:rPr>
          <w:lang w:val="es-CO"/>
        </w:rPr>
        <w:t xml:space="preserve">o de las hojas </w:t>
      </w:r>
      <w:r>
        <w:rPr>
          <w:lang w:val="es-CO"/>
        </w:rPr>
        <w:t xml:space="preserve">de empuje, </w:t>
      </w:r>
      <w:r>
        <w:rPr>
          <w:lang w:val="es-CO"/>
        </w:rPr>
        <w:t>como pliegues,  es</w:t>
      </w:r>
      <w:r>
        <w:rPr>
          <w:lang w:val="es-CO"/>
        </w:rPr>
        <w:t xml:space="preserve">camas </w:t>
      </w:r>
      <w:r>
        <w:rPr>
          <w:lang w:val="es-CO"/>
        </w:rPr>
        <w:t>de falla entre otras</w:t>
      </w:r>
      <w:r>
        <w:rPr>
          <w:lang w:val="es-CO"/>
        </w:rPr>
        <w:t xml:space="preserve">. </w:t>
      </w:r>
      <w:r>
        <w:rPr>
          <w:lang w:val="es-CO"/>
        </w:rPr>
        <w:t xml:space="preserve">El autor deja bastantes interrogantes de los mecanismos de funcionamiento de las hojas de empuje para los diferentes ambientes tectónicos, como los son primero las zonas intra placa donde se formas fajas plegadas y corridas (fold and thrust belt), las zonas de subducción, obducción y el emplazamiento de ofiolitas y por ultimo las regiones de “arc-trench”, la mecánica de  estas distintas configuraciones deberían tratarse de diferentes puntos de vista debido a la variedad con que estos ambientes se forman y han evolucionado.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Arial Unicode MS" w:eastAsia="Arial Unicode MS" w:hAnsi="Times New Roman"/>
      <w:color w:val="auto"/>
      <w:sz w:val="24"/>
      <w:szCs w:val="24"/>
      <w:lang w:bidi="hi-IN" w:eastAsia="zh-CN" w:val="es-CO"/>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751</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2014-05-14T15:32:37.00Z</dcterms:created>
  <dcterms:modified xsi:type="dcterms:W3CDTF">2014-05-14T15:45:20.00Z</dcterms:modified>
  <cp:revision>2</cp:revision>
</cp:coreProperties>
</file>